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B0917" w14:textId="77777777" w:rsidR="00E65C6D" w:rsidRPr="00EB0C51" w:rsidRDefault="00E65C6D" w:rsidP="00E65C6D">
      <w:pPr>
        <w:jc w:val="center"/>
        <w:rPr>
          <w:rFonts w:cs="Arial"/>
          <w:b/>
          <w:lang w:val="es-ES"/>
        </w:rPr>
      </w:pPr>
      <w:r w:rsidRPr="00EB0C51">
        <w:rPr>
          <w:rFonts w:cs="Arial"/>
          <w:b/>
          <w:lang w:val="es-ES"/>
        </w:rPr>
        <w:t>AUDITORÍA INTERNA A LA EJECUCIÓN PRESUPUESTAL DEL MINISTERIO DE HACIENDA Y CRÉDITO PÚBLICO - SEPTIEMBRE DE 2020 A JUNIO DE 2021</w:t>
      </w:r>
    </w:p>
    <w:p w14:paraId="0A3F2082" w14:textId="77777777" w:rsidR="00C72292" w:rsidRPr="00EB0C51" w:rsidRDefault="00C72292" w:rsidP="004348FC">
      <w:pPr>
        <w:spacing w:line="168" w:lineRule="auto"/>
        <w:jc w:val="both"/>
        <w:rPr>
          <w:rFonts w:cs="Arial"/>
        </w:rPr>
      </w:pPr>
    </w:p>
    <w:tbl>
      <w:tblPr>
        <w:tblStyle w:val="Tablaconcuadrcula"/>
        <w:tblW w:w="0" w:type="auto"/>
        <w:jc w:val="center"/>
        <w:tblLook w:val="04A0" w:firstRow="1" w:lastRow="0" w:firstColumn="1" w:lastColumn="0" w:noHBand="0" w:noVBand="1"/>
      </w:tblPr>
      <w:tblGrid>
        <w:gridCol w:w="1413"/>
        <w:gridCol w:w="2977"/>
        <w:gridCol w:w="1134"/>
        <w:gridCol w:w="4008"/>
      </w:tblGrid>
      <w:tr w:rsidR="003B2EAC" w:rsidRPr="00EB0C51" w14:paraId="389FA409" w14:textId="77777777" w:rsidTr="005F2CF3">
        <w:trPr>
          <w:cantSplit/>
          <w:jc w:val="center"/>
        </w:trPr>
        <w:tc>
          <w:tcPr>
            <w:tcW w:w="1413" w:type="dxa"/>
            <w:vAlign w:val="center"/>
          </w:tcPr>
          <w:p w14:paraId="32CEC9E8" w14:textId="77777777" w:rsidR="003B2EAC" w:rsidRPr="00EB0C51" w:rsidRDefault="003B2EAC" w:rsidP="004348FC">
            <w:pPr>
              <w:spacing w:before="80" w:after="80"/>
              <w:jc w:val="center"/>
              <w:rPr>
                <w:rFonts w:cs="Arial"/>
                <w:b/>
                <w:sz w:val="22"/>
                <w:szCs w:val="22"/>
              </w:rPr>
            </w:pPr>
            <w:r w:rsidRPr="00EB0C51">
              <w:rPr>
                <w:rFonts w:cs="Arial"/>
                <w:b/>
                <w:sz w:val="22"/>
                <w:szCs w:val="22"/>
              </w:rPr>
              <w:t>INFORME</w:t>
            </w:r>
          </w:p>
        </w:tc>
        <w:tc>
          <w:tcPr>
            <w:tcW w:w="2977" w:type="dxa"/>
            <w:vAlign w:val="center"/>
          </w:tcPr>
          <w:p w14:paraId="4224A957" w14:textId="0198AF5F" w:rsidR="003B2EAC" w:rsidRPr="00EB0C51" w:rsidRDefault="002058A0" w:rsidP="004348FC">
            <w:pPr>
              <w:spacing w:before="80" w:after="80"/>
              <w:ind w:left="33" w:hanging="33"/>
              <w:jc w:val="center"/>
              <w:rPr>
                <w:rFonts w:cs="Arial"/>
                <w:sz w:val="22"/>
                <w:szCs w:val="22"/>
              </w:rPr>
            </w:pPr>
            <w:r w:rsidRPr="00EB0C51">
              <w:rPr>
                <w:rFonts w:cs="Arial"/>
                <w:sz w:val="22"/>
                <w:szCs w:val="22"/>
              </w:rPr>
              <w:t>2021-AI-56</w:t>
            </w:r>
          </w:p>
        </w:tc>
        <w:tc>
          <w:tcPr>
            <w:tcW w:w="1134" w:type="dxa"/>
            <w:vAlign w:val="center"/>
          </w:tcPr>
          <w:p w14:paraId="13814334" w14:textId="77777777" w:rsidR="003B2EAC" w:rsidRPr="00EB0C51" w:rsidRDefault="003B2EAC" w:rsidP="004348FC">
            <w:pPr>
              <w:spacing w:before="80" w:after="80"/>
              <w:jc w:val="center"/>
              <w:rPr>
                <w:rFonts w:cs="Arial"/>
                <w:b/>
                <w:sz w:val="22"/>
                <w:szCs w:val="22"/>
              </w:rPr>
            </w:pPr>
            <w:r w:rsidRPr="00EB0C51">
              <w:rPr>
                <w:rFonts w:cs="Arial"/>
                <w:b/>
                <w:sz w:val="22"/>
                <w:szCs w:val="22"/>
              </w:rPr>
              <w:t>FECHA</w:t>
            </w:r>
          </w:p>
        </w:tc>
        <w:tc>
          <w:tcPr>
            <w:tcW w:w="4008" w:type="dxa"/>
            <w:vAlign w:val="center"/>
          </w:tcPr>
          <w:p w14:paraId="60FBD823" w14:textId="4FF5F37A" w:rsidR="003B2EAC" w:rsidRPr="00EB0C51" w:rsidRDefault="002058A0" w:rsidP="004348FC">
            <w:pPr>
              <w:spacing w:before="80" w:after="80"/>
              <w:jc w:val="center"/>
              <w:rPr>
                <w:rFonts w:cs="Arial"/>
                <w:sz w:val="22"/>
                <w:szCs w:val="22"/>
              </w:rPr>
            </w:pPr>
            <w:r w:rsidRPr="00EB0C51">
              <w:rPr>
                <w:rFonts w:cs="Arial"/>
                <w:sz w:val="22"/>
                <w:szCs w:val="22"/>
              </w:rPr>
              <w:t>31</w:t>
            </w:r>
            <w:r w:rsidR="00F235DB" w:rsidRPr="00EB0C51">
              <w:rPr>
                <w:rFonts w:cs="Arial"/>
                <w:sz w:val="22"/>
                <w:szCs w:val="22"/>
              </w:rPr>
              <w:t xml:space="preserve"> de agosto de 2021</w:t>
            </w:r>
          </w:p>
        </w:tc>
      </w:tr>
      <w:tr w:rsidR="003B2EAC" w:rsidRPr="00EB0C51" w14:paraId="40C57318" w14:textId="77777777" w:rsidTr="005F2CF3">
        <w:trPr>
          <w:cantSplit/>
          <w:jc w:val="center"/>
        </w:trPr>
        <w:tc>
          <w:tcPr>
            <w:tcW w:w="1413" w:type="dxa"/>
            <w:vAlign w:val="center"/>
          </w:tcPr>
          <w:p w14:paraId="5F64C7A2" w14:textId="77777777" w:rsidR="003B2EAC" w:rsidRPr="00EB0C51" w:rsidRDefault="003B2EAC" w:rsidP="004348FC">
            <w:pPr>
              <w:spacing w:before="80" w:after="80"/>
              <w:jc w:val="center"/>
              <w:rPr>
                <w:rFonts w:cs="Arial"/>
                <w:b/>
                <w:sz w:val="22"/>
                <w:szCs w:val="22"/>
              </w:rPr>
            </w:pPr>
            <w:r w:rsidRPr="00EB0C51">
              <w:rPr>
                <w:rFonts w:cs="Arial"/>
                <w:b/>
                <w:sz w:val="22"/>
                <w:szCs w:val="22"/>
              </w:rPr>
              <w:t>AUDITOR</w:t>
            </w:r>
          </w:p>
        </w:tc>
        <w:tc>
          <w:tcPr>
            <w:tcW w:w="8119" w:type="dxa"/>
            <w:gridSpan w:val="3"/>
            <w:vAlign w:val="center"/>
          </w:tcPr>
          <w:p w14:paraId="384B6DF0" w14:textId="4F57E989" w:rsidR="003B2EAC" w:rsidRPr="00EB0C51" w:rsidRDefault="00BD2897" w:rsidP="004348FC">
            <w:pPr>
              <w:spacing w:before="80" w:after="80"/>
              <w:jc w:val="center"/>
              <w:rPr>
                <w:rFonts w:cs="Arial"/>
                <w:sz w:val="22"/>
                <w:szCs w:val="22"/>
              </w:rPr>
            </w:pPr>
            <w:r w:rsidRPr="00EB0C51">
              <w:rPr>
                <w:rFonts w:cs="Arial"/>
                <w:sz w:val="22"/>
                <w:szCs w:val="22"/>
              </w:rPr>
              <w:t xml:space="preserve">Angélica María Pava Riveros </w:t>
            </w:r>
          </w:p>
        </w:tc>
      </w:tr>
    </w:tbl>
    <w:p w14:paraId="4D9D0424" w14:textId="73188A58" w:rsidR="00CF70DC" w:rsidRPr="00EB0C51" w:rsidRDefault="006C3739" w:rsidP="00B94B76">
      <w:pPr>
        <w:jc w:val="both"/>
        <w:rPr>
          <w:rFonts w:cs="Arial"/>
          <w:sz w:val="22"/>
        </w:rPr>
      </w:pPr>
      <w:r w:rsidRPr="00EB0C51">
        <w:rPr>
          <w:rFonts w:cs="Arial"/>
          <w:sz w:val="22"/>
        </w:rPr>
        <w:t xml:space="preserve">      </w:t>
      </w:r>
    </w:p>
    <w:p w14:paraId="1BB4AE6D" w14:textId="0B13B753" w:rsidR="008113A8" w:rsidRPr="00EB0C51" w:rsidRDefault="008113A8" w:rsidP="00B94B76">
      <w:pPr>
        <w:numPr>
          <w:ilvl w:val="0"/>
          <w:numId w:val="1"/>
        </w:numPr>
        <w:tabs>
          <w:tab w:val="clear" w:pos="720"/>
          <w:tab w:val="num" w:pos="-240"/>
        </w:tabs>
        <w:ind w:left="360"/>
        <w:jc w:val="both"/>
        <w:rPr>
          <w:rFonts w:cs="Arial"/>
          <w:b/>
        </w:rPr>
      </w:pPr>
      <w:r w:rsidRPr="00EB0C51">
        <w:rPr>
          <w:rFonts w:cs="Arial"/>
          <w:b/>
        </w:rPr>
        <w:t>INTRODUCCIÓN</w:t>
      </w:r>
    </w:p>
    <w:p w14:paraId="0E6C9A5C" w14:textId="776A7F87" w:rsidR="00850CA2" w:rsidRPr="00EB0C51" w:rsidRDefault="00850CA2" w:rsidP="00850CA2">
      <w:pPr>
        <w:jc w:val="both"/>
        <w:rPr>
          <w:rFonts w:cs="Arial"/>
          <w:b/>
        </w:rPr>
      </w:pPr>
    </w:p>
    <w:p w14:paraId="70CF5EFE" w14:textId="356F2BE5" w:rsidR="00850CA2" w:rsidRPr="00EB0C51" w:rsidRDefault="00850CA2" w:rsidP="00850CA2">
      <w:pPr>
        <w:jc w:val="both"/>
        <w:rPr>
          <w:rFonts w:cs="Arial"/>
          <w:color w:val="000000" w:themeColor="text1"/>
          <w:lang w:val="es-MX"/>
        </w:rPr>
      </w:pPr>
      <w:r w:rsidRPr="00EB0C51">
        <w:rPr>
          <w:rFonts w:cs="Arial"/>
          <w:color w:val="000000" w:themeColor="text1"/>
        </w:rPr>
        <w:t>La Oficina de Control Interno (En adelante OCI) en el marco del Plan Anual de Auditoría 2021 del Ministerio de Hacienda y Crédito Público (En adelante MHCP)</w:t>
      </w:r>
      <w:r w:rsidR="004D72E6" w:rsidRPr="00EB0C51">
        <w:rPr>
          <w:rFonts w:cs="Arial"/>
          <w:color w:val="000000" w:themeColor="text1"/>
        </w:rPr>
        <w:t>,</w:t>
      </w:r>
      <w:r w:rsidRPr="00EB0C51">
        <w:rPr>
          <w:rFonts w:cs="Arial"/>
          <w:color w:val="000000" w:themeColor="text1"/>
        </w:rPr>
        <w:t xml:space="preserve"> realizó auditoría a</w:t>
      </w:r>
      <w:r w:rsidR="000F275A" w:rsidRPr="00EB0C51">
        <w:rPr>
          <w:rFonts w:cs="Arial"/>
          <w:color w:val="000000" w:themeColor="text1"/>
        </w:rPr>
        <w:t xml:space="preserve"> la ejecución presupuestal de la Entidad</w:t>
      </w:r>
      <w:r w:rsidRPr="00EB0C51">
        <w:rPr>
          <w:rFonts w:cs="Arial"/>
          <w:color w:val="000000" w:themeColor="text1"/>
        </w:rPr>
        <w:t xml:space="preserve"> correspondiente al periodo comprendido entre </w:t>
      </w:r>
      <w:r w:rsidR="000F275A" w:rsidRPr="00EB0C51">
        <w:rPr>
          <w:rFonts w:cs="Arial"/>
          <w:color w:val="000000" w:themeColor="text1"/>
        </w:rPr>
        <w:t>septiembre</w:t>
      </w:r>
      <w:r w:rsidRPr="00EB0C51">
        <w:rPr>
          <w:rFonts w:cs="Arial"/>
          <w:color w:val="000000" w:themeColor="text1"/>
        </w:rPr>
        <w:t xml:space="preserve"> de 2020 a</w:t>
      </w:r>
      <w:r w:rsidR="00D93426" w:rsidRPr="00EB0C51">
        <w:rPr>
          <w:rFonts w:cs="Arial"/>
          <w:color w:val="000000" w:themeColor="text1"/>
        </w:rPr>
        <w:t xml:space="preserve"> junio</w:t>
      </w:r>
      <w:r w:rsidRPr="00EB0C51">
        <w:rPr>
          <w:rFonts w:cs="Arial"/>
          <w:color w:val="000000" w:themeColor="text1"/>
        </w:rPr>
        <w:t xml:space="preserve"> de 2021</w:t>
      </w:r>
      <w:r w:rsidR="005D3BF5" w:rsidRPr="00EB0C51">
        <w:rPr>
          <w:rFonts w:cs="Arial"/>
          <w:color w:val="000000" w:themeColor="text1"/>
        </w:rPr>
        <w:t>,</w:t>
      </w:r>
      <w:r w:rsidRPr="00EB0C51">
        <w:rPr>
          <w:rFonts w:cs="Arial"/>
          <w:color w:val="000000" w:themeColor="text1"/>
        </w:rPr>
        <w:t xml:space="preserve"> de conformidad </w:t>
      </w:r>
      <w:r w:rsidR="00051A91" w:rsidRPr="00EB0C51">
        <w:rPr>
          <w:rFonts w:cs="Arial"/>
          <w:color w:val="000000" w:themeColor="text1"/>
        </w:rPr>
        <w:t xml:space="preserve">con </w:t>
      </w:r>
      <w:r w:rsidRPr="00EB0C51">
        <w:rPr>
          <w:rFonts w:cs="Arial"/>
          <w:color w:val="000000" w:themeColor="text1"/>
        </w:rPr>
        <w:t>lo establecido en el artículo 12 de la Ley 87 de 1993</w:t>
      </w:r>
      <w:r w:rsidR="00D93426" w:rsidRPr="00EB0C51">
        <w:rPr>
          <w:rFonts w:cs="Arial"/>
          <w:color w:val="000000" w:themeColor="text1"/>
        </w:rPr>
        <w:t xml:space="preserve"> y las normas aplicables en materia presupuestal</w:t>
      </w:r>
      <w:r w:rsidRPr="00EB0C51">
        <w:rPr>
          <w:rFonts w:cs="Arial"/>
          <w:color w:val="000000" w:themeColor="text1"/>
          <w:lang w:val="es-MX"/>
        </w:rPr>
        <w:t xml:space="preserve">. La </w:t>
      </w:r>
      <w:r w:rsidRPr="00EB0C51">
        <w:rPr>
          <w:rFonts w:cs="Arial"/>
          <w:color w:val="000000" w:themeColor="text1"/>
        </w:rPr>
        <w:t>verificación se llevó a cabo con el objetivo de establecer la adecuada gestión de</w:t>
      </w:r>
      <w:r w:rsidR="00D93426" w:rsidRPr="00EB0C51">
        <w:rPr>
          <w:rFonts w:cs="Arial"/>
          <w:color w:val="000000" w:themeColor="text1"/>
        </w:rPr>
        <w:t xml:space="preserve">l presupuesto </w:t>
      </w:r>
      <w:r w:rsidR="00051A91" w:rsidRPr="00EB0C51">
        <w:rPr>
          <w:rFonts w:cs="Arial"/>
          <w:color w:val="000000" w:themeColor="text1"/>
        </w:rPr>
        <w:t xml:space="preserve">en el periodo evaluado </w:t>
      </w:r>
      <w:r w:rsidRPr="00EB0C51">
        <w:rPr>
          <w:rFonts w:cs="Arial"/>
          <w:color w:val="000000" w:themeColor="text1"/>
        </w:rPr>
        <w:t xml:space="preserve">e identificar oportunidades de mejora que fortalezcan </w:t>
      </w:r>
      <w:r w:rsidR="00957E6B" w:rsidRPr="00EB0C51">
        <w:rPr>
          <w:rFonts w:cs="Arial"/>
          <w:color w:val="000000" w:themeColor="text1"/>
          <w:lang w:val="es-MX"/>
        </w:rPr>
        <w:t>este aspecto en el MHCP.</w:t>
      </w:r>
    </w:p>
    <w:p w14:paraId="5E7C3533" w14:textId="77777777" w:rsidR="00850CA2" w:rsidRPr="00EB0C51" w:rsidRDefault="00850CA2" w:rsidP="00850CA2">
      <w:pPr>
        <w:jc w:val="both"/>
        <w:rPr>
          <w:rFonts w:cs="Arial"/>
          <w:color w:val="FF0000"/>
          <w:sz w:val="20"/>
          <w:szCs w:val="20"/>
        </w:rPr>
      </w:pPr>
    </w:p>
    <w:p w14:paraId="5E11DA57" w14:textId="0DC0446D" w:rsidR="00850CA2" w:rsidRPr="00EB0C51" w:rsidRDefault="00850CA2" w:rsidP="00850CA2">
      <w:pPr>
        <w:jc w:val="both"/>
        <w:rPr>
          <w:rFonts w:cs="Arial"/>
          <w:color w:val="000000" w:themeColor="text1"/>
        </w:rPr>
      </w:pPr>
      <w:r w:rsidRPr="00EB0C51">
        <w:rPr>
          <w:rFonts w:cs="Arial"/>
          <w:color w:val="000000" w:themeColor="text1"/>
        </w:rPr>
        <w:t>E</w:t>
      </w:r>
      <w:r w:rsidR="002058A0" w:rsidRPr="00EB0C51">
        <w:rPr>
          <w:rFonts w:cs="Arial"/>
          <w:color w:val="000000" w:themeColor="text1"/>
        </w:rPr>
        <w:t>l</w:t>
      </w:r>
      <w:r w:rsidRPr="00EB0C51">
        <w:rPr>
          <w:rFonts w:cs="Arial"/>
          <w:color w:val="000000" w:themeColor="text1"/>
        </w:rPr>
        <w:t xml:space="preserve"> informe mostrará los resultados de la aplicación de pruebas de auditoría, tales como</w:t>
      </w:r>
      <w:r w:rsidR="00382F3E" w:rsidRPr="00EB0C51">
        <w:rPr>
          <w:rFonts w:cs="Arial"/>
          <w:color w:val="000000" w:themeColor="text1"/>
        </w:rPr>
        <w:t xml:space="preserve"> las </w:t>
      </w:r>
      <w:r w:rsidR="00B71491" w:rsidRPr="00EB0C51">
        <w:rPr>
          <w:rFonts w:cs="Arial"/>
          <w:color w:val="000000" w:themeColor="text1"/>
        </w:rPr>
        <w:t>sustantivas</w:t>
      </w:r>
      <w:r w:rsidR="005B7283" w:rsidRPr="00EB0C51">
        <w:rPr>
          <w:rFonts w:cs="Arial"/>
          <w:color w:val="000000" w:themeColor="text1"/>
        </w:rPr>
        <w:t>, usadas a</w:t>
      </w:r>
      <w:r w:rsidR="00AC2804" w:rsidRPr="00EB0C51">
        <w:rPr>
          <w:rFonts w:cs="Arial"/>
          <w:color w:val="000000" w:themeColor="text1"/>
        </w:rPr>
        <w:t xml:space="preserve"> fin de</w:t>
      </w:r>
      <w:r w:rsidR="00B71491" w:rsidRPr="00EB0C51">
        <w:rPr>
          <w:rFonts w:cs="Arial"/>
          <w:color w:val="000000" w:themeColor="text1"/>
        </w:rPr>
        <w:t xml:space="preserve"> determinar </w:t>
      </w:r>
      <w:r w:rsidR="00A72589" w:rsidRPr="00EB0C51">
        <w:rPr>
          <w:rFonts w:cs="Arial"/>
          <w:color w:val="000000" w:themeColor="text1"/>
        </w:rPr>
        <w:t xml:space="preserve">la razonabilidad de los </w:t>
      </w:r>
      <w:r w:rsidRPr="00EB0C51">
        <w:rPr>
          <w:rFonts w:cs="Arial"/>
          <w:color w:val="000000" w:themeColor="text1"/>
        </w:rPr>
        <w:t xml:space="preserve">información </w:t>
      </w:r>
      <w:r w:rsidR="0067028A" w:rsidRPr="00EB0C51">
        <w:rPr>
          <w:rFonts w:cs="Arial"/>
          <w:color w:val="000000" w:themeColor="text1"/>
        </w:rPr>
        <w:t>publicada en la página web de la Entidad</w:t>
      </w:r>
      <w:r w:rsidR="005B7283" w:rsidRPr="00EB0C51">
        <w:rPr>
          <w:rFonts w:cs="Arial"/>
          <w:color w:val="000000" w:themeColor="text1"/>
        </w:rPr>
        <w:t>, en los sistemas de registro</w:t>
      </w:r>
      <w:r w:rsidR="008C7B70" w:rsidRPr="00EB0C51">
        <w:rPr>
          <w:rFonts w:cs="Arial"/>
          <w:color w:val="000000" w:themeColor="text1"/>
        </w:rPr>
        <w:t xml:space="preserve"> </w:t>
      </w:r>
      <w:r w:rsidR="005B7283" w:rsidRPr="00EB0C51">
        <w:rPr>
          <w:rFonts w:cs="Arial"/>
          <w:color w:val="000000" w:themeColor="text1"/>
        </w:rPr>
        <w:t xml:space="preserve">de las actuaciones </w:t>
      </w:r>
      <w:r w:rsidR="001C548C" w:rsidRPr="00EB0C51">
        <w:rPr>
          <w:rFonts w:cs="Arial"/>
          <w:color w:val="000000" w:themeColor="text1"/>
        </w:rPr>
        <w:t>financieras</w:t>
      </w:r>
      <w:r w:rsidR="005B7283" w:rsidRPr="00EB0C51">
        <w:rPr>
          <w:rFonts w:cs="Arial"/>
          <w:color w:val="000000" w:themeColor="text1"/>
        </w:rPr>
        <w:t xml:space="preserve"> </w:t>
      </w:r>
      <w:r w:rsidR="0067028A" w:rsidRPr="00EB0C51">
        <w:rPr>
          <w:rFonts w:cs="Arial"/>
          <w:color w:val="000000" w:themeColor="text1"/>
        </w:rPr>
        <w:t xml:space="preserve">y/o aportada por el auditado. </w:t>
      </w:r>
      <w:r w:rsidRPr="00EB0C51">
        <w:rPr>
          <w:rFonts w:cs="Arial"/>
          <w:color w:val="000000" w:themeColor="text1"/>
        </w:rPr>
        <w:t xml:space="preserve"> </w:t>
      </w:r>
    </w:p>
    <w:p w14:paraId="6DF21C43" w14:textId="77777777" w:rsidR="00850CA2" w:rsidRPr="00EB0C51" w:rsidRDefault="00850CA2" w:rsidP="00850CA2">
      <w:pPr>
        <w:jc w:val="both"/>
        <w:rPr>
          <w:rFonts w:cs="Arial"/>
          <w:color w:val="FF0000"/>
          <w:sz w:val="18"/>
          <w:szCs w:val="18"/>
        </w:rPr>
      </w:pPr>
    </w:p>
    <w:p w14:paraId="7D943ACD" w14:textId="4C99922E" w:rsidR="008113A8" w:rsidRPr="00EB0C51" w:rsidRDefault="00850CA2" w:rsidP="00471889">
      <w:pPr>
        <w:jc w:val="both"/>
        <w:rPr>
          <w:rFonts w:cs="Arial"/>
          <w:color w:val="FF0000"/>
        </w:rPr>
      </w:pPr>
      <w:r w:rsidRPr="00EB0C51">
        <w:rPr>
          <w:rFonts w:cs="Arial"/>
          <w:color w:val="000000" w:themeColor="text1"/>
        </w:rPr>
        <w:t>En el desarrollo del aseguramiento no se presentaron limitaciones</w:t>
      </w:r>
      <w:r w:rsidR="003C25B5" w:rsidRPr="00EB0C51">
        <w:rPr>
          <w:rFonts w:cs="Arial"/>
          <w:color w:val="000000" w:themeColor="text1"/>
        </w:rPr>
        <w:t xml:space="preserve"> </w:t>
      </w:r>
      <w:r w:rsidRPr="00EB0C51">
        <w:rPr>
          <w:rFonts w:cs="Arial"/>
          <w:color w:val="000000" w:themeColor="text1"/>
        </w:rPr>
        <w:t>que impidieran la realización de este</w:t>
      </w:r>
      <w:r w:rsidR="007E4604" w:rsidRPr="00EB0C51">
        <w:rPr>
          <w:rFonts w:cs="Arial"/>
          <w:color w:val="000000" w:themeColor="text1"/>
        </w:rPr>
        <w:t xml:space="preserve">. </w:t>
      </w:r>
    </w:p>
    <w:p w14:paraId="3AA0B4F2" w14:textId="77777777" w:rsidR="00F31468" w:rsidRPr="00EB0C51" w:rsidRDefault="00F31468" w:rsidP="004348FC">
      <w:pPr>
        <w:spacing w:line="168" w:lineRule="auto"/>
        <w:jc w:val="both"/>
        <w:rPr>
          <w:rFonts w:cs="Arial"/>
        </w:rPr>
      </w:pPr>
    </w:p>
    <w:p w14:paraId="424A8619" w14:textId="37D3350B" w:rsidR="0090389C" w:rsidRPr="00EB0C51" w:rsidRDefault="0090389C" w:rsidP="00B94B76">
      <w:pPr>
        <w:numPr>
          <w:ilvl w:val="0"/>
          <w:numId w:val="1"/>
        </w:numPr>
        <w:tabs>
          <w:tab w:val="clear" w:pos="720"/>
          <w:tab w:val="num" w:pos="-240"/>
        </w:tabs>
        <w:ind w:left="360"/>
        <w:jc w:val="both"/>
        <w:rPr>
          <w:rFonts w:cs="Arial"/>
          <w:b/>
        </w:rPr>
      </w:pPr>
      <w:r w:rsidRPr="00EB0C51">
        <w:rPr>
          <w:rFonts w:cs="Arial"/>
          <w:b/>
        </w:rPr>
        <w:t>OBJETIVO</w:t>
      </w:r>
      <w:r w:rsidR="001D0854" w:rsidRPr="00EB0C51">
        <w:rPr>
          <w:rFonts w:cs="Arial"/>
          <w:b/>
        </w:rPr>
        <w:t xml:space="preserve"> Y ALCANCE</w:t>
      </w:r>
    </w:p>
    <w:p w14:paraId="4C7A4214" w14:textId="0945C4CC" w:rsidR="00471889" w:rsidRPr="00EB0C51" w:rsidRDefault="00471889" w:rsidP="00471889">
      <w:pPr>
        <w:jc w:val="both"/>
        <w:rPr>
          <w:rFonts w:cs="Arial"/>
          <w:b/>
        </w:rPr>
      </w:pPr>
    </w:p>
    <w:p w14:paraId="035467FC" w14:textId="4B699EAF" w:rsidR="00E33DC4" w:rsidRPr="00EB0C51" w:rsidRDefault="0016740B" w:rsidP="00E33DC4">
      <w:pPr>
        <w:jc w:val="both"/>
        <w:rPr>
          <w:rFonts w:cs="Arial"/>
          <w:i/>
          <w:iCs/>
          <w:lang w:val="es-MX"/>
        </w:rPr>
      </w:pPr>
      <w:r w:rsidRPr="00EB0C51">
        <w:rPr>
          <w:rFonts w:cs="Arial"/>
          <w:lang w:val="es-MX"/>
        </w:rPr>
        <w:t>El objetivo del trabajo fue “</w:t>
      </w:r>
      <w:r w:rsidR="00E33DC4" w:rsidRPr="00EB0C51">
        <w:rPr>
          <w:rFonts w:cs="Arial"/>
          <w:i/>
          <w:iCs/>
          <w:lang w:val="es-MX"/>
        </w:rPr>
        <w:t>Realizar auditoría a la ejecución presupuestal del Ministerio de Hacienda y Crédito Público MHCP, de conformidad con lo instado en el artículo 12 de la Ley 87 de 1993 y la normatividad vigente que regula la materia. Lo anterior, a partir de la aplicación de pruebas auditoría que permitan analizar la gestión presupuestal desarrollada, con el propósito de establecer oportunidades de mejora, si es el caso, que fortalezcan este aspecto en la Entidad</w:t>
      </w:r>
      <w:r w:rsidRPr="00EB0C51">
        <w:rPr>
          <w:rFonts w:cs="Arial"/>
          <w:i/>
          <w:iCs/>
          <w:lang w:val="es-MX"/>
        </w:rPr>
        <w:t>”</w:t>
      </w:r>
      <w:r w:rsidR="00E33DC4" w:rsidRPr="00EB0C51">
        <w:rPr>
          <w:rFonts w:cs="Arial"/>
          <w:i/>
          <w:iCs/>
          <w:lang w:val="es-MX"/>
        </w:rPr>
        <w:t>.</w:t>
      </w:r>
    </w:p>
    <w:p w14:paraId="2DF98866" w14:textId="58F28F50" w:rsidR="00992E75" w:rsidRPr="00EB0C51" w:rsidRDefault="00992E75" w:rsidP="00E33DC4">
      <w:pPr>
        <w:jc w:val="both"/>
        <w:rPr>
          <w:rFonts w:cs="Arial"/>
          <w:i/>
          <w:iCs/>
          <w:lang w:val="es-MX"/>
        </w:rPr>
      </w:pPr>
    </w:p>
    <w:p w14:paraId="0BFD692C" w14:textId="7F2D6388" w:rsidR="00992E75" w:rsidRPr="00EB0C51" w:rsidRDefault="00992E75" w:rsidP="00992E75">
      <w:pPr>
        <w:jc w:val="both"/>
        <w:rPr>
          <w:rFonts w:cs="Arial"/>
          <w:color w:val="000000" w:themeColor="text1"/>
          <w:lang w:val="es-MX"/>
        </w:rPr>
      </w:pPr>
      <w:r w:rsidRPr="00EB0C51">
        <w:rPr>
          <w:rFonts w:cs="Arial"/>
          <w:color w:val="000000" w:themeColor="text1"/>
          <w:lang w:val="es-MX"/>
        </w:rPr>
        <w:t>La auditoría inici</w:t>
      </w:r>
      <w:r w:rsidR="00F4347F" w:rsidRPr="00EB0C51">
        <w:rPr>
          <w:rFonts w:cs="Arial"/>
          <w:color w:val="000000" w:themeColor="text1"/>
          <w:lang w:val="es-MX"/>
        </w:rPr>
        <w:t>ó</w:t>
      </w:r>
      <w:r w:rsidRPr="00EB0C51">
        <w:rPr>
          <w:rFonts w:cs="Arial"/>
          <w:color w:val="000000" w:themeColor="text1"/>
          <w:lang w:val="es-MX"/>
        </w:rPr>
        <w:t xml:space="preserve"> con la identificación de la asignación presupuestal al </w:t>
      </w:r>
      <w:r w:rsidR="00B37DB9" w:rsidRPr="00EB0C51">
        <w:rPr>
          <w:rFonts w:cs="Arial"/>
          <w:color w:val="000000" w:themeColor="text1"/>
          <w:lang w:val="es-MX"/>
        </w:rPr>
        <w:t>MHCP</w:t>
      </w:r>
      <w:r w:rsidRPr="00EB0C51">
        <w:rPr>
          <w:rFonts w:cs="Arial"/>
          <w:color w:val="000000" w:themeColor="text1"/>
          <w:lang w:val="es-MX"/>
        </w:rPr>
        <w:t xml:space="preserve"> para las vigencias 2020 y 2021 y la revisión de la ejecución realizada por rubros de gastos de la Entidad, contin</w:t>
      </w:r>
      <w:r w:rsidR="000620C3" w:rsidRPr="00EB0C51">
        <w:rPr>
          <w:rFonts w:cs="Arial"/>
          <w:color w:val="000000" w:themeColor="text1"/>
          <w:lang w:val="es-MX"/>
        </w:rPr>
        <w:t>uó</w:t>
      </w:r>
      <w:r w:rsidRPr="00EB0C51">
        <w:rPr>
          <w:rFonts w:cs="Arial"/>
          <w:color w:val="000000" w:themeColor="text1"/>
          <w:lang w:val="es-MX"/>
        </w:rPr>
        <w:t xml:space="preserve"> con la verificación de la gestión llevada a cabo frente al rezago presupuestal 2020 y termin</w:t>
      </w:r>
      <w:r w:rsidR="000620C3" w:rsidRPr="00EB0C51">
        <w:rPr>
          <w:rFonts w:cs="Arial"/>
          <w:color w:val="000000" w:themeColor="text1"/>
          <w:lang w:val="es-MX"/>
        </w:rPr>
        <w:t>ó</w:t>
      </w:r>
      <w:r w:rsidRPr="00EB0C51">
        <w:rPr>
          <w:rFonts w:cs="Arial"/>
          <w:color w:val="000000" w:themeColor="text1"/>
          <w:lang w:val="es-MX"/>
        </w:rPr>
        <w:t xml:space="preserve"> con el seguimiento al P</w:t>
      </w:r>
      <w:r w:rsidR="00CD009C" w:rsidRPr="00EB0C51">
        <w:rPr>
          <w:rFonts w:cs="Arial"/>
          <w:color w:val="000000" w:themeColor="text1"/>
          <w:lang w:val="es-MX"/>
        </w:rPr>
        <w:t>rograma</w:t>
      </w:r>
      <w:r w:rsidRPr="00EB0C51">
        <w:rPr>
          <w:rFonts w:cs="Arial"/>
          <w:color w:val="000000" w:themeColor="text1"/>
          <w:lang w:val="es-MX"/>
        </w:rPr>
        <w:t xml:space="preserve"> Anual Mensualizado de Caja PAC. El periodo de evaluación </w:t>
      </w:r>
      <w:r w:rsidR="00E71642" w:rsidRPr="00EB0C51">
        <w:rPr>
          <w:rFonts w:cs="Arial"/>
          <w:color w:val="000000" w:themeColor="text1"/>
          <w:lang w:val="es-MX"/>
        </w:rPr>
        <w:t xml:space="preserve">fue </w:t>
      </w:r>
      <w:r w:rsidR="00130EBE" w:rsidRPr="00EB0C51">
        <w:rPr>
          <w:rFonts w:cs="Arial"/>
          <w:color w:val="000000" w:themeColor="text1"/>
          <w:lang w:val="es-MX"/>
        </w:rPr>
        <w:t>de</w:t>
      </w:r>
      <w:r w:rsidRPr="00EB0C51">
        <w:rPr>
          <w:rFonts w:cs="Arial"/>
          <w:color w:val="000000" w:themeColor="text1"/>
          <w:lang w:val="es-MX"/>
        </w:rPr>
        <w:t xml:space="preserve"> septiembre de 2020 a junio de 2021.   </w:t>
      </w:r>
    </w:p>
    <w:p w14:paraId="7412E811" w14:textId="77777777" w:rsidR="008630A7" w:rsidRPr="00EB0C51" w:rsidRDefault="008630A7" w:rsidP="004348FC">
      <w:pPr>
        <w:spacing w:line="168" w:lineRule="auto"/>
        <w:jc w:val="both"/>
        <w:rPr>
          <w:rFonts w:cs="Arial"/>
        </w:rPr>
      </w:pPr>
    </w:p>
    <w:p w14:paraId="145DB822" w14:textId="77777777" w:rsidR="00C07238" w:rsidRPr="00EB0C51" w:rsidRDefault="009447FF" w:rsidP="00B94B76">
      <w:pPr>
        <w:numPr>
          <w:ilvl w:val="0"/>
          <w:numId w:val="1"/>
        </w:numPr>
        <w:tabs>
          <w:tab w:val="clear" w:pos="720"/>
          <w:tab w:val="num" w:pos="-240"/>
        </w:tabs>
        <w:ind w:left="360"/>
        <w:jc w:val="both"/>
        <w:rPr>
          <w:rFonts w:cs="Arial"/>
          <w:b/>
        </w:rPr>
      </w:pPr>
      <w:r w:rsidRPr="00EB0C51">
        <w:rPr>
          <w:rFonts w:cs="Arial"/>
          <w:b/>
        </w:rPr>
        <w:t>CRITERIOS DE AUDITORÍA</w:t>
      </w:r>
    </w:p>
    <w:p w14:paraId="6A6DAFD0" w14:textId="77777777" w:rsidR="00C07238" w:rsidRPr="00EB0C51" w:rsidRDefault="00C07238" w:rsidP="00B94B76">
      <w:pPr>
        <w:jc w:val="both"/>
        <w:rPr>
          <w:rFonts w:cs="Arial"/>
          <w:sz w:val="22"/>
          <w:szCs w:val="22"/>
        </w:rPr>
      </w:pPr>
    </w:p>
    <w:p w14:paraId="2769F164" w14:textId="77777777" w:rsidR="00E865F6" w:rsidRPr="00EB0C51" w:rsidRDefault="00E865F6" w:rsidP="00E865F6">
      <w:pPr>
        <w:jc w:val="both"/>
        <w:rPr>
          <w:rFonts w:cs="Arial"/>
          <w:bCs/>
        </w:rPr>
      </w:pPr>
      <w:r w:rsidRPr="00EB0C51">
        <w:rPr>
          <w:rFonts w:cs="Arial"/>
          <w:bCs/>
        </w:rPr>
        <w:t xml:space="preserve">En seguida se relacionan los criterios de auditoría tenidos en cuenta para llevar a cabo el ejercicio de aseguramiento: </w:t>
      </w:r>
    </w:p>
    <w:p w14:paraId="265E4652" w14:textId="77777777" w:rsidR="00E865F6" w:rsidRPr="00EB0C51" w:rsidRDefault="00E865F6" w:rsidP="00E865F6">
      <w:pPr>
        <w:jc w:val="both"/>
        <w:rPr>
          <w:rFonts w:cs="Arial"/>
          <w:bCs/>
        </w:rPr>
      </w:pPr>
    </w:p>
    <w:p w14:paraId="23CC8E99" w14:textId="77777777" w:rsidR="00513524" w:rsidRPr="00EB0C51" w:rsidRDefault="00513524" w:rsidP="00513524">
      <w:pPr>
        <w:pStyle w:val="Prrafodelista"/>
        <w:numPr>
          <w:ilvl w:val="0"/>
          <w:numId w:val="22"/>
        </w:numPr>
        <w:jc w:val="both"/>
        <w:rPr>
          <w:rFonts w:cs="Arial"/>
          <w:lang w:val="es-MX"/>
        </w:rPr>
      </w:pPr>
      <w:r w:rsidRPr="00EB0C51">
        <w:rPr>
          <w:rFonts w:cs="Arial"/>
          <w:lang w:val="es-MX"/>
        </w:rPr>
        <w:t>Ley 87 de 1993, por la cual se establecen normas para el ejercicio de Control Interno.</w:t>
      </w:r>
    </w:p>
    <w:p w14:paraId="7987382E" w14:textId="10E57111" w:rsidR="00513524" w:rsidRPr="00EB0C51" w:rsidRDefault="00513524" w:rsidP="00513524">
      <w:pPr>
        <w:pStyle w:val="Prrafodelista"/>
        <w:numPr>
          <w:ilvl w:val="0"/>
          <w:numId w:val="22"/>
        </w:numPr>
        <w:jc w:val="both"/>
        <w:rPr>
          <w:rFonts w:cs="Arial"/>
          <w:lang w:val="es-MX"/>
        </w:rPr>
      </w:pPr>
      <w:r w:rsidRPr="00EB0C51">
        <w:rPr>
          <w:rFonts w:cs="Arial"/>
          <w:lang w:val="es-MX"/>
        </w:rPr>
        <w:lastRenderedPageBreak/>
        <w:t xml:space="preserve">Decreto 111 de 1996, que compila Ley 38 de 1989, Ley 179 de 1994, Ley 225 de 1995, </w:t>
      </w:r>
      <w:r w:rsidR="00D35354" w:rsidRPr="00EB0C51">
        <w:rPr>
          <w:rFonts w:cs="Arial"/>
          <w:lang w:val="es-MX"/>
        </w:rPr>
        <w:t>l</w:t>
      </w:r>
      <w:r w:rsidR="0088061C" w:rsidRPr="00EB0C51">
        <w:rPr>
          <w:rFonts w:cs="Arial"/>
          <w:lang w:val="es-MX"/>
        </w:rPr>
        <w:t>a</w:t>
      </w:r>
      <w:r w:rsidR="00D35354" w:rsidRPr="00EB0C51">
        <w:rPr>
          <w:rFonts w:cs="Arial"/>
          <w:lang w:val="es-MX"/>
        </w:rPr>
        <w:t>s cuales</w:t>
      </w:r>
      <w:r w:rsidRPr="00EB0C51">
        <w:rPr>
          <w:rFonts w:cs="Arial"/>
          <w:lang w:val="es-MX"/>
        </w:rPr>
        <w:t xml:space="preserve"> conforman el Estatuto Orgánico y Reglamentario del Presupuesto.</w:t>
      </w:r>
    </w:p>
    <w:p w14:paraId="53832A2E" w14:textId="77777777" w:rsidR="00513524" w:rsidRPr="00EB0C51" w:rsidRDefault="00513524" w:rsidP="00513524">
      <w:pPr>
        <w:pStyle w:val="Prrafodelista"/>
        <w:numPr>
          <w:ilvl w:val="0"/>
          <w:numId w:val="22"/>
        </w:numPr>
        <w:jc w:val="both"/>
        <w:rPr>
          <w:rFonts w:cs="Arial"/>
          <w:lang w:val="es-MX"/>
        </w:rPr>
      </w:pPr>
      <w:r w:rsidRPr="00EB0C51">
        <w:rPr>
          <w:rFonts w:cs="Arial"/>
          <w:lang w:val="es-MX"/>
        </w:rPr>
        <w:t>Decreto 1068 de 2015, Decreto Único Reglamentario del Sector Hacienda y Crédito Público.</w:t>
      </w:r>
    </w:p>
    <w:p w14:paraId="69F60F15" w14:textId="77777777" w:rsidR="00513524" w:rsidRPr="00EB0C51" w:rsidRDefault="00513524" w:rsidP="00513524">
      <w:pPr>
        <w:pStyle w:val="Prrafodelista"/>
        <w:numPr>
          <w:ilvl w:val="0"/>
          <w:numId w:val="22"/>
        </w:numPr>
        <w:jc w:val="both"/>
        <w:rPr>
          <w:rFonts w:cs="Arial"/>
          <w:lang w:val="es-MX"/>
        </w:rPr>
      </w:pPr>
      <w:r w:rsidRPr="00EB0C51">
        <w:rPr>
          <w:rFonts w:cs="Arial"/>
          <w:lang w:val="es-MX"/>
        </w:rPr>
        <w:t>Decreto 2411 de 2019, por el cual se liquida el Presupuesto General de la Nación para la vigencia fiscal de 2020, se detallan las apropiaciones y se clasifican y definen los gastos.</w:t>
      </w:r>
    </w:p>
    <w:p w14:paraId="1FAD99CF" w14:textId="77777777" w:rsidR="00513524" w:rsidRPr="00EB0C51" w:rsidRDefault="00513524" w:rsidP="00513524">
      <w:pPr>
        <w:pStyle w:val="Prrafodelista"/>
        <w:numPr>
          <w:ilvl w:val="0"/>
          <w:numId w:val="22"/>
        </w:numPr>
        <w:jc w:val="both"/>
        <w:rPr>
          <w:rFonts w:cs="Arial"/>
          <w:lang w:val="es-MX"/>
        </w:rPr>
      </w:pPr>
      <w:r w:rsidRPr="00EB0C51">
        <w:rPr>
          <w:rFonts w:cs="Arial"/>
          <w:lang w:val="es-MX"/>
        </w:rPr>
        <w:t>Decreto 1805 de 2020, por el cual se liquida el Presupuesto General de la Nación para la vigencia fiscal de 2021, se detallan las apropiaciones y se clasifican y definen los gastos.</w:t>
      </w:r>
    </w:p>
    <w:p w14:paraId="61F2535E" w14:textId="77777777" w:rsidR="00513524" w:rsidRPr="00EB0C51" w:rsidRDefault="00513524" w:rsidP="00513524">
      <w:pPr>
        <w:pStyle w:val="Prrafodelista"/>
        <w:numPr>
          <w:ilvl w:val="0"/>
          <w:numId w:val="22"/>
        </w:numPr>
        <w:jc w:val="both"/>
        <w:rPr>
          <w:rFonts w:cs="Arial"/>
          <w:lang w:val="es-MX"/>
        </w:rPr>
      </w:pPr>
      <w:r w:rsidRPr="00EB0C51">
        <w:rPr>
          <w:rFonts w:cs="Arial"/>
          <w:lang w:val="es-MX"/>
        </w:rPr>
        <w:t xml:space="preserve">Manual Operativo del Modelo Integrado de Planeación y Gestión, Versión 4 de 2021 del Consejo para la Gestión y Desempeño Institucional. </w:t>
      </w:r>
    </w:p>
    <w:p w14:paraId="230BE0D6" w14:textId="77777777" w:rsidR="004348FC" w:rsidRPr="00EB0C51" w:rsidRDefault="004348FC" w:rsidP="00B94B76">
      <w:pPr>
        <w:jc w:val="both"/>
        <w:rPr>
          <w:rFonts w:cs="Arial"/>
          <w:sz w:val="22"/>
          <w:szCs w:val="22"/>
        </w:rPr>
      </w:pPr>
    </w:p>
    <w:p w14:paraId="4356BCCB" w14:textId="1B1B239F" w:rsidR="008A01DA" w:rsidRPr="00EB0C51" w:rsidRDefault="006A09B6" w:rsidP="008A01DA">
      <w:pPr>
        <w:numPr>
          <w:ilvl w:val="0"/>
          <w:numId w:val="1"/>
        </w:numPr>
        <w:tabs>
          <w:tab w:val="clear" w:pos="720"/>
          <w:tab w:val="num" w:pos="-240"/>
        </w:tabs>
        <w:ind w:left="360"/>
        <w:jc w:val="both"/>
        <w:rPr>
          <w:rFonts w:cs="Arial"/>
          <w:b/>
        </w:rPr>
      </w:pPr>
      <w:r w:rsidRPr="00EB0C51">
        <w:rPr>
          <w:rFonts w:cs="Arial"/>
          <w:b/>
        </w:rPr>
        <w:t>ANÁLISIS</w:t>
      </w:r>
      <w:r w:rsidR="00DA68A8" w:rsidRPr="00EB0C51">
        <w:rPr>
          <w:rFonts w:cs="Arial"/>
          <w:b/>
        </w:rPr>
        <w:t>, OBSERVACIONES</w:t>
      </w:r>
      <w:r w:rsidR="004348FC" w:rsidRPr="00EB0C51">
        <w:rPr>
          <w:rFonts w:cs="Arial"/>
          <w:b/>
        </w:rPr>
        <w:t xml:space="preserve"> Y</w:t>
      </w:r>
      <w:r w:rsidR="00DA68A8" w:rsidRPr="00EB0C51">
        <w:rPr>
          <w:rFonts w:cs="Arial"/>
          <w:b/>
        </w:rPr>
        <w:t xml:space="preserve"> RECOMENDACIONES</w:t>
      </w:r>
    </w:p>
    <w:p w14:paraId="7E0690C1" w14:textId="5CEC387E" w:rsidR="00707675" w:rsidRPr="00EB0C51" w:rsidRDefault="00707675" w:rsidP="00707675">
      <w:pPr>
        <w:jc w:val="both"/>
        <w:rPr>
          <w:rFonts w:cs="Arial"/>
          <w:b/>
        </w:rPr>
      </w:pPr>
    </w:p>
    <w:p w14:paraId="2949B7D8" w14:textId="6F5A540E" w:rsidR="00707675" w:rsidRPr="00EB0C51" w:rsidRDefault="00707675" w:rsidP="00707675">
      <w:pPr>
        <w:rPr>
          <w:rFonts w:cs="Arial"/>
          <w:b/>
          <w:bCs/>
        </w:rPr>
      </w:pPr>
      <w:r w:rsidRPr="00EB0C51">
        <w:rPr>
          <w:rFonts w:cs="Arial"/>
          <w:b/>
        </w:rPr>
        <w:t xml:space="preserve">4.1 </w:t>
      </w:r>
      <w:r w:rsidRPr="00EB0C51">
        <w:rPr>
          <w:rFonts w:cs="Arial"/>
          <w:b/>
          <w:bCs/>
        </w:rPr>
        <w:t>Contextualización desarrollo ejercicio de auditoría</w:t>
      </w:r>
    </w:p>
    <w:p w14:paraId="7757A155" w14:textId="77D52AA5" w:rsidR="00E60794" w:rsidRPr="00EB0C51" w:rsidRDefault="00E60794" w:rsidP="00707675">
      <w:pPr>
        <w:rPr>
          <w:rFonts w:cs="Arial"/>
          <w:b/>
          <w:bCs/>
        </w:rPr>
      </w:pPr>
    </w:p>
    <w:p w14:paraId="47D1E404" w14:textId="30F03215" w:rsidR="00E60794" w:rsidRPr="00EB0C51" w:rsidRDefault="00E60794" w:rsidP="00707675">
      <w:pPr>
        <w:rPr>
          <w:rFonts w:cs="Arial"/>
          <w:b/>
          <w:bCs/>
        </w:rPr>
      </w:pPr>
      <w:r w:rsidRPr="00EB0C51">
        <w:rPr>
          <w:rFonts w:cs="Arial"/>
          <w:b/>
          <w:bCs/>
        </w:rPr>
        <w:t xml:space="preserve">4.1.1 </w:t>
      </w:r>
      <w:r w:rsidR="003F7223" w:rsidRPr="00EB0C51">
        <w:rPr>
          <w:rFonts w:cs="Arial"/>
          <w:b/>
          <w:bCs/>
        </w:rPr>
        <w:t xml:space="preserve">Presupuestos vigencias 2020 y 2021 </w:t>
      </w:r>
    </w:p>
    <w:p w14:paraId="2FF47776" w14:textId="1F15D00B" w:rsidR="008A01DA" w:rsidRPr="00EB0C51" w:rsidRDefault="008A01DA" w:rsidP="00707675">
      <w:pPr>
        <w:rPr>
          <w:rFonts w:cs="Arial"/>
          <w:b/>
          <w:bCs/>
        </w:rPr>
      </w:pPr>
    </w:p>
    <w:p w14:paraId="553357C4" w14:textId="798D4CDA" w:rsidR="007D1975" w:rsidRPr="00EB0C51" w:rsidRDefault="007D1975" w:rsidP="007D1975">
      <w:pPr>
        <w:jc w:val="both"/>
        <w:rPr>
          <w:rFonts w:cs="Arial"/>
          <w:color w:val="000000" w:themeColor="text1"/>
          <w:lang w:val="es-MX"/>
        </w:rPr>
      </w:pPr>
      <w:r w:rsidRPr="00EB0C51">
        <w:rPr>
          <w:rFonts w:cs="Arial"/>
          <w:color w:val="000000" w:themeColor="text1"/>
        </w:rPr>
        <w:t>Para el desarrollo de la auditoría a</w:t>
      </w:r>
      <w:r w:rsidR="00B82C4E" w:rsidRPr="00EB0C51">
        <w:rPr>
          <w:rFonts w:cs="Arial"/>
          <w:color w:val="000000" w:themeColor="text1"/>
        </w:rPr>
        <w:t xml:space="preserve"> la ejecución presupuestal del MHCP se tuvieron en cuenta en primera instancia los informes de ejecución presupuestal </w:t>
      </w:r>
      <w:r w:rsidR="000601E1" w:rsidRPr="00EB0C51">
        <w:rPr>
          <w:rFonts w:cs="Arial"/>
          <w:color w:val="000000" w:themeColor="text1"/>
        </w:rPr>
        <w:t xml:space="preserve">del periodo evaluado, </w:t>
      </w:r>
      <w:r w:rsidR="00B82C4E" w:rsidRPr="00EB0C51">
        <w:rPr>
          <w:rFonts w:cs="Arial"/>
          <w:color w:val="000000" w:themeColor="text1"/>
        </w:rPr>
        <w:t xml:space="preserve">publicados en la página web </w:t>
      </w:r>
      <w:r w:rsidR="00AE0F06" w:rsidRPr="00EB0C51">
        <w:rPr>
          <w:rFonts w:cs="Arial"/>
          <w:color w:val="000000" w:themeColor="text1"/>
        </w:rPr>
        <w:t xml:space="preserve">de la Entidad </w:t>
      </w:r>
      <w:r w:rsidR="00B82C4E" w:rsidRPr="00EB0C51">
        <w:rPr>
          <w:rFonts w:cs="Arial"/>
          <w:color w:val="000000" w:themeColor="text1"/>
        </w:rPr>
        <w:t>en cumplimiento de la Ley de Transparencia y del Derecho de Acceso a la Información Pública Nacional</w:t>
      </w:r>
      <w:r w:rsidRPr="00EB0C51">
        <w:rPr>
          <w:rFonts w:cs="Arial"/>
          <w:color w:val="000000" w:themeColor="text1"/>
        </w:rPr>
        <w:t>.</w:t>
      </w:r>
    </w:p>
    <w:p w14:paraId="2DBAEC2C" w14:textId="77777777" w:rsidR="007D1975" w:rsidRPr="00EB0C51" w:rsidRDefault="007D1975" w:rsidP="007D1975">
      <w:pPr>
        <w:jc w:val="both"/>
        <w:rPr>
          <w:rFonts w:cs="Arial"/>
          <w:color w:val="FF0000"/>
          <w:lang w:val="es-MX"/>
        </w:rPr>
      </w:pPr>
    </w:p>
    <w:p w14:paraId="57E8B745" w14:textId="70C384DE" w:rsidR="005F5765" w:rsidRPr="00EB0C51" w:rsidRDefault="008B69B8" w:rsidP="00707675">
      <w:pPr>
        <w:jc w:val="both"/>
        <w:rPr>
          <w:rFonts w:cs="Arial"/>
          <w:color w:val="000000" w:themeColor="text1"/>
        </w:rPr>
      </w:pPr>
      <w:r w:rsidRPr="00EB0C51">
        <w:rPr>
          <w:rFonts w:cs="Arial"/>
          <w:color w:val="000000" w:themeColor="text1"/>
        </w:rPr>
        <w:t xml:space="preserve">Conforme </w:t>
      </w:r>
      <w:r w:rsidR="00FA3392" w:rsidRPr="00EB0C51">
        <w:rPr>
          <w:rFonts w:cs="Arial"/>
          <w:color w:val="000000" w:themeColor="text1"/>
        </w:rPr>
        <w:t xml:space="preserve">con </w:t>
      </w:r>
      <w:r w:rsidRPr="00EB0C51">
        <w:rPr>
          <w:rFonts w:cs="Arial"/>
          <w:color w:val="000000" w:themeColor="text1"/>
        </w:rPr>
        <w:t xml:space="preserve">lo establecido en el artículo 52 de la Ley </w:t>
      </w:r>
      <w:r w:rsidR="000F1103" w:rsidRPr="00EB0C51">
        <w:rPr>
          <w:rFonts w:cs="Arial"/>
          <w:color w:val="000000" w:themeColor="text1"/>
        </w:rPr>
        <w:t xml:space="preserve">2008 de 2019 y el artículo 51 de la Ley </w:t>
      </w:r>
      <w:r w:rsidR="00A0574C" w:rsidRPr="00EB0C51">
        <w:rPr>
          <w:rFonts w:cs="Arial"/>
          <w:color w:val="000000" w:themeColor="text1"/>
        </w:rPr>
        <w:t>2063 de 2020,</w:t>
      </w:r>
      <w:r w:rsidR="000117C9" w:rsidRPr="00EB0C51">
        <w:rPr>
          <w:rFonts w:cs="Arial"/>
          <w:color w:val="000000" w:themeColor="text1"/>
        </w:rPr>
        <w:t xml:space="preserve"> por las cuales </w:t>
      </w:r>
      <w:r w:rsidR="00E13145" w:rsidRPr="00EB0C51">
        <w:rPr>
          <w:rFonts w:cs="Arial"/>
          <w:color w:val="000000" w:themeColor="text1"/>
        </w:rPr>
        <w:t xml:space="preserve">se decretan </w:t>
      </w:r>
      <w:r w:rsidR="000117C9" w:rsidRPr="00EB0C51">
        <w:rPr>
          <w:rFonts w:cs="Arial"/>
          <w:color w:val="000000" w:themeColor="text1"/>
        </w:rPr>
        <w:t xml:space="preserve">los </w:t>
      </w:r>
      <w:r w:rsidR="004E0A38" w:rsidRPr="00EB0C51">
        <w:rPr>
          <w:rFonts w:cs="Arial"/>
          <w:color w:val="000000" w:themeColor="text1"/>
        </w:rPr>
        <w:t>P</w:t>
      </w:r>
      <w:r w:rsidR="000117C9" w:rsidRPr="00EB0C51">
        <w:rPr>
          <w:rFonts w:cs="Arial"/>
          <w:color w:val="000000" w:themeColor="text1"/>
        </w:rPr>
        <w:t xml:space="preserve">resupuestos de </w:t>
      </w:r>
      <w:r w:rsidR="004E0A38" w:rsidRPr="00EB0C51">
        <w:rPr>
          <w:rFonts w:cs="Arial"/>
          <w:color w:val="000000" w:themeColor="text1"/>
        </w:rPr>
        <w:t>R</w:t>
      </w:r>
      <w:r w:rsidR="000117C9" w:rsidRPr="00EB0C51">
        <w:rPr>
          <w:rFonts w:cs="Arial"/>
          <w:color w:val="000000" w:themeColor="text1"/>
        </w:rPr>
        <w:t xml:space="preserve">entas y </w:t>
      </w:r>
      <w:r w:rsidR="004E0A38" w:rsidRPr="00EB0C51">
        <w:rPr>
          <w:rFonts w:cs="Arial"/>
          <w:color w:val="000000" w:themeColor="text1"/>
        </w:rPr>
        <w:t>R</w:t>
      </w:r>
      <w:r w:rsidR="000117C9" w:rsidRPr="00EB0C51">
        <w:rPr>
          <w:rFonts w:cs="Arial"/>
          <w:color w:val="000000" w:themeColor="text1"/>
        </w:rPr>
        <w:t xml:space="preserve">ecursos de </w:t>
      </w:r>
      <w:r w:rsidR="004E0A38" w:rsidRPr="00EB0C51">
        <w:rPr>
          <w:rFonts w:cs="Arial"/>
          <w:color w:val="000000" w:themeColor="text1"/>
        </w:rPr>
        <w:t>C</w:t>
      </w:r>
      <w:r w:rsidR="000117C9" w:rsidRPr="00EB0C51">
        <w:rPr>
          <w:rFonts w:cs="Arial"/>
          <w:color w:val="000000" w:themeColor="text1"/>
        </w:rPr>
        <w:t xml:space="preserve">apital y </w:t>
      </w:r>
      <w:r w:rsidR="004E0A38" w:rsidRPr="00EB0C51">
        <w:rPr>
          <w:rFonts w:cs="Arial"/>
          <w:color w:val="000000" w:themeColor="text1"/>
        </w:rPr>
        <w:t>L</w:t>
      </w:r>
      <w:r w:rsidR="000117C9" w:rsidRPr="00EB0C51">
        <w:rPr>
          <w:rFonts w:cs="Arial"/>
          <w:color w:val="000000" w:themeColor="text1"/>
        </w:rPr>
        <w:t xml:space="preserve">ey de </w:t>
      </w:r>
      <w:r w:rsidR="004E0A38" w:rsidRPr="00EB0C51">
        <w:rPr>
          <w:rFonts w:cs="Arial"/>
          <w:color w:val="000000" w:themeColor="text1"/>
        </w:rPr>
        <w:t>A</w:t>
      </w:r>
      <w:r w:rsidR="000117C9" w:rsidRPr="00EB0C51">
        <w:rPr>
          <w:rFonts w:cs="Arial"/>
          <w:color w:val="000000" w:themeColor="text1"/>
        </w:rPr>
        <w:t xml:space="preserve">propiaciones </w:t>
      </w:r>
      <w:r w:rsidR="006C74B8" w:rsidRPr="00EB0C51">
        <w:rPr>
          <w:rFonts w:cs="Arial"/>
          <w:color w:val="000000" w:themeColor="text1"/>
        </w:rPr>
        <w:t xml:space="preserve">para </w:t>
      </w:r>
      <w:r w:rsidR="000117C9" w:rsidRPr="00EB0C51">
        <w:rPr>
          <w:rFonts w:cs="Arial"/>
          <w:color w:val="000000" w:themeColor="text1"/>
        </w:rPr>
        <w:t>las vigencias</w:t>
      </w:r>
      <w:r w:rsidR="004E0A38" w:rsidRPr="00EB0C51">
        <w:rPr>
          <w:rFonts w:cs="Arial"/>
          <w:color w:val="000000" w:themeColor="text1"/>
        </w:rPr>
        <w:t xml:space="preserve"> fiscales</w:t>
      </w:r>
      <w:r w:rsidR="00466A14" w:rsidRPr="00EB0C51">
        <w:rPr>
          <w:rFonts w:cs="Arial"/>
          <w:color w:val="000000" w:themeColor="text1"/>
        </w:rPr>
        <w:t xml:space="preserve"> del 1° de enero al 31 de diciembre de </w:t>
      </w:r>
      <w:r w:rsidR="000117C9" w:rsidRPr="00EB0C51">
        <w:rPr>
          <w:rFonts w:cs="Arial"/>
          <w:color w:val="000000" w:themeColor="text1"/>
        </w:rPr>
        <w:t xml:space="preserve"> </w:t>
      </w:r>
      <w:r w:rsidR="006C74B8" w:rsidRPr="00EB0C51">
        <w:rPr>
          <w:rFonts w:cs="Arial"/>
          <w:color w:val="000000" w:themeColor="text1"/>
        </w:rPr>
        <w:t>2020 y 202</w:t>
      </w:r>
      <w:r w:rsidR="00060BA3" w:rsidRPr="00EB0C51">
        <w:rPr>
          <w:rFonts w:cs="Arial"/>
          <w:color w:val="000000" w:themeColor="text1"/>
        </w:rPr>
        <w:t>1</w:t>
      </w:r>
      <w:r w:rsidR="00466A14" w:rsidRPr="00EB0C51">
        <w:rPr>
          <w:rFonts w:cs="Arial"/>
          <w:color w:val="000000" w:themeColor="text1"/>
        </w:rPr>
        <w:t>;</w:t>
      </w:r>
      <w:r w:rsidR="007F3B71" w:rsidRPr="00EB0C51">
        <w:rPr>
          <w:rFonts w:cs="Arial"/>
          <w:color w:val="000000" w:themeColor="text1"/>
        </w:rPr>
        <w:t xml:space="preserve"> </w:t>
      </w:r>
      <w:r w:rsidR="00182D59" w:rsidRPr="00EB0C51">
        <w:rPr>
          <w:rFonts w:cs="Arial"/>
          <w:color w:val="000000" w:themeColor="text1"/>
        </w:rPr>
        <w:t>el presupuesto de la Entidad</w:t>
      </w:r>
      <w:r w:rsidR="00060BA3" w:rsidRPr="00EB0C51">
        <w:rPr>
          <w:rFonts w:cs="Arial"/>
          <w:color w:val="000000" w:themeColor="text1"/>
        </w:rPr>
        <w:t xml:space="preserve"> </w:t>
      </w:r>
      <w:r w:rsidR="006C74B8" w:rsidRPr="00EB0C51">
        <w:rPr>
          <w:rFonts w:cs="Arial"/>
          <w:color w:val="000000" w:themeColor="text1"/>
        </w:rPr>
        <w:t>incluye</w:t>
      </w:r>
      <w:r w:rsidR="00C440CD" w:rsidRPr="00EB0C51">
        <w:rPr>
          <w:rFonts w:cs="Arial"/>
          <w:color w:val="000000" w:themeColor="text1"/>
        </w:rPr>
        <w:t xml:space="preserve"> una apropiación con el objeto de atender los gastos, en otras secciones presupuestales, para la prevención y atención de desastres, Atención, Asistencia y Reparación Integral a las Víctimas del Conflicto Armado Interno, así como para financiar programas y proyectos de inversión que se encuentren debidamente registrados en el Banco Nacional de Programas y Proyectos</w:t>
      </w:r>
      <w:r w:rsidR="00FD0038" w:rsidRPr="00EB0C51">
        <w:rPr>
          <w:rFonts w:cs="Arial"/>
          <w:color w:val="000000" w:themeColor="text1"/>
        </w:rPr>
        <w:t>, por lo que</w:t>
      </w:r>
      <w:r w:rsidR="009E36F3" w:rsidRPr="00EB0C51">
        <w:rPr>
          <w:rFonts w:cs="Arial"/>
          <w:color w:val="000000" w:themeColor="text1"/>
        </w:rPr>
        <w:t xml:space="preserve"> </w:t>
      </w:r>
      <w:r w:rsidR="003F69C6" w:rsidRPr="00EB0C51">
        <w:rPr>
          <w:rFonts w:cs="Arial"/>
          <w:color w:val="000000" w:themeColor="text1"/>
        </w:rPr>
        <w:t>a continuación se presentan la</w:t>
      </w:r>
      <w:r w:rsidR="002656DD" w:rsidRPr="00EB0C51">
        <w:rPr>
          <w:rFonts w:cs="Arial"/>
          <w:color w:val="000000" w:themeColor="text1"/>
        </w:rPr>
        <w:t>s</w:t>
      </w:r>
      <w:r w:rsidR="003F69C6" w:rsidRPr="00EB0C51">
        <w:rPr>
          <w:rFonts w:cs="Arial"/>
          <w:color w:val="000000" w:themeColor="text1"/>
        </w:rPr>
        <w:t xml:space="preserve"> </w:t>
      </w:r>
      <w:r w:rsidR="00BE6399" w:rsidRPr="00EB0C51">
        <w:rPr>
          <w:rFonts w:cs="Arial"/>
          <w:color w:val="000000" w:themeColor="text1"/>
        </w:rPr>
        <w:t xml:space="preserve">tablas </w:t>
      </w:r>
      <w:r w:rsidR="003F69C6" w:rsidRPr="00EB0C51">
        <w:rPr>
          <w:rFonts w:cs="Arial"/>
          <w:color w:val="000000" w:themeColor="text1"/>
        </w:rPr>
        <w:t xml:space="preserve"> No. 1 y</w:t>
      </w:r>
      <w:r w:rsidR="00107116" w:rsidRPr="00EB0C51">
        <w:rPr>
          <w:rFonts w:cs="Arial"/>
          <w:color w:val="000000" w:themeColor="text1"/>
        </w:rPr>
        <w:t xml:space="preserve"> </w:t>
      </w:r>
      <w:r w:rsidR="003F69C6" w:rsidRPr="00EB0C51">
        <w:rPr>
          <w:rFonts w:cs="Arial"/>
          <w:color w:val="000000" w:themeColor="text1"/>
        </w:rPr>
        <w:t xml:space="preserve"> 2 las cuales relacionan </w:t>
      </w:r>
      <w:r w:rsidR="00453B34" w:rsidRPr="00EB0C51">
        <w:rPr>
          <w:rFonts w:cs="Arial"/>
          <w:color w:val="000000" w:themeColor="text1"/>
        </w:rPr>
        <w:t>los</w:t>
      </w:r>
      <w:r w:rsidR="00CA3213" w:rsidRPr="00EB0C51">
        <w:rPr>
          <w:rFonts w:cs="Arial"/>
          <w:color w:val="000000" w:themeColor="text1"/>
        </w:rPr>
        <w:t xml:space="preserve"> presupuesto</w:t>
      </w:r>
      <w:r w:rsidR="00453B34" w:rsidRPr="00EB0C51">
        <w:rPr>
          <w:rFonts w:cs="Arial"/>
          <w:color w:val="000000" w:themeColor="text1"/>
        </w:rPr>
        <w:t>s</w:t>
      </w:r>
      <w:r w:rsidR="00CA3213" w:rsidRPr="00EB0C51">
        <w:rPr>
          <w:rFonts w:cs="Arial"/>
          <w:color w:val="000000" w:themeColor="text1"/>
        </w:rPr>
        <w:t xml:space="preserve"> objeto de </w:t>
      </w:r>
      <w:r w:rsidR="00453B34" w:rsidRPr="00EB0C51">
        <w:rPr>
          <w:rFonts w:cs="Arial"/>
          <w:color w:val="000000" w:themeColor="text1"/>
        </w:rPr>
        <w:t>auditoría</w:t>
      </w:r>
      <w:r w:rsidR="00CA3213" w:rsidRPr="00EB0C51">
        <w:rPr>
          <w:rFonts w:cs="Arial"/>
          <w:color w:val="000000" w:themeColor="text1"/>
        </w:rPr>
        <w:t>, posterior</w:t>
      </w:r>
      <w:r w:rsidR="003D2760" w:rsidRPr="00EB0C51">
        <w:rPr>
          <w:rFonts w:cs="Arial"/>
          <w:color w:val="000000" w:themeColor="text1"/>
        </w:rPr>
        <w:t>es</w:t>
      </w:r>
      <w:r w:rsidR="00CA3213" w:rsidRPr="00EB0C51">
        <w:rPr>
          <w:rFonts w:cs="Arial"/>
          <w:color w:val="000000" w:themeColor="text1"/>
        </w:rPr>
        <w:t xml:space="preserve"> a las adiciones y reducciones que </w:t>
      </w:r>
      <w:r w:rsidR="00B138DA" w:rsidRPr="00EB0C51">
        <w:rPr>
          <w:rFonts w:cs="Arial"/>
          <w:color w:val="000000" w:themeColor="text1"/>
        </w:rPr>
        <w:t>tuv</w:t>
      </w:r>
      <w:r w:rsidR="003D2760" w:rsidRPr="00EB0C51">
        <w:rPr>
          <w:rFonts w:cs="Arial"/>
          <w:color w:val="000000" w:themeColor="text1"/>
        </w:rPr>
        <w:t>ieron</w:t>
      </w:r>
      <w:r w:rsidR="00B138DA" w:rsidRPr="00EB0C51">
        <w:rPr>
          <w:rFonts w:cs="Arial"/>
          <w:color w:val="000000" w:themeColor="text1"/>
        </w:rPr>
        <w:t xml:space="preserve"> la</w:t>
      </w:r>
      <w:r w:rsidR="003D2760" w:rsidRPr="00EB0C51">
        <w:rPr>
          <w:rFonts w:cs="Arial"/>
          <w:color w:val="000000" w:themeColor="text1"/>
        </w:rPr>
        <w:t>s</w:t>
      </w:r>
      <w:r w:rsidR="00B138DA" w:rsidRPr="00EB0C51">
        <w:rPr>
          <w:rFonts w:cs="Arial"/>
          <w:color w:val="000000" w:themeColor="text1"/>
        </w:rPr>
        <w:t xml:space="preserve"> apropiaci</w:t>
      </w:r>
      <w:r w:rsidR="003D2760" w:rsidRPr="00EB0C51">
        <w:rPr>
          <w:rFonts w:cs="Arial"/>
          <w:color w:val="000000" w:themeColor="text1"/>
        </w:rPr>
        <w:t>ones</w:t>
      </w:r>
      <w:r w:rsidR="00B138DA" w:rsidRPr="00EB0C51">
        <w:rPr>
          <w:rFonts w:cs="Arial"/>
          <w:color w:val="000000" w:themeColor="text1"/>
        </w:rPr>
        <w:t xml:space="preserve"> inicial</w:t>
      </w:r>
      <w:r w:rsidR="003D2760" w:rsidRPr="00EB0C51">
        <w:rPr>
          <w:rFonts w:cs="Arial"/>
          <w:color w:val="000000" w:themeColor="text1"/>
        </w:rPr>
        <w:t>es</w:t>
      </w:r>
      <w:r w:rsidR="00B138DA" w:rsidRPr="00EB0C51">
        <w:rPr>
          <w:rFonts w:cs="Arial"/>
          <w:color w:val="000000" w:themeColor="text1"/>
        </w:rPr>
        <w:t xml:space="preserve"> para 2020</w:t>
      </w:r>
      <w:r w:rsidR="00D11437" w:rsidRPr="00EB0C51">
        <w:rPr>
          <w:rFonts w:cs="Arial"/>
          <w:color w:val="000000" w:themeColor="text1"/>
        </w:rPr>
        <w:t xml:space="preserve"> </w:t>
      </w:r>
      <w:r w:rsidR="00B138DA" w:rsidRPr="00EB0C51">
        <w:rPr>
          <w:rFonts w:cs="Arial"/>
          <w:color w:val="000000" w:themeColor="text1"/>
        </w:rPr>
        <w:t xml:space="preserve">y </w:t>
      </w:r>
      <w:r w:rsidR="00820959" w:rsidRPr="00EB0C51">
        <w:rPr>
          <w:rFonts w:cs="Arial"/>
          <w:color w:val="000000" w:themeColor="text1"/>
        </w:rPr>
        <w:t xml:space="preserve">primer semestre de </w:t>
      </w:r>
      <w:r w:rsidR="00B138DA" w:rsidRPr="00EB0C51">
        <w:rPr>
          <w:rFonts w:cs="Arial"/>
          <w:color w:val="000000" w:themeColor="text1"/>
        </w:rPr>
        <w:t>2021</w:t>
      </w:r>
      <w:r w:rsidR="00722D7C" w:rsidRPr="00EB0C51">
        <w:rPr>
          <w:rFonts w:cs="Arial"/>
          <w:color w:val="000000" w:themeColor="text1"/>
        </w:rPr>
        <w:t xml:space="preserve">, tanto </w:t>
      </w:r>
      <w:r w:rsidR="00820959" w:rsidRPr="00EB0C51">
        <w:rPr>
          <w:rFonts w:cs="Arial"/>
          <w:color w:val="000000" w:themeColor="text1"/>
        </w:rPr>
        <w:t xml:space="preserve">para el rubro de </w:t>
      </w:r>
      <w:r w:rsidR="00F4365E" w:rsidRPr="00EB0C51">
        <w:rPr>
          <w:rFonts w:cs="Arial"/>
          <w:color w:val="000000" w:themeColor="text1"/>
        </w:rPr>
        <w:t xml:space="preserve">funcionamiento </w:t>
      </w:r>
      <w:r w:rsidR="00722D7C" w:rsidRPr="00EB0C51">
        <w:rPr>
          <w:rFonts w:cs="Arial"/>
          <w:color w:val="000000" w:themeColor="text1"/>
        </w:rPr>
        <w:t xml:space="preserve">como </w:t>
      </w:r>
      <w:r w:rsidR="00915BE7" w:rsidRPr="00EB0C51">
        <w:rPr>
          <w:rFonts w:cs="Arial"/>
          <w:color w:val="000000" w:themeColor="text1"/>
        </w:rPr>
        <w:t xml:space="preserve">para el de </w:t>
      </w:r>
      <w:r w:rsidR="00F4365E" w:rsidRPr="00EB0C51">
        <w:rPr>
          <w:rFonts w:cs="Arial"/>
          <w:color w:val="000000" w:themeColor="text1"/>
        </w:rPr>
        <w:t xml:space="preserve">inversión. </w:t>
      </w:r>
    </w:p>
    <w:p w14:paraId="2460C239" w14:textId="6951057B" w:rsidR="00E530BD" w:rsidRPr="00EB0C51" w:rsidRDefault="00E530BD" w:rsidP="00707675">
      <w:pPr>
        <w:jc w:val="both"/>
        <w:rPr>
          <w:rFonts w:cs="Arial"/>
          <w:color w:val="000000" w:themeColor="text1"/>
        </w:rPr>
      </w:pPr>
    </w:p>
    <w:p w14:paraId="16044442" w14:textId="741B143E" w:rsidR="008F4E6E" w:rsidRPr="00EB0C51" w:rsidRDefault="00E530BD" w:rsidP="008F4E6E">
      <w:pPr>
        <w:pStyle w:val="Descripcin"/>
        <w:jc w:val="center"/>
        <w:rPr>
          <w:rFonts w:cs="Arial"/>
          <w:i w:val="0"/>
          <w:iCs w:val="0"/>
          <w:color w:val="000000" w:themeColor="text1"/>
          <w:sz w:val="24"/>
          <w:szCs w:val="24"/>
        </w:rPr>
      </w:pPr>
      <w:r w:rsidRPr="00EB0C51">
        <w:rPr>
          <w:rFonts w:cs="Arial"/>
          <w:color w:val="000000" w:themeColor="text1"/>
          <w:sz w:val="24"/>
          <w:szCs w:val="24"/>
        </w:rPr>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1</w:t>
      </w:r>
      <w:r w:rsidRPr="00EB0C51">
        <w:rPr>
          <w:rFonts w:cs="Arial"/>
          <w:color w:val="000000" w:themeColor="text1"/>
          <w:sz w:val="24"/>
          <w:szCs w:val="24"/>
        </w:rPr>
        <w:fldChar w:fldCharType="end"/>
      </w:r>
      <w:r w:rsidRPr="00EB0C51">
        <w:rPr>
          <w:rFonts w:cs="Arial"/>
          <w:color w:val="000000" w:themeColor="text1"/>
          <w:sz w:val="24"/>
          <w:szCs w:val="24"/>
        </w:rPr>
        <w:t xml:space="preserve">. </w:t>
      </w:r>
      <w:r w:rsidR="00A71897" w:rsidRPr="00EB0C51">
        <w:rPr>
          <w:rFonts w:cs="Arial"/>
          <w:i w:val="0"/>
          <w:iCs w:val="0"/>
          <w:color w:val="000000" w:themeColor="text1"/>
          <w:sz w:val="24"/>
          <w:szCs w:val="24"/>
        </w:rPr>
        <w:t>Apropiación vigente</w:t>
      </w:r>
      <w:r w:rsidR="00E73C33" w:rsidRPr="00EB0C51">
        <w:rPr>
          <w:rFonts w:cs="Arial"/>
          <w:i w:val="0"/>
          <w:iCs w:val="0"/>
          <w:color w:val="000000" w:themeColor="text1"/>
          <w:sz w:val="24"/>
          <w:szCs w:val="24"/>
        </w:rPr>
        <w:t xml:space="preserve"> MHCP con corte a diciembre de</w:t>
      </w:r>
      <w:r w:rsidR="00C524FC" w:rsidRPr="00EB0C51">
        <w:rPr>
          <w:rFonts w:cs="Arial"/>
          <w:i w:val="0"/>
          <w:iCs w:val="0"/>
          <w:color w:val="000000" w:themeColor="text1"/>
          <w:sz w:val="24"/>
          <w:szCs w:val="24"/>
        </w:rPr>
        <w:t xml:space="preserve"> 2020</w:t>
      </w:r>
    </w:p>
    <w:p w14:paraId="1A5B2C7B" w14:textId="77777777" w:rsidR="0050473C" w:rsidRPr="00EB0C51" w:rsidRDefault="0050473C" w:rsidP="0050473C">
      <w:pPr>
        <w:rPr>
          <w:rFonts w:cs="Arial"/>
          <w:sz w:val="20"/>
          <w:szCs w:val="20"/>
        </w:rPr>
      </w:pPr>
      <w:r w:rsidRPr="00EB0C51">
        <w:rPr>
          <w:rFonts w:cs="Arial"/>
          <w:sz w:val="20"/>
          <w:szCs w:val="20"/>
        </w:rPr>
        <w:t xml:space="preserve">Cifras expresadas en pesos </w:t>
      </w:r>
    </w:p>
    <w:tbl>
      <w:tblPr>
        <w:tblW w:w="9634" w:type="dxa"/>
        <w:jc w:val="center"/>
        <w:tblCellMar>
          <w:left w:w="70" w:type="dxa"/>
          <w:right w:w="70" w:type="dxa"/>
        </w:tblCellMar>
        <w:tblLook w:val="04A0" w:firstRow="1" w:lastRow="0" w:firstColumn="1" w:lastColumn="0" w:noHBand="0" w:noVBand="1"/>
      </w:tblPr>
      <w:tblGrid>
        <w:gridCol w:w="1711"/>
        <w:gridCol w:w="1920"/>
        <w:gridCol w:w="1920"/>
        <w:gridCol w:w="1920"/>
        <w:gridCol w:w="2163"/>
      </w:tblGrid>
      <w:tr w:rsidR="00064060" w:rsidRPr="00EB0C51" w14:paraId="06570C7E" w14:textId="77777777" w:rsidTr="009C0C98">
        <w:trPr>
          <w:trHeight w:val="106"/>
          <w:jc w:val="center"/>
        </w:trPr>
        <w:tc>
          <w:tcPr>
            <w:tcW w:w="1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AC99D" w14:textId="77777777" w:rsidR="00D7554D" w:rsidRPr="00EB0C51" w:rsidRDefault="00D7554D" w:rsidP="00064060">
            <w:pPr>
              <w:jc w:val="center"/>
              <w:rPr>
                <w:rFonts w:cs="Arial"/>
                <w:i/>
                <w:iCs/>
                <w:color w:val="000000"/>
                <w:sz w:val="20"/>
                <w:szCs w:val="20"/>
                <w:lang w:eastAsia="es-CO"/>
              </w:rPr>
            </w:pPr>
            <w:r w:rsidRPr="00EB0C51">
              <w:rPr>
                <w:rFonts w:cs="Arial"/>
                <w:i/>
                <w:iCs/>
                <w:color w:val="000000"/>
                <w:sz w:val="20"/>
                <w:szCs w:val="20"/>
                <w:lang w:eastAsia="es-CO"/>
              </w:rPr>
              <w:t>Rubro</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0FA56880" w14:textId="77777777" w:rsidR="00D7554D" w:rsidRPr="00EB0C51" w:rsidRDefault="00D7554D" w:rsidP="00064060">
            <w:pPr>
              <w:jc w:val="center"/>
              <w:rPr>
                <w:rFonts w:cs="Arial"/>
                <w:i/>
                <w:iCs/>
                <w:color w:val="000000"/>
                <w:sz w:val="20"/>
                <w:szCs w:val="20"/>
                <w:lang w:eastAsia="es-CO"/>
              </w:rPr>
            </w:pPr>
            <w:r w:rsidRPr="00EB0C51">
              <w:rPr>
                <w:rFonts w:cs="Arial"/>
                <w:i/>
                <w:iCs/>
                <w:color w:val="000000"/>
                <w:sz w:val="20"/>
                <w:szCs w:val="20"/>
                <w:lang w:eastAsia="es-CO"/>
              </w:rPr>
              <w:t>Apropiación Inicial</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57A6AF85" w14:textId="77777777" w:rsidR="00D7554D" w:rsidRPr="00EB0C51" w:rsidRDefault="00D7554D" w:rsidP="00064060">
            <w:pPr>
              <w:jc w:val="center"/>
              <w:rPr>
                <w:rFonts w:cs="Arial"/>
                <w:i/>
                <w:iCs/>
                <w:color w:val="000000"/>
                <w:sz w:val="20"/>
                <w:szCs w:val="20"/>
                <w:lang w:eastAsia="es-CO"/>
              </w:rPr>
            </w:pPr>
            <w:r w:rsidRPr="00EB0C51">
              <w:rPr>
                <w:rFonts w:cs="Arial"/>
                <w:i/>
                <w:iCs/>
                <w:color w:val="000000"/>
                <w:sz w:val="20"/>
                <w:szCs w:val="20"/>
                <w:lang w:eastAsia="es-CO"/>
              </w:rPr>
              <w:t>Adiciones</w:t>
            </w:r>
          </w:p>
        </w:tc>
        <w:tc>
          <w:tcPr>
            <w:tcW w:w="1920" w:type="dxa"/>
            <w:tcBorders>
              <w:top w:val="single" w:sz="4" w:space="0" w:color="auto"/>
              <w:left w:val="nil"/>
              <w:bottom w:val="single" w:sz="4" w:space="0" w:color="auto"/>
              <w:right w:val="single" w:sz="4" w:space="0" w:color="auto"/>
            </w:tcBorders>
            <w:shd w:val="clear" w:color="000000" w:fill="FFFFFF"/>
            <w:noWrap/>
            <w:vAlign w:val="center"/>
            <w:hideMark/>
          </w:tcPr>
          <w:p w14:paraId="30A863EC" w14:textId="77777777" w:rsidR="00D7554D" w:rsidRPr="00EB0C51" w:rsidRDefault="00D7554D" w:rsidP="00064060">
            <w:pPr>
              <w:jc w:val="center"/>
              <w:rPr>
                <w:rFonts w:cs="Arial"/>
                <w:i/>
                <w:iCs/>
                <w:color w:val="000000"/>
                <w:sz w:val="20"/>
                <w:szCs w:val="20"/>
                <w:lang w:eastAsia="es-CO"/>
              </w:rPr>
            </w:pPr>
            <w:r w:rsidRPr="00EB0C51">
              <w:rPr>
                <w:rFonts w:cs="Arial"/>
                <w:i/>
                <w:iCs/>
                <w:color w:val="000000"/>
                <w:sz w:val="20"/>
                <w:szCs w:val="20"/>
                <w:lang w:eastAsia="es-CO"/>
              </w:rPr>
              <w:t>Reducciones</w:t>
            </w:r>
          </w:p>
        </w:tc>
        <w:tc>
          <w:tcPr>
            <w:tcW w:w="2163" w:type="dxa"/>
            <w:tcBorders>
              <w:top w:val="single" w:sz="4" w:space="0" w:color="auto"/>
              <w:left w:val="nil"/>
              <w:bottom w:val="single" w:sz="4" w:space="0" w:color="auto"/>
              <w:right w:val="single" w:sz="4" w:space="0" w:color="auto"/>
            </w:tcBorders>
            <w:shd w:val="clear" w:color="000000" w:fill="FFFFFF"/>
            <w:noWrap/>
            <w:vAlign w:val="center"/>
            <w:hideMark/>
          </w:tcPr>
          <w:p w14:paraId="470E3012" w14:textId="77777777" w:rsidR="00D7554D" w:rsidRPr="00EB0C51" w:rsidRDefault="00D7554D" w:rsidP="00064060">
            <w:pPr>
              <w:jc w:val="center"/>
              <w:rPr>
                <w:rFonts w:cs="Arial"/>
                <w:i/>
                <w:iCs/>
                <w:color w:val="000000"/>
                <w:sz w:val="20"/>
                <w:szCs w:val="20"/>
                <w:lang w:eastAsia="es-CO"/>
              </w:rPr>
            </w:pPr>
            <w:r w:rsidRPr="00EB0C51">
              <w:rPr>
                <w:rFonts w:cs="Arial"/>
                <w:i/>
                <w:iCs/>
                <w:color w:val="000000"/>
                <w:sz w:val="20"/>
                <w:szCs w:val="20"/>
                <w:lang w:eastAsia="es-CO"/>
              </w:rPr>
              <w:t>Apropiación Vigente</w:t>
            </w:r>
          </w:p>
        </w:tc>
      </w:tr>
      <w:tr w:rsidR="00064060" w:rsidRPr="00EB0C51" w14:paraId="4032DEED" w14:textId="77777777" w:rsidTr="009C0C98">
        <w:trPr>
          <w:trHeight w:val="102"/>
          <w:jc w:val="center"/>
        </w:trPr>
        <w:tc>
          <w:tcPr>
            <w:tcW w:w="17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6EB1B" w14:textId="1E9ED403" w:rsidR="00D7554D" w:rsidRPr="00EB0C51" w:rsidRDefault="00064060" w:rsidP="00064060">
            <w:pPr>
              <w:jc w:val="both"/>
              <w:rPr>
                <w:rFonts w:cs="Arial"/>
                <w:color w:val="000000"/>
                <w:sz w:val="20"/>
                <w:szCs w:val="20"/>
                <w:lang w:eastAsia="es-CO"/>
              </w:rPr>
            </w:pPr>
            <w:r w:rsidRPr="00EB0C51">
              <w:rPr>
                <w:rFonts w:cs="Arial"/>
                <w:color w:val="000000"/>
                <w:sz w:val="20"/>
                <w:szCs w:val="20"/>
                <w:lang w:eastAsia="es-CO"/>
              </w:rPr>
              <w:t>F</w:t>
            </w:r>
            <w:r w:rsidR="00D7554D" w:rsidRPr="00EB0C51">
              <w:rPr>
                <w:rFonts w:cs="Arial"/>
                <w:color w:val="000000"/>
                <w:sz w:val="20"/>
                <w:szCs w:val="20"/>
                <w:lang w:eastAsia="es-CO"/>
              </w:rPr>
              <w:t>uncionamiento</w:t>
            </w:r>
          </w:p>
        </w:tc>
        <w:tc>
          <w:tcPr>
            <w:tcW w:w="1920" w:type="dxa"/>
            <w:tcBorders>
              <w:top w:val="nil"/>
              <w:left w:val="nil"/>
              <w:bottom w:val="single" w:sz="4" w:space="0" w:color="auto"/>
              <w:right w:val="single" w:sz="4" w:space="0" w:color="auto"/>
            </w:tcBorders>
            <w:shd w:val="clear" w:color="000000" w:fill="FFFFFF"/>
            <w:noWrap/>
            <w:vAlign w:val="bottom"/>
            <w:hideMark/>
          </w:tcPr>
          <w:p w14:paraId="56F64087" w14:textId="75DBAE96"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 xml:space="preserve">10.988.671.351.670 </w:t>
            </w:r>
          </w:p>
        </w:tc>
        <w:tc>
          <w:tcPr>
            <w:tcW w:w="1920" w:type="dxa"/>
            <w:tcBorders>
              <w:top w:val="nil"/>
              <w:left w:val="nil"/>
              <w:bottom w:val="single" w:sz="4" w:space="0" w:color="auto"/>
              <w:right w:val="single" w:sz="4" w:space="0" w:color="auto"/>
            </w:tcBorders>
            <w:shd w:val="clear" w:color="000000" w:fill="FFFFFF"/>
            <w:noWrap/>
            <w:vAlign w:val="bottom"/>
            <w:hideMark/>
          </w:tcPr>
          <w:p w14:paraId="40164D17" w14:textId="4D20618C"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45.414.771.126.679</w:t>
            </w:r>
          </w:p>
        </w:tc>
        <w:tc>
          <w:tcPr>
            <w:tcW w:w="1920" w:type="dxa"/>
            <w:tcBorders>
              <w:top w:val="nil"/>
              <w:left w:val="nil"/>
              <w:bottom w:val="single" w:sz="4" w:space="0" w:color="auto"/>
              <w:right w:val="single" w:sz="4" w:space="0" w:color="auto"/>
            </w:tcBorders>
            <w:shd w:val="clear" w:color="000000" w:fill="FFFFFF"/>
            <w:noWrap/>
            <w:vAlign w:val="bottom"/>
            <w:hideMark/>
          </w:tcPr>
          <w:p w14:paraId="32984139" w14:textId="019B2330"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 xml:space="preserve">19.493.420.307.096 </w:t>
            </w:r>
          </w:p>
        </w:tc>
        <w:tc>
          <w:tcPr>
            <w:tcW w:w="2163" w:type="dxa"/>
            <w:tcBorders>
              <w:top w:val="nil"/>
              <w:left w:val="nil"/>
              <w:bottom w:val="single" w:sz="4" w:space="0" w:color="auto"/>
              <w:right w:val="single" w:sz="4" w:space="0" w:color="auto"/>
            </w:tcBorders>
            <w:shd w:val="clear" w:color="000000" w:fill="FFFFFF"/>
            <w:noWrap/>
            <w:vAlign w:val="bottom"/>
            <w:hideMark/>
          </w:tcPr>
          <w:p w14:paraId="160B07B1" w14:textId="6F23ECAA"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36.910.022.171.253</w:t>
            </w:r>
          </w:p>
        </w:tc>
      </w:tr>
      <w:tr w:rsidR="00064060" w:rsidRPr="00EB0C51" w14:paraId="51EF85FD" w14:textId="77777777" w:rsidTr="009C0C98">
        <w:trPr>
          <w:trHeight w:val="133"/>
          <w:jc w:val="center"/>
        </w:trPr>
        <w:tc>
          <w:tcPr>
            <w:tcW w:w="17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F0AD4" w14:textId="74515B98" w:rsidR="00D7554D" w:rsidRPr="00EB0C51" w:rsidRDefault="00064060" w:rsidP="00064060">
            <w:pPr>
              <w:jc w:val="both"/>
              <w:rPr>
                <w:rFonts w:cs="Arial"/>
                <w:color w:val="000000"/>
                <w:sz w:val="20"/>
                <w:szCs w:val="20"/>
                <w:lang w:eastAsia="es-CO"/>
              </w:rPr>
            </w:pPr>
            <w:r w:rsidRPr="00EB0C51">
              <w:rPr>
                <w:rFonts w:cs="Arial"/>
                <w:color w:val="000000"/>
                <w:sz w:val="20"/>
                <w:szCs w:val="20"/>
                <w:lang w:eastAsia="es-CO"/>
              </w:rPr>
              <w:t>I</w:t>
            </w:r>
            <w:r w:rsidR="00D7554D" w:rsidRPr="00EB0C51">
              <w:rPr>
                <w:rFonts w:cs="Arial"/>
                <w:color w:val="000000"/>
                <w:sz w:val="20"/>
                <w:szCs w:val="20"/>
                <w:lang w:eastAsia="es-CO"/>
              </w:rPr>
              <w:t>nversión</w:t>
            </w:r>
          </w:p>
        </w:tc>
        <w:tc>
          <w:tcPr>
            <w:tcW w:w="1920" w:type="dxa"/>
            <w:tcBorders>
              <w:top w:val="nil"/>
              <w:left w:val="nil"/>
              <w:bottom w:val="single" w:sz="4" w:space="0" w:color="auto"/>
              <w:right w:val="single" w:sz="4" w:space="0" w:color="auto"/>
            </w:tcBorders>
            <w:shd w:val="clear" w:color="000000" w:fill="FFFFFF"/>
            <w:noWrap/>
            <w:vAlign w:val="bottom"/>
            <w:hideMark/>
          </w:tcPr>
          <w:p w14:paraId="426F53F6" w14:textId="47E3AF49"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3.567.422.702.705</w:t>
            </w:r>
          </w:p>
        </w:tc>
        <w:tc>
          <w:tcPr>
            <w:tcW w:w="1920" w:type="dxa"/>
            <w:tcBorders>
              <w:top w:val="nil"/>
              <w:left w:val="nil"/>
              <w:bottom w:val="single" w:sz="4" w:space="0" w:color="auto"/>
              <w:right w:val="single" w:sz="4" w:space="0" w:color="auto"/>
            </w:tcBorders>
            <w:shd w:val="clear" w:color="000000" w:fill="FFFFFF"/>
            <w:noWrap/>
            <w:vAlign w:val="bottom"/>
            <w:hideMark/>
          </w:tcPr>
          <w:p w14:paraId="43F4E267" w14:textId="6E7C44FF"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405.747.114.445</w:t>
            </w:r>
          </w:p>
        </w:tc>
        <w:tc>
          <w:tcPr>
            <w:tcW w:w="1920" w:type="dxa"/>
            <w:tcBorders>
              <w:top w:val="nil"/>
              <w:left w:val="nil"/>
              <w:bottom w:val="single" w:sz="4" w:space="0" w:color="auto"/>
              <w:right w:val="single" w:sz="4" w:space="0" w:color="auto"/>
            </w:tcBorders>
            <w:shd w:val="clear" w:color="000000" w:fill="FFFFFF"/>
            <w:noWrap/>
            <w:vAlign w:val="bottom"/>
            <w:hideMark/>
          </w:tcPr>
          <w:p w14:paraId="249E61AF" w14:textId="7060309E"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2.322.269.595.021</w:t>
            </w:r>
          </w:p>
        </w:tc>
        <w:tc>
          <w:tcPr>
            <w:tcW w:w="2163" w:type="dxa"/>
            <w:tcBorders>
              <w:top w:val="nil"/>
              <w:left w:val="nil"/>
              <w:bottom w:val="single" w:sz="4" w:space="0" w:color="auto"/>
              <w:right w:val="single" w:sz="4" w:space="0" w:color="auto"/>
            </w:tcBorders>
            <w:shd w:val="clear" w:color="000000" w:fill="FFFFFF"/>
            <w:noWrap/>
            <w:vAlign w:val="bottom"/>
            <w:hideMark/>
          </w:tcPr>
          <w:p w14:paraId="6B164F5D" w14:textId="1727DBB2"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1.650.900.222.129</w:t>
            </w:r>
          </w:p>
        </w:tc>
      </w:tr>
      <w:tr w:rsidR="00064060" w:rsidRPr="00EB0C51" w14:paraId="0E99117A" w14:textId="77777777" w:rsidTr="009C0C98">
        <w:trPr>
          <w:trHeight w:val="70"/>
          <w:jc w:val="center"/>
        </w:trPr>
        <w:tc>
          <w:tcPr>
            <w:tcW w:w="17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427A1" w14:textId="5BECA692" w:rsidR="00691699" w:rsidRPr="00EB0C51" w:rsidRDefault="00064060" w:rsidP="00064060">
            <w:pPr>
              <w:jc w:val="both"/>
              <w:rPr>
                <w:rFonts w:cs="Arial"/>
                <w:color w:val="000000"/>
                <w:sz w:val="20"/>
                <w:szCs w:val="20"/>
                <w:lang w:eastAsia="es-CO"/>
              </w:rPr>
            </w:pPr>
            <w:r w:rsidRPr="00EB0C51">
              <w:rPr>
                <w:rFonts w:cs="Arial"/>
                <w:color w:val="000000"/>
                <w:sz w:val="20"/>
                <w:szCs w:val="20"/>
                <w:lang w:eastAsia="es-CO"/>
              </w:rPr>
              <w:t>Total</w:t>
            </w:r>
            <w:r w:rsidR="00691699" w:rsidRPr="00EB0C51">
              <w:rPr>
                <w:rFonts w:cs="Arial"/>
                <w:color w:val="000000"/>
                <w:sz w:val="20"/>
                <w:szCs w:val="20"/>
                <w:lang w:eastAsia="es-CO"/>
              </w:rPr>
              <w:t xml:space="preserve"> MHCP</w:t>
            </w:r>
          </w:p>
        </w:tc>
        <w:tc>
          <w:tcPr>
            <w:tcW w:w="1920" w:type="dxa"/>
            <w:tcBorders>
              <w:top w:val="nil"/>
              <w:left w:val="nil"/>
              <w:bottom w:val="single" w:sz="4" w:space="0" w:color="auto"/>
              <w:right w:val="single" w:sz="4" w:space="0" w:color="auto"/>
            </w:tcBorders>
            <w:shd w:val="clear" w:color="000000" w:fill="FFFFFF"/>
            <w:noWrap/>
            <w:vAlign w:val="bottom"/>
            <w:hideMark/>
          </w:tcPr>
          <w:p w14:paraId="6DA13AD4" w14:textId="23666728"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14.556.094.054.375</w:t>
            </w:r>
          </w:p>
        </w:tc>
        <w:tc>
          <w:tcPr>
            <w:tcW w:w="1920" w:type="dxa"/>
            <w:tcBorders>
              <w:top w:val="nil"/>
              <w:left w:val="nil"/>
              <w:bottom w:val="single" w:sz="4" w:space="0" w:color="auto"/>
              <w:right w:val="single" w:sz="4" w:space="0" w:color="auto"/>
            </w:tcBorders>
            <w:shd w:val="clear" w:color="000000" w:fill="FFFFFF"/>
            <w:noWrap/>
            <w:vAlign w:val="bottom"/>
            <w:hideMark/>
          </w:tcPr>
          <w:p w14:paraId="5D5AD438" w14:textId="764F6E66"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 xml:space="preserve">45.820.518.241.124 </w:t>
            </w:r>
          </w:p>
        </w:tc>
        <w:tc>
          <w:tcPr>
            <w:tcW w:w="1920" w:type="dxa"/>
            <w:tcBorders>
              <w:top w:val="nil"/>
              <w:left w:val="nil"/>
              <w:bottom w:val="single" w:sz="4" w:space="0" w:color="auto"/>
              <w:right w:val="single" w:sz="4" w:space="0" w:color="auto"/>
            </w:tcBorders>
            <w:shd w:val="clear" w:color="000000" w:fill="FFFFFF"/>
            <w:noWrap/>
            <w:vAlign w:val="bottom"/>
            <w:hideMark/>
          </w:tcPr>
          <w:p w14:paraId="008C5645" w14:textId="37FB266D"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 xml:space="preserve">21.815.689.902.117 </w:t>
            </w:r>
          </w:p>
        </w:tc>
        <w:tc>
          <w:tcPr>
            <w:tcW w:w="2163" w:type="dxa"/>
            <w:tcBorders>
              <w:top w:val="nil"/>
              <w:left w:val="nil"/>
              <w:bottom w:val="single" w:sz="4" w:space="0" w:color="auto"/>
              <w:right w:val="single" w:sz="4" w:space="0" w:color="auto"/>
            </w:tcBorders>
            <w:shd w:val="clear" w:color="000000" w:fill="FFFFFF"/>
            <w:noWrap/>
            <w:vAlign w:val="bottom"/>
            <w:hideMark/>
          </w:tcPr>
          <w:p w14:paraId="22D63417" w14:textId="44B45722" w:rsidR="00D7554D" w:rsidRPr="00EB0C51" w:rsidRDefault="00D7554D" w:rsidP="00064060">
            <w:pPr>
              <w:jc w:val="both"/>
              <w:rPr>
                <w:rFonts w:cs="Arial"/>
                <w:color w:val="000000"/>
                <w:sz w:val="20"/>
                <w:szCs w:val="20"/>
                <w:lang w:eastAsia="es-CO"/>
              </w:rPr>
            </w:pPr>
            <w:r w:rsidRPr="00EB0C51">
              <w:rPr>
                <w:rFonts w:cs="Arial"/>
                <w:color w:val="000000"/>
                <w:sz w:val="20"/>
                <w:szCs w:val="20"/>
                <w:lang w:eastAsia="es-CO"/>
              </w:rPr>
              <w:t>38.560.922.393.382</w:t>
            </w:r>
          </w:p>
        </w:tc>
      </w:tr>
    </w:tbl>
    <w:p w14:paraId="42430837" w14:textId="58907386" w:rsidR="00814DCF" w:rsidRPr="00EB0C51" w:rsidRDefault="00064060" w:rsidP="00064060">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w:t>
      </w:r>
      <w:r w:rsidR="00F45814" w:rsidRPr="00EB0C51">
        <w:rPr>
          <w:rFonts w:cs="Arial"/>
          <w:sz w:val="16"/>
          <w:szCs w:val="16"/>
        </w:rPr>
        <w:t>,</w:t>
      </w:r>
      <w:r w:rsidRPr="00EB0C51">
        <w:rPr>
          <w:rFonts w:cs="Arial"/>
          <w:sz w:val="16"/>
          <w:szCs w:val="16"/>
        </w:rPr>
        <w:t xml:space="preserve"> con base en </w:t>
      </w:r>
      <w:r w:rsidR="00E33519" w:rsidRPr="00EB0C51">
        <w:rPr>
          <w:rFonts w:cs="Arial"/>
          <w:sz w:val="16"/>
          <w:szCs w:val="16"/>
        </w:rPr>
        <w:t xml:space="preserve">el </w:t>
      </w:r>
      <w:r w:rsidRPr="00EB0C51">
        <w:rPr>
          <w:rFonts w:cs="Arial"/>
          <w:sz w:val="16"/>
          <w:szCs w:val="16"/>
        </w:rPr>
        <w:t>informe de ejecución presupuestal</w:t>
      </w:r>
      <w:r w:rsidR="002F2782" w:rsidRPr="00EB0C51">
        <w:rPr>
          <w:rFonts w:cs="Arial"/>
          <w:sz w:val="16"/>
          <w:szCs w:val="16"/>
        </w:rPr>
        <w:t xml:space="preserve"> de</w:t>
      </w:r>
      <w:r w:rsidRPr="00EB0C51">
        <w:rPr>
          <w:rFonts w:cs="Arial"/>
          <w:sz w:val="16"/>
          <w:szCs w:val="16"/>
        </w:rPr>
        <w:t xml:space="preserve"> diciembre de 2020</w:t>
      </w:r>
    </w:p>
    <w:p w14:paraId="5F7E31CF" w14:textId="77777777" w:rsidR="003E266B" w:rsidRPr="00EB0C51" w:rsidRDefault="003E266B" w:rsidP="00825250">
      <w:pPr>
        <w:jc w:val="both"/>
        <w:rPr>
          <w:rFonts w:cs="Arial"/>
        </w:rPr>
      </w:pPr>
    </w:p>
    <w:p w14:paraId="7E972D70" w14:textId="3CAAD64C" w:rsidR="002A775B" w:rsidRPr="00EB0C51" w:rsidRDefault="003F76A8" w:rsidP="00825250">
      <w:pPr>
        <w:jc w:val="both"/>
        <w:rPr>
          <w:rFonts w:cs="Arial"/>
          <w:color w:val="000000"/>
          <w:lang w:eastAsia="es-CO"/>
        </w:rPr>
      </w:pPr>
      <w:r w:rsidRPr="00EB0C51">
        <w:rPr>
          <w:rFonts w:cs="Arial"/>
        </w:rPr>
        <w:lastRenderedPageBreak/>
        <w:t xml:space="preserve">Como se puede apreciar en la tabla anterior, la apropiación vigente a 31 de diciembre de 2020 </w:t>
      </w:r>
      <w:r w:rsidR="007A65A7" w:rsidRPr="00EB0C51">
        <w:rPr>
          <w:rFonts w:cs="Arial"/>
        </w:rPr>
        <w:t xml:space="preserve">para el MHCP fue de </w:t>
      </w:r>
      <w:r w:rsidR="006519B1" w:rsidRPr="00EB0C51">
        <w:rPr>
          <w:rFonts w:cs="Arial"/>
        </w:rPr>
        <w:t xml:space="preserve">treinta y ocho billones </w:t>
      </w:r>
      <w:r w:rsidR="00825250" w:rsidRPr="00EB0C51">
        <w:rPr>
          <w:rFonts w:cs="Arial"/>
        </w:rPr>
        <w:t>quinientos</w:t>
      </w:r>
      <w:r w:rsidR="006519B1" w:rsidRPr="00EB0C51">
        <w:rPr>
          <w:rFonts w:cs="Arial"/>
        </w:rPr>
        <w:t xml:space="preserve"> </w:t>
      </w:r>
      <w:r w:rsidR="00877885" w:rsidRPr="00EB0C51">
        <w:rPr>
          <w:rFonts w:cs="Arial"/>
        </w:rPr>
        <w:t>ses</w:t>
      </w:r>
      <w:r w:rsidR="00825250" w:rsidRPr="00EB0C51">
        <w:rPr>
          <w:rFonts w:cs="Arial"/>
        </w:rPr>
        <w:t>e</w:t>
      </w:r>
      <w:r w:rsidR="00877885" w:rsidRPr="00EB0C51">
        <w:rPr>
          <w:rFonts w:cs="Arial"/>
        </w:rPr>
        <w:t xml:space="preserve">nta mil novecientos veintidós millones trescientos noventa y tres mil </w:t>
      </w:r>
      <w:r w:rsidR="00E3196B" w:rsidRPr="00EB0C51">
        <w:rPr>
          <w:rFonts w:cs="Arial"/>
        </w:rPr>
        <w:t>trescientos ochenta y dos pesos</w:t>
      </w:r>
      <w:r w:rsidR="003F7223" w:rsidRPr="00EB0C51">
        <w:rPr>
          <w:rFonts w:cs="Arial"/>
        </w:rPr>
        <w:t xml:space="preserve">                        </w:t>
      </w:r>
      <w:r w:rsidR="007926F1" w:rsidRPr="00EB0C51">
        <w:rPr>
          <w:rFonts w:cs="Arial"/>
        </w:rPr>
        <w:t>(</w:t>
      </w:r>
      <w:r w:rsidR="007926F1" w:rsidRPr="00EB0C51">
        <w:rPr>
          <w:rFonts w:cs="Arial"/>
          <w:color w:val="000000"/>
          <w:lang w:eastAsia="es-CO"/>
        </w:rPr>
        <w:t>$ 38.560.922.393.382)</w:t>
      </w:r>
      <w:r w:rsidR="006C582B" w:rsidRPr="00EB0C51">
        <w:rPr>
          <w:rFonts w:cs="Arial"/>
          <w:color w:val="000000"/>
          <w:lang w:eastAsia="es-CO"/>
        </w:rPr>
        <w:t xml:space="preserve"> los cuales, de acuerdo con la </w:t>
      </w:r>
      <w:r w:rsidR="00B4694B" w:rsidRPr="00EB0C51">
        <w:rPr>
          <w:rFonts w:cs="Arial"/>
          <w:color w:val="000000"/>
          <w:lang w:eastAsia="es-CO"/>
        </w:rPr>
        <w:t xml:space="preserve">particularidad del presupuesto fueron ejecutados </w:t>
      </w:r>
      <w:r w:rsidR="004C5C94" w:rsidRPr="00EB0C51">
        <w:rPr>
          <w:rFonts w:cs="Arial"/>
          <w:color w:val="000000"/>
          <w:lang w:eastAsia="es-CO"/>
        </w:rPr>
        <w:t>por la Entida</w:t>
      </w:r>
      <w:r w:rsidR="002058A0" w:rsidRPr="00EB0C51">
        <w:rPr>
          <w:rFonts w:cs="Arial"/>
          <w:color w:val="000000"/>
          <w:lang w:eastAsia="es-CO"/>
        </w:rPr>
        <w:t xml:space="preserve">d </w:t>
      </w:r>
      <w:r w:rsidR="00A01C9F" w:rsidRPr="00EB0C51">
        <w:rPr>
          <w:rFonts w:cs="Arial"/>
          <w:color w:val="000000"/>
          <w:lang w:eastAsia="es-CO"/>
        </w:rPr>
        <w:t xml:space="preserve">y designados al Fondo de </w:t>
      </w:r>
      <w:r w:rsidR="00590960" w:rsidRPr="00EB0C51">
        <w:rPr>
          <w:rFonts w:cs="Arial"/>
          <w:color w:val="000000"/>
          <w:lang w:eastAsia="es-CO"/>
        </w:rPr>
        <w:t>Mitigación de Emergencias (En adelante FOME).</w:t>
      </w:r>
      <w:r w:rsidR="002058A0" w:rsidRPr="00EB0C51">
        <w:rPr>
          <w:rFonts w:cs="Arial"/>
          <w:color w:val="000000"/>
          <w:lang w:eastAsia="es-CO"/>
        </w:rPr>
        <w:t xml:space="preserve"> </w:t>
      </w:r>
      <w:r w:rsidR="00590960" w:rsidRPr="00EB0C51">
        <w:rPr>
          <w:rFonts w:cs="Arial"/>
          <w:color w:val="000000"/>
          <w:lang w:eastAsia="es-CO"/>
        </w:rPr>
        <w:t xml:space="preserve"> </w:t>
      </w:r>
      <w:r w:rsidR="00221E54" w:rsidRPr="00EB0C51">
        <w:rPr>
          <w:rFonts w:cs="Arial"/>
          <w:color w:val="000000"/>
          <w:lang w:eastAsia="es-CO"/>
        </w:rPr>
        <w:t xml:space="preserve"> </w:t>
      </w:r>
    </w:p>
    <w:p w14:paraId="3B7E08BF" w14:textId="2BA03F17" w:rsidR="002A775B" w:rsidRPr="00EB0C51" w:rsidRDefault="002A775B" w:rsidP="002A775B">
      <w:pPr>
        <w:pStyle w:val="Descripcin"/>
        <w:jc w:val="center"/>
        <w:rPr>
          <w:rFonts w:cs="Arial"/>
          <w:i w:val="0"/>
          <w:iCs w:val="0"/>
          <w:color w:val="000000" w:themeColor="text1"/>
          <w:sz w:val="24"/>
          <w:szCs w:val="24"/>
        </w:rPr>
      </w:pPr>
      <w:r w:rsidRPr="00EB0C51">
        <w:rPr>
          <w:rFonts w:cs="Arial"/>
          <w:color w:val="000000" w:themeColor="text1"/>
          <w:sz w:val="24"/>
          <w:szCs w:val="24"/>
        </w:rPr>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2</w:t>
      </w:r>
      <w:r w:rsidRPr="00EB0C51">
        <w:rPr>
          <w:rFonts w:cs="Arial"/>
          <w:color w:val="000000" w:themeColor="text1"/>
          <w:sz w:val="24"/>
          <w:szCs w:val="24"/>
        </w:rPr>
        <w:fldChar w:fldCharType="end"/>
      </w:r>
      <w:r w:rsidRPr="00EB0C51">
        <w:rPr>
          <w:rFonts w:cs="Arial"/>
          <w:color w:val="000000" w:themeColor="text1"/>
          <w:sz w:val="24"/>
          <w:szCs w:val="24"/>
        </w:rPr>
        <w:t xml:space="preserve">. </w:t>
      </w:r>
      <w:r w:rsidRPr="00EB0C51">
        <w:rPr>
          <w:rFonts w:cs="Arial"/>
          <w:i w:val="0"/>
          <w:iCs w:val="0"/>
          <w:color w:val="000000" w:themeColor="text1"/>
          <w:sz w:val="24"/>
          <w:szCs w:val="24"/>
        </w:rPr>
        <w:t>Apropiación vigente MHCP con corte a junio de 2021</w:t>
      </w:r>
    </w:p>
    <w:p w14:paraId="30DCD5D2" w14:textId="77777777" w:rsidR="0050473C" w:rsidRPr="00EB0C51" w:rsidRDefault="0050473C" w:rsidP="0050473C">
      <w:pPr>
        <w:rPr>
          <w:rFonts w:cs="Arial"/>
          <w:sz w:val="20"/>
          <w:szCs w:val="20"/>
        </w:rPr>
      </w:pPr>
      <w:r w:rsidRPr="00EB0C51">
        <w:rPr>
          <w:rFonts w:cs="Arial"/>
          <w:sz w:val="20"/>
          <w:szCs w:val="20"/>
        </w:rPr>
        <w:t xml:space="preserve">Cifras expresadas en pesos </w:t>
      </w:r>
    </w:p>
    <w:tbl>
      <w:tblPr>
        <w:tblW w:w="9645" w:type="dxa"/>
        <w:jc w:val="center"/>
        <w:tblCellMar>
          <w:left w:w="70" w:type="dxa"/>
          <w:right w:w="70" w:type="dxa"/>
        </w:tblCellMar>
        <w:tblLook w:val="04A0" w:firstRow="1" w:lastRow="0" w:firstColumn="1" w:lastColumn="0" w:noHBand="0" w:noVBand="1"/>
      </w:tblPr>
      <w:tblGrid>
        <w:gridCol w:w="1711"/>
        <w:gridCol w:w="1980"/>
        <w:gridCol w:w="1920"/>
        <w:gridCol w:w="1920"/>
        <w:gridCol w:w="2114"/>
      </w:tblGrid>
      <w:tr w:rsidR="002A775B" w:rsidRPr="00EB0C51" w14:paraId="7F0D9A49" w14:textId="77777777" w:rsidTr="0066681C">
        <w:trPr>
          <w:trHeight w:val="56"/>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AFDE0" w14:textId="77777777" w:rsidR="002A775B" w:rsidRPr="00EB0C51" w:rsidRDefault="002A775B" w:rsidP="002058A0">
            <w:pPr>
              <w:jc w:val="center"/>
              <w:rPr>
                <w:rFonts w:cs="Arial"/>
                <w:color w:val="000000"/>
                <w:sz w:val="20"/>
                <w:szCs w:val="20"/>
                <w:lang w:eastAsia="es-CO"/>
              </w:rPr>
            </w:pPr>
            <w:r w:rsidRPr="00EB0C51">
              <w:rPr>
                <w:rFonts w:cs="Arial"/>
                <w:i/>
                <w:iCs/>
                <w:color w:val="000000"/>
                <w:sz w:val="20"/>
                <w:szCs w:val="20"/>
                <w:lang w:eastAsia="es-CO"/>
              </w:rPr>
              <w:t>Rubro</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5CA54F7" w14:textId="77777777" w:rsidR="002A775B" w:rsidRPr="00EB0C51" w:rsidRDefault="002A775B" w:rsidP="002058A0">
            <w:pPr>
              <w:jc w:val="center"/>
              <w:rPr>
                <w:rFonts w:cs="Arial"/>
                <w:color w:val="000000"/>
                <w:sz w:val="20"/>
                <w:szCs w:val="20"/>
                <w:lang w:eastAsia="es-CO"/>
              </w:rPr>
            </w:pPr>
            <w:r w:rsidRPr="00EB0C51">
              <w:rPr>
                <w:rFonts w:cs="Arial"/>
                <w:i/>
                <w:iCs/>
                <w:color w:val="000000"/>
                <w:sz w:val="20"/>
                <w:szCs w:val="20"/>
                <w:lang w:eastAsia="es-CO"/>
              </w:rPr>
              <w:t>Apropiación Inicial</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2E2A525C" w14:textId="77777777" w:rsidR="002A775B" w:rsidRPr="00EB0C51" w:rsidRDefault="002A775B" w:rsidP="002058A0">
            <w:pPr>
              <w:jc w:val="center"/>
              <w:rPr>
                <w:rFonts w:cs="Arial"/>
                <w:color w:val="000000"/>
                <w:sz w:val="20"/>
                <w:szCs w:val="20"/>
                <w:lang w:eastAsia="es-CO"/>
              </w:rPr>
            </w:pPr>
            <w:r w:rsidRPr="00EB0C51">
              <w:rPr>
                <w:rFonts w:cs="Arial"/>
                <w:i/>
                <w:iCs/>
                <w:color w:val="000000"/>
                <w:sz w:val="20"/>
                <w:szCs w:val="20"/>
                <w:lang w:eastAsia="es-CO"/>
              </w:rPr>
              <w:t>Adiciones</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28A669F7" w14:textId="77777777" w:rsidR="002A775B" w:rsidRPr="00EB0C51" w:rsidRDefault="002A775B" w:rsidP="002058A0">
            <w:pPr>
              <w:jc w:val="center"/>
              <w:rPr>
                <w:rFonts w:cs="Arial"/>
                <w:color w:val="000000"/>
                <w:sz w:val="20"/>
                <w:szCs w:val="20"/>
                <w:lang w:eastAsia="es-CO"/>
              </w:rPr>
            </w:pPr>
            <w:r w:rsidRPr="00EB0C51">
              <w:rPr>
                <w:rFonts w:cs="Arial"/>
                <w:i/>
                <w:iCs/>
                <w:color w:val="000000"/>
                <w:sz w:val="20"/>
                <w:szCs w:val="20"/>
                <w:lang w:eastAsia="es-CO"/>
              </w:rPr>
              <w:t>Reducciones</w:t>
            </w:r>
          </w:p>
        </w:tc>
        <w:tc>
          <w:tcPr>
            <w:tcW w:w="2114" w:type="dxa"/>
            <w:tcBorders>
              <w:top w:val="single" w:sz="4" w:space="0" w:color="auto"/>
              <w:left w:val="nil"/>
              <w:bottom w:val="single" w:sz="4" w:space="0" w:color="auto"/>
              <w:right w:val="single" w:sz="4" w:space="0" w:color="auto"/>
            </w:tcBorders>
            <w:shd w:val="clear" w:color="auto" w:fill="auto"/>
            <w:noWrap/>
            <w:vAlign w:val="center"/>
          </w:tcPr>
          <w:p w14:paraId="133BFAB5" w14:textId="77777777" w:rsidR="002A775B" w:rsidRPr="00EB0C51" w:rsidRDefault="002A775B" w:rsidP="002058A0">
            <w:pPr>
              <w:jc w:val="center"/>
              <w:rPr>
                <w:rFonts w:cs="Arial"/>
                <w:color w:val="000000"/>
                <w:sz w:val="20"/>
                <w:szCs w:val="20"/>
                <w:lang w:eastAsia="es-CO"/>
              </w:rPr>
            </w:pPr>
            <w:r w:rsidRPr="00EB0C51">
              <w:rPr>
                <w:rFonts w:cs="Arial"/>
                <w:i/>
                <w:iCs/>
                <w:color w:val="000000"/>
                <w:sz w:val="20"/>
                <w:szCs w:val="20"/>
                <w:lang w:eastAsia="es-CO"/>
              </w:rPr>
              <w:t>Apropiación Vigente</w:t>
            </w:r>
          </w:p>
        </w:tc>
      </w:tr>
      <w:tr w:rsidR="002A775B" w:rsidRPr="00EB0C51" w14:paraId="54398475" w14:textId="77777777" w:rsidTr="0066681C">
        <w:trPr>
          <w:trHeight w:val="56"/>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4ECFD"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Funcionamiento</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3464732A"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 14.425.587.371.128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CA2D027"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 8.586.147.814.295</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D181CFE"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9.082.327.191.179 </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011D184A"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23.929.407.994.244</w:t>
            </w:r>
          </w:p>
        </w:tc>
      </w:tr>
      <w:tr w:rsidR="002A775B" w:rsidRPr="00EB0C51" w14:paraId="158D3F04" w14:textId="77777777" w:rsidTr="0066681C">
        <w:trPr>
          <w:trHeight w:val="56"/>
          <w:jc w:val="center"/>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D9B5179"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Inversión</w:t>
            </w:r>
          </w:p>
        </w:tc>
        <w:tc>
          <w:tcPr>
            <w:tcW w:w="1980" w:type="dxa"/>
            <w:tcBorders>
              <w:top w:val="nil"/>
              <w:left w:val="nil"/>
              <w:bottom w:val="single" w:sz="4" w:space="0" w:color="auto"/>
              <w:right w:val="single" w:sz="4" w:space="0" w:color="auto"/>
            </w:tcBorders>
            <w:shd w:val="clear" w:color="auto" w:fill="auto"/>
            <w:noWrap/>
            <w:vAlign w:val="bottom"/>
            <w:hideMark/>
          </w:tcPr>
          <w:p w14:paraId="0A917384"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 3.839.890.585.621</w:t>
            </w:r>
          </w:p>
        </w:tc>
        <w:tc>
          <w:tcPr>
            <w:tcW w:w="1920" w:type="dxa"/>
            <w:tcBorders>
              <w:top w:val="nil"/>
              <w:left w:val="nil"/>
              <w:bottom w:val="single" w:sz="4" w:space="0" w:color="auto"/>
              <w:right w:val="single" w:sz="4" w:space="0" w:color="auto"/>
            </w:tcBorders>
            <w:shd w:val="clear" w:color="auto" w:fill="auto"/>
            <w:noWrap/>
            <w:vAlign w:val="bottom"/>
            <w:hideMark/>
          </w:tcPr>
          <w:p w14:paraId="0909394B"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3.500.000.000 </w:t>
            </w:r>
          </w:p>
        </w:tc>
        <w:tc>
          <w:tcPr>
            <w:tcW w:w="1920" w:type="dxa"/>
            <w:tcBorders>
              <w:top w:val="nil"/>
              <w:left w:val="nil"/>
              <w:bottom w:val="single" w:sz="4" w:space="0" w:color="auto"/>
              <w:right w:val="single" w:sz="4" w:space="0" w:color="auto"/>
            </w:tcBorders>
            <w:shd w:val="clear" w:color="auto" w:fill="auto"/>
            <w:noWrap/>
            <w:vAlign w:val="bottom"/>
            <w:hideMark/>
          </w:tcPr>
          <w:p w14:paraId="41E79769"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1.138.647.995.489</w:t>
            </w:r>
          </w:p>
        </w:tc>
        <w:tc>
          <w:tcPr>
            <w:tcW w:w="2114" w:type="dxa"/>
            <w:tcBorders>
              <w:top w:val="nil"/>
              <w:left w:val="nil"/>
              <w:bottom w:val="single" w:sz="4" w:space="0" w:color="auto"/>
              <w:right w:val="single" w:sz="4" w:space="0" w:color="auto"/>
            </w:tcBorders>
            <w:shd w:val="clear" w:color="auto" w:fill="auto"/>
            <w:noWrap/>
            <w:vAlign w:val="bottom"/>
            <w:hideMark/>
          </w:tcPr>
          <w:p w14:paraId="6CA87494"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2.704.742.590.132</w:t>
            </w:r>
          </w:p>
        </w:tc>
      </w:tr>
      <w:tr w:rsidR="002A775B" w:rsidRPr="00EB0C51" w14:paraId="3C5C2833" w14:textId="77777777" w:rsidTr="0066681C">
        <w:trPr>
          <w:trHeight w:val="56"/>
          <w:jc w:val="center"/>
        </w:trPr>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6B729A2"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Total MHCP</w:t>
            </w:r>
          </w:p>
        </w:tc>
        <w:tc>
          <w:tcPr>
            <w:tcW w:w="1980" w:type="dxa"/>
            <w:tcBorders>
              <w:top w:val="nil"/>
              <w:left w:val="nil"/>
              <w:bottom w:val="single" w:sz="4" w:space="0" w:color="auto"/>
              <w:right w:val="single" w:sz="4" w:space="0" w:color="auto"/>
            </w:tcBorders>
            <w:shd w:val="clear" w:color="auto" w:fill="auto"/>
            <w:noWrap/>
            <w:vAlign w:val="bottom"/>
            <w:hideMark/>
          </w:tcPr>
          <w:p w14:paraId="1BC51A00"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 18.265.477.956.749 </w:t>
            </w:r>
          </w:p>
        </w:tc>
        <w:tc>
          <w:tcPr>
            <w:tcW w:w="1920" w:type="dxa"/>
            <w:tcBorders>
              <w:top w:val="nil"/>
              <w:left w:val="nil"/>
              <w:bottom w:val="single" w:sz="4" w:space="0" w:color="auto"/>
              <w:right w:val="single" w:sz="4" w:space="0" w:color="auto"/>
            </w:tcBorders>
            <w:shd w:val="clear" w:color="auto" w:fill="auto"/>
            <w:noWrap/>
            <w:vAlign w:val="bottom"/>
            <w:hideMark/>
          </w:tcPr>
          <w:p w14:paraId="738325EC"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18.589.647.814.295</w:t>
            </w:r>
          </w:p>
        </w:tc>
        <w:tc>
          <w:tcPr>
            <w:tcW w:w="1920" w:type="dxa"/>
            <w:tcBorders>
              <w:top w:val="nil"/>
              <w:left w:val="nil"/>
              <w:bottom w:val="single" w:sz="4" w:space="0" w:color="auto"/>
              <w:right w:val="single" w:sz="4" w:space="0" w:color="auto"/>
            </w:tcBorders>
            <w:shd w:val="clear" w:color="auto" w:fill="auto"/>
            <w:noWrap/>
            <w:vAlign w:val="bottom"/>
            <w:hideMark/>
          </w:tcPr>
          <w:p w14:paraId="0952CA38"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10.220.975.186.668</w:t>
            </w:r>
          </w:p>
        </w:tc>
        <w:tc>
          <w:tcPr>
            <w:tcW w:w="2114" w:type="dxa"/>
            <w:tcBorders>
              <w:top w:val="nil"/>
              <w:left w:val="nil"/>
              <w:bottom w:val="single" w:sz="4" w:space="0" w:color="auto"/>
              <w:right w:val="single" w:sz="4" w:space="0" w:color="auto"/>
            </w:tcBorders>
            <w:shd w:val="clear" w:color="auto" w:fill="auto"/>
            <w:noWrap/>
            <w:vAlign w:val="bottom"/>
            <w:hideMark/>
          </w:tcPr>
          <w:p w14:paraId="48248702" w14:textId="77777777" w:rsidR="002A775B" w:rsidRPr="00EB0C51" w:rsidRDefault="002A775B" w:rsidP="002058A0">
            <w:pPr>
              <w:rPr>
                <w:rFonts w:cs="Arial"/>
                <w:color w:val="000000"/>
                <w:sz w:val="20"/>
                <w:szCs w:val="20"/>
                <w:lang w:eastAsia="es-CO"/>
              </w:rPr>
            </w:pPr>
            <w:r w:rsidRPr="00EB0C51">
              <w:rPr>
                <w:rFonts w:cs="Arial"/>
                <w:color w:val="000000"/>
                <w:sz w:val="20"/>
                <w:szCs w:val="20"/>
                <w:lang w:eastAsia="es-CO"/>
              </w:rPr>
              <w:t xml:space="preserve">26.634.150.584.376 </w:t>
            </w:r>
          </w:p>
        </w:tc>
      </w:tr>
    </w:tbl>
    <w:p w14:paraId="367F0984" w14:textId="175CF326" w:rsidR="002A775B" w:rsidRPr="00EB0C51" w:rsidRDefault="002A775B" w:rsidP="002A775B">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w:t>
      </w:r>
      <w:r w:rsidR="00F45814" w:rsidRPr="00EB0C51">
        <w:rPr>
          <w:rFonts w:cs="Arial"/>
          <w:sz w:val="16"/>
          <w:szCs w:val="16"/>
        </w:rPr>
        <w:t>,</w:t>
      </w:r>
      <w:r w:rsidRPr="00EB0C51">
        <w:rPr>
          <w:rFonts w:cs="Arial"/>
          <w:sz w:val="16"/>
          <w:szCs w:val="16"/>
        </w:rPr>
        <w:t xml:space="preserve"> con base en </w:t>
      </w:r>
      <w:r w:rsidR="00E33519" w:rsidRPr="00EB0C51">
        <w:rPr>
          <w:rFonts w:cs="Arial"/>
          <w:sz w:val="16"/>
          <w:szCs w:val="16"/>
        </w:rPr>
        <w:t xml:space="preserve">el </w:t>
      </w:r>
      <w:r w:rsidRPr="00EB0C51">
        <w:rPr>
          <w:rFonts w:cs="Arial"/>
          <w:sz w:val="16"/>
          <w:szCs w:val="16"/>
        </w:rPr>
        <w:t>informe de ejecución presupuestal de junio de 2021</w:t>
      </w:r>
    </w:p>
    <w:p w14:paraId="75C6EC1F" w14:textId="77777777" w:rsidR="002A775B" w:rsidRPr="00EB0C51" w:rsidRDefault="002A775B" w:rsidP="00825250">
      <w:pPr>
        <w:jc w:val="both"/>
        <w:rPr>
          <w:rFonts w:cs="Arial"/>
          <w:color w:val="000000"/>
          <w:sz w:val="18"/>
          <w:szCs w:val="18"/>
          <w:lang w:eastAsia="es-CO"/>
        </w:rPr>
      </w:pPr>
    </w:p>
    <w:p w14:paraId="4A06FFD8" w14:textId="341F8D0D" w:rsidR="00305548" w:rsidRPr="00EB0C51" w:rsidRDefault="00305548" w:rsidP="00305548">
      <w:pPr>
        <w:jc w:val="both"/>
        <w:rPr>
          <w:rFonts w:cs="Arial"/>
          <w:sz w:val="16"/>
          <w:szCs w:val="16"/>
        </w:rPr>
      </w:pPr>
      <w:r w:rsidRPr="00EB0C51">
        <w:rPr>
          <w:rFonts w:cs="Arial"/>
        </w:rPr>
        <w:t>De acuerdo con lo expuesto en la tabla No. 2, la apropiación vigente a 3</w:t>
      </w:r>
      <w:r w:rsidR="00E33519" w:rsidRPr="00EB0C51">
        <w:rPr>
          <w:rFonts w:cs="Arial"/>
        </w:rPr>
        <w:t>0</w:t>
      </w:r>
      <w:r w:rsidRPr="00EB0C51">
        <w:rPr>
          <w:rFonts w:cs="Arial"/>
        </w:rPr>
        <w:t xml:space="preserve"> de junio de 2021 para el MHCP es de </w:t>
      </w:r>
      <w:r w:rsidR="000F1E72" w:rsidRPr="00EB0C51">
        <w:rPr>
          <w:rFonts w:cs="Arial"/>
        </w:rPr>
        <w:t>veintiséis</w:t>
      </w:r>
      <w:r w:rsidRPr="00EB0C51">
        <w:rPr>
          <w:rFonts w:cs="Arial"/>
        </w:rPr>
        <w:t xml:space="preserve"> billones seiscientos treinta y cuatro mil ciento cincuenta millones quinientos ochenta y cuatro mil trescientos setenta y seis pesos                                        ($ 26.634.150.584.376)</w:t>
      </w:r>
      <w:r w:rsidRPr="00EB0C51">
        <w:rPr>
          <w:rFonts w:cs="Arial"/>
          <w:color w:val="000000"/>
          <w:lang w:eastAsia="es-CO"/>
        </w:rPr>
        <w:t xml:space="preserve"> que </w:t>
      </w:r>
      <w:r w:rsidR="00DC59FC" w:rsidRPr="00EB0C51">
        <w:rPr>
          <w:rFonts w:cs="Arial"/>
          <w:color w:val="000000"/>
          <w:lang w:eastAsia="es-CO"/>
        </w:rPr>
        <w:t>corresponden a los</w:t>
      </w:r>
      <w:r w:rsidRPr="00EB0C51">
        <w:rPr>
          <w:rFonts w:cs="Arial"/>
          <w:color w:val="000000"/>
          <w:lang w:eastAsia="es-CO"/>
        </w:rPr>
        <w:t xml:space="preserve"> </w:t>
      </w:r>
      <w:r w:rsidR="00780F67" w:rsidRPr="00EB0C51">
        <w:rPr>
          <w:rFonts w:cs="Arial"/>
          <w:color w:val="000000"/>
          <w:lang w:eastAsia="es-CO"/>
        </w:rPr>
        <w:t xml:space="preserve">asignados a </w:t>
      </w:r>
      <w:r w:rsidRPr="00EB0C51">
        <w:rPr>
          <w:rFonts w:cs="Arial"/>
          <w:color w:val="000000"/>
          <w:lang w:eastAsia="es-CO"/>
        </w:rPr>
        <w:t>ejecuta</w:t>
      </w:r>
      <w:r w:rsidR="00DC59FC" w:rsidRPr="00EB0C51">
        <w:rPr>
          <w:rFonts w:cs="Arial"/>
          <w:color w:val="000000"/>
          <w:lang w:eastAsia="es-CO"/>
        </w:rPr>
        <w:t>r</w:t>
      </w:r>
      <w:r w:rsidRPr="00EB0C51">
        <w:rPr>
          <w:rFonts w:cs="Arial"/>
          <w:color w:val="000000"/>
          <w:lang w:eastAsia="es-CO"/>
        </w:rPr>
        <w:t xml:space="preserve"> por </w:t>
      </w:r>
      <w:r w:rsidR="00DC59FC" w:rsidRPr="00EB0C51">
        <w:rPr>
          <w:rFonts w:cs="Arial"/>
          <w:color w:val="000000"/>
          <w:lang w:eastAsia="es-CO"/>
        </w:rPr>
        <w:t xml:space="preserve">parte de </w:t>
      </w:r>
      <w:r w:rsidRPr="00EB0C51">
        <w:rPr>
          <w:rFonts w:cs="Arial"/>
          <w:color w:val="000000"/>
          <w:lang w:eastAsia="es-CO"/>
        </w:rPr>
        <w:t xml:space="preserve">la entidad, </w:t>
      </w:r>
      <w:r w:rsidR="003300D2" w:rsidRPr="00EB0C51">
        <w:rPr>
          <w:rFonts w:cs="Arial"/>
          <w:color w:val="000000"/>
          <w:lang w:eastAsia="es-CO"/>
        </w:rPr>
        <w:t xml:space="preserve">o destinados al FOME. </w:t>
      </w:r>
      <w:r w:rsidRPr="00EB0C51">
        <w:rPr>
          <w:rFonts w:cs="Arial"/>
          <w:color w:val="000000"/>
          <w:lang w:eastAsia="es-CO"/>
        </w:rPr>
        <w:t xml:space="preserve"> </w:t>
      </w:r>
    </w:p>
    <w:p w14:paraId="60B6C7D5" w14:textId="5F1D31EF" w:rsidR="00F2466E" w:rsidRPr="00EB0C51" w:rsidRDefault="00F2466E" w:rsidP="00825250">
      <w:pPr>
        <w:jc w:val="both"/>
        <w:rPr>
          <w:rFonts w:cs="Arial"/>
          <w:color w:val="000000"/>
          <w:sz w:val="12"/>
          <w:szCs w:val="12"/>
          <w:lang w:eastAsia="es-CO"/>
        </w:rPr>
      </w:pPr>
    </w:p>
    <w:p w14:paraId="1FBF0FE5" w14:textId="740C8C95" w:rsidR="00BE77DF" w:rsidRPr="00EB0C51" w:rsidRDefault="00EE4419" w:rsidP="00F40ECB">
      <w:pPr>
        <w:jc w:val="both"/>
        <w:rPr>
          <w:rFonts w:cs="Arial"/>
          <w:color w:val="000000" w:themeColor="text1"/>
        </w:rPr>
      </w:pPr>
      <w:r w:rsidRPr="00EB0C51">
        <w:rPr>
          <w:rFonts w:cs="Arial"/>
          <w:color w:val="000000" w:themeColor="text1"/>
        </w:rPr>
        <w:t>C</w:t>
      </w:r>
      <w:r w:rsidR="008D0098" w:rsidRPr="00EB0C51">
        <w:rPr>
          <w:rFonts w:cs="Arial"/>
          <w:color w:val="000000" w:themeColor="text1"/>
        </w:rPr>
        <w:t xml:space="preserve">omo se mencionó, el MHCP </w:t>
      </w:r>
      <w:r w:rsidR="00F40ECB" w:rsidRPr="00EB0C51">
        <w:rPr>
          <w:rFonts w:cs="Arial"/>
          <w:color w:val="000000" w:themeColor="text1"/>
        </w:rPr>
        <w:t xml:space="preserve">en </w:t>
      </w:r>
      <w:r w:rsidR="00F40ECB" w:rsidRPr="00EB0C51">
        <w:rPr>
          <w:rFonts w:cs="Arial"/>
          <w:bCs/>
          <w:color w:val="000000" w:themeColor="text1"/>
        </w:rPr>
        <w:t xml:space="preserve">cumplimiento de las obligaciones constitucionales y legales </w:t>
      </w:r>
      <w:r w:rsidR="00090FCF" w:rsidRPr="00EB0C51">
        <w:rPr>
          <w:rFonts w:cs="Arial"/>
          <w:bCs/>
          <w:color w:val="000000" w:themeColor="text1"/>
        </w:rPr>
        <w:t>que le fueron designadas</w:t>
      </w:r>
      <w:r w:rsidR="00C42375" w:rsidRPr="00EB0C51">
        <w:rPr>
          <w:rFonts w:cs="Arial"/>
          <w:bCs/>
          <w:color w:val="000000" w:themeColor="text1"/>
        </w:rPr>
        <w:t>,</w:t>
      </w:r>
      <w:r w:rsidR="00090FCF" w:rsidRPr="00EB0C51">
        <w:rPr>
          <w:rFonts w:cs="Arial"/>
          <w:bCs/>
          <w:color w:val="000000" w:themeColor="text1"/>
        </w:rPr>
        <w:t xml:space="preserve"> cuenta con presupuesto </w:t>
      </w:r>
      <w:r w:rsidR="00F40ECB" w:rsidRPr="00EB0C51">
        <w:rPr>
          <w:rFonts w:cs="Arial"/>
          <w:bCs/>
          <w:color w:val="000000" w:themeColor="text1"/>
        </w:rPr>
        <w:t>que en términos de magnitud de recursos</w:t>
      </w:r>
      <w:r w:rsidR="00784DE5" w:rsidRPr="00EB0C51">
        <w:rPr>
          <w:rFonts w:cs="Arial"/>
          <w:bCs/>
          <w:color w:val="000000" w:themeColor="text1"/>
        </w:rPr>
        <w:t xml:space="preserve">, equivale </w:t>
      </w:r>
      <w:r w:rsidR="00F40ECB" w:rsidRPr="00EB0C51">
        <w:rPr>
          <w:rFonts w:cs="Arial"/>
          <w:bCs/>
          <w:color w:val="000000" w:themeColor="text1"/>
        </w:rPr>
        <w:t>a transferencias a entidades territoriales u otras empresas estatales</w:t>
      </w:r>
      <w:r w:rsidR="003E266B" w:rsidRPr="00EB0C51">
        <w:rPr>
          <w:rFonts w:cs="Arial"/>
          <w:bCs/>
          <w:color w:val="000000" w:themeColor="text1"/>
        </w:rPr>
        <w:t>,</w:t>
      </w:r>
      <w:r w:rsidR="00F40ECB" w:rsidRPr="00EB0C51">
        <w:rPr>
          <w:rFonts w:cs="Arial"/>
          <w:bCs/>
          <w:color w:val="000000" w:themeColor="text1"/>
        </w:rPr>
        <w:t xml:space="preserve"> en virtud de un mandato legal</w:t>
      </w:r>
      <w:r w:rsidR="00BE77DF" w:rsidRPr="00EB0C51">
        <w:rPr>
          <w:rFonts w:cs="Arial"/>
          <w:color w:val="000000" w:themeColor="text1"/>
        </w:rPr>
        <w:t xml:space="preserve">. </w:t>
      </w:r>
    </w:p>
    <w:p w14:paraId="559B0D1E" w14:textId="77777777" w:rsidR="00BE77DF" w:rsidRPr="00EB0C51" w:rsidRDefault="00BE77DF" w:rsidP="00F40ECB">
      <w:pPr>
        <w:jc w:val="both"/>
        <w:rPr>
          <w:rFonts w:cs="Arial"/>
          <w:color w:val="000000" w:themeColor="text1"/>
          <w:sz w:val="18"/>
          <w:szCs w:val="18"/>
        </w:rPr>
      </w:pPr>
    </w:p>
    <w:p w14:paraId="59F18CCC" w14:textId="7107C513" w:rsidR="00F40ECB" w:rsidRPr="00EB0C51" w:rsidRDefault="00BE77DF" w:rsidP="00F40ECB">
      <w:pPr>
        <w:jc w:val="both"/>
        <w:rPr>
          <w:rFonts w:cs="Arial"/>
          <w:color w:val="000000" w:themeColor="text1"/>
        </w:rPr>
      </w:pPr>
      <w:r w:rsidRPr="00EB0C51">
        <w:rPr>
          <w:rFonts w:cs="Arial"/>
          <w:color w:val="000000" w:themeColor="text1"/>
        </w:rPr>
        <w:t xml:space="preserve">En </w:t>
      </w:r>
      <w:r w:rsidR="002058A0" w:rsidRPr="00EB0C51">
        <w:rPr>
          <w:rFonts w:cs="Arial"/>
          <w:color w:val="000000" w:themeColor="text1"/>
        </w:rPr>
        <w:t>el</w:t>
      </w:r>
      <w:r w:rsidRPr="00EB0C51">
        <w:rPr>
          <w:rFonts w:cs="Arial"/>
          <w:color w:val="000000" w:themeColor="text1"/>
        </w:rPr>
        <w:t xml:space="preserve"> marco de lo descrito y d</w:t>
      </w:r>
      <w:r w:rsidR="00C42375" w:rsidRPr="00EB0C51">
        <w:rPr>
          <w:rFonts w:cs="Arial"/>
          <w:color w:val="000000" w:themeColor="text1"/>
        </w:rPr>
        <w:t>e acuerdo con información suministrada por la Subdirección Financiera</w:t>
      </w:r>
      <w:r w:rsidR="00691FCC" w:rsidRPr="00EB0C51">
        <w:rPr>
          <w:rFonts w:cs="Arial"/>
          <w:color w:val="000000" w:themeColor="text1"/>
        </w:rPr>
        <w:t>,</w:t>
      </w:r>
      <w:r w:rsidR="00C42375" w:rsidRPr="00EB0C51">
        <w:rPr>
          <w:rFonts w:cs="Arial"/>
          <w:color w:val="000000" w:themeColor="text1"/>
        </w:rPr>
        <w:t xml:space="preserve"> se identificaron los </w:t>
      </w:r>
      <w:r w:rsidR="00EC1497" w:rsidRPr="00EB0C51">
        <w:rPr>
          <w:rFonts w:cs="Arial"/>
          <w:color w:val="000000" w:themeColor="text1"/>
        </w:rPr>
        <w:t xml:space="preserve">tipos de apropiación del </w:t>
      </w:r>
      <w:r w:rsidR="0093272A" w:rsidRPr="00EB0C51">
        <w:rPr>
          <w:rFonts w:cs="Arial"/>
          <w:color w:val="000000" w:themeColor="text1"/>
        </w:rPr>
        <w:t xml:space="preserve">MHCP y los </w:t>
      </w:r>
      <w:r w:rsidR="00C42375" w:rsidRPr="00EB0C51">
        <w:rPr>
          <w:rFonts w:cs="Arial"/>
          <w:color w:val="000000" w:themeColor="text1"/>
        </w:rPr>
        <w:t>montos totales que son ejecutados por la Entidad y distribuidos</w:t>
      </w:r>
      <w:r w:rsidR="002058A0" w:rsidRPr="00EB0C51">
        <w:rPr>
          <w:rFonts w:cs="Arial"/>
          <w:color w:val="000000" w:themeColor="text1"/>
        </w:rPr>
        <w:t>;</w:t>
      </w:r>
      <w:r w:rsidR="00C42375" w:rsidRPr="00EB0C51">
        <w:rPr>
          <w:rFonts w:cs="Arial"/>
          <w:color w:val="000000" w:themeColor="text1"/>
        </w:rPr>
        <w:t xml:space="preserve"> de igual manera, se </w:t>
      </w:r>
      <w:r w:rsidR="00DB2573" w:rsidRPr="00EB0C51">
        <w:rPr>
          <w:rFonts w:cs="Arial"/>
          <w:color w:val="000000" w:themeColor="text1"/>
        </w:rPr>
        <w:t>estableció</w:t>
      </w:r>
      <w:r w:rsidR="00C42375" w:rsidRPr="00EB0C51">
        <w:rPr>
          <w:rFonts w:cs="Arial"/>
          <w:color w:val="000000" w:themeColor="text1"/>
        </w:rPr>
        <w:t xml:space="preserve"> el</w:t>
      </w:r>
      <w:r w:rsidR="00827E08" w:rsidRPr="00EB0C51">
        <w:rPr>
          <w:rFonts w:cs="Arial"/>
          <w:color w:val="000000" w:themeColor="text1"/>
        </w:rPr>
        <w:t xml:space="preserve"> valor</w:t>
      </w:r>
      <w:r w:rsidR="00C42375" w:rsidRPr="00EB0C51">
        <w:rPr>
          <w:rFonts w:cs="Arial"/>
          <w:color w:val="000000" w:themeColor="text1"/>
        </w:rPr>
        <w:t xml:space="preserve"> de los recursos asignados al FOME</w:t>
      </w:r>
      <w:r w:rsidR="00691FCC" w:rsidRPr="00EB0C51">
        <w:rPr>
          <w:rFonts w:cs="Arial"/>
          <w:color w:val="000000" w:themeColor="text1"/>
        </w:rPr>
        <w:t xml:space="preserve"> </w:t>
      </w:r>
      <w:r w:rsidR="00817348" w:rsidRPr="00EB0C51">
        <w:rPr>
          <w:rFonts w:cs="Arial"/>
          <w:color w:val="000000" w:themeColor="text1"/>
        </w:rPr>
        <w:t xml:space="preserve">el cual se creó </w:t>
      </w:r>
      <w:r w:rsidR="00C42375" w:rsidRPr="00EB0C51">
        <w:rPr>
          <w:rFonts w:cs="Arial"/>
          <w:color w:val="000000" w:themeColor="text1"/>
        </w:rPr>
        <w:t>a partir del Decreto 444 de 2020, con el propósito de atender</w:t>
      </w:r>
      <w:r w:rsidR="00C42375" w:rsidRPr="00EB0C51">
        <w:rPr>
          <w:rFonts w:cs="Arial"/>
          <w:color w:val="000000" w:themeColor="text1"/>
          <w:sz w:val="25"/>
          <w:szCs w:val="25"/>
          <w:shd w:val="clear" w:color="auto" w:fill="FFFFFF"/>
        </w:rPr>
        <w:t xml:space="preserve"> </w:t>
      </w:r>
      <w:r w:rsidR="00C42375" w:rsidRPr="00EB0C51">
        <w:rPr>
          <w:rFonts w:cs="Arial"/>
          <w:color w:val="000000" w:themeColor="text1"/>
        </w:rPr>
        <w:t>las necesidades de recursos para la atención en salud, los efectos adversos generados a la actividad productiva y la necesidad de que la economía continúe brindando condiciones que mantengan el empleo y el crecimiento</w:t>
      </w:r>
      <w:r w:rsidR="006B32E7" w:rsidRPr="00EB0C51">
        <w:rPr>
          <w:rFonts w:cs="Arial"/>
          <w:color w:val="000000" w:themeColor="text1"/>
        </w:rPr>
        <w:t>,</w:t>
      </w:r>
      <w:r w:rsidR="00C42375" w:rsidRPr="00EB0C51">
        <w:rPr>
          <w:rFonts w:cs="Arial"/>
          <w:color w:val="000000" w:themeColor="text1"/>
        </w:rPr>
        <w:t xml:space="preserve"> </w:t>
      </w:r>
      <w:r w:rsidR="00A549E7" w:rsidRPr="00EB0C51">
        <w:rPr>
          <w:rFonts w:cs="Arial"/>
          <w:color w:val="000000" w:themeColor="text1"/>
        </w:rPr>
        <w:t>a la luz</w:t>
      </w:r>
      <w:r w:rsidR="00C42375" w:rsidRPr="00EB0C51">
        <w:rPr>
          <w:rFonts w:cs="Arial"/>
          <w:color w:val="000000" w:themeColor="text1"/>
        </w:rPr>
        <w:t xml:space="preserve"> de la declaratoria de Estado de Emergencia Económica, Social y Ecológica en todo el territorio Nacional que se instauró a través del Decreto 417 de marzo de 2020</w:t>
      </w:r>
      <w:r w:rsidR="00323A24" w:rsidRPr="00EB0C51">
        <w:rPr>
          <w:rFonts w:cs="Arial"/>
          <w:color w:val="000000" w:themeColor="text1"/>
        </w:rPr>
        <w:t xml:space="preserve"> como resultado de</w:t>
      </w:r>
      <w:r w:rsidR="00B40E0A" w:rsidRPr="00EB0C51">
        <w:rPr>
          <w:rFonts w:cs="Arial"/>
          <w:color w:val="000000" w:themeColor="text1"/>
        </w:rPr>
        <w:t xml:space="preserve"> </w:t>
      </w:r>
      <w:r w:rsidR="00323A24" w:rsidRPr="00EB0C51">
        <w:rPr>
          <w:rFonts w:cs="Arial"/>
          <w:color w:val="000000" w:themeColor="text1"/>
        </w:rPr>
        <w:t xml:space="preserve">la pandemia </w:t>
      </w:r>
      <w:r w:rsidR="00B40E0A" w:rsidRPr="00EB0C51">
        <w:rPr>
          <w:rFonts w:cs="Arial"/>
          <w:color w:val="000000" w:themeColor="text1"/>
        </w:rPr>
        <w:t>por</w:t>
      </w:r>
      <w:r w:rsidR="00624170" w:rsidRPr="00EB0C51">
        <w:rPr>
          <w:rFonts w:cs="Arial"/>
          <w:color w:val="000000" w:themeColor="text1"/>
        </w:rPr>
        <w:t xml:space="preserve"> </w:t>
      </w:r>
      <w:r w:rsidR="008633B1" w:rsidRPr="00EB0C51">
        <w:rPr>
          <w:rFonts w:cs="Arial"/>
          <w:color w:val="000000" w:themeColor="text1"/>
        </w:rPr>
        <w:t xml:space="preserve">la enfermedad </w:t>
      </w:r>
      <w:r w:rsidR="00C57C24" w:rsidRPr="00EB0C51">
        <w:rPr>
          <w:rFonts w:cs="Arial"/>
          <w:color w:val="000000" w:themeColor="text1"/>
        </w:rPr>
        <w:t>de</w:t>
      </w:r>
      <w:r w:rsidR="005F27FD" w:rsidRPr="00EB0C51">
        <w:rPr>
          <w:rFonts w:cs="Arial"/>
          <w:color w:val="000000" w:themeColor="text1"/>
        </w:rPr>
        <w:t xml:space="preserve"> </w:t>
      </w:r>
      <w:r w:rsidR="008633B1" w:rsidRPr="00EB0C51">
        <w:rPr>
          <w:rFonts w:cs="Arial"/>
          <w:color w:val="000000" w:themeColor="text1"/>
        </w:rPr>
        <w:t>coronavirus</w:t>
      </w:r>
      <w:r w:rsidR="00B40E0A" w:rsidRPr="00EB0C51">
        <w:rPr>
          <w:rFonts w:cs="Arial"/>
          <w:color w:val="000000" w:themeColor="text1"/>
        </w:rPr>
        <w:t xml:space="preserve"> </w:t>
      </w:r>
      <w:r w:rsidR="00323A24" w:rsidRPr="00EB0C51">
        <w:rPr>
          <w:rFonts w:cs="Arial"/>
          <w:color w:val="000000" w:themeColor="text1"/>
        </w:rPr>
        <w:t>COVID 19</w:t>
      </w:r>
      <w:r w:rsidR="005F27FD" w:rsidRPr="00EB0C51">
        <w:rPr>
          <w:rFonts w:cs="Arial"/>
          <w:color w:val="000000" w:themeColor="text1"/>
        </w:rPr>
        <w:t>;</w:t>
      </w:r>
      <w:r w:rsidR="00C42375" w:rsidRPr="00EB0C51">
        <w:rPr>
          <w:rFonts w:cs="Arial"/>
          <w:color w:val="000000" w:themeColor="text1"/>
        </w:rPr>
        <w:t xml:space="preserve"> y que hace parte de la ejecución de la Entidad para las vigencias 2020 y 2021</w:t>
      </w:r>
      <w:r w:rsidR="00A549E7" w:rsidRPr="00EB0C51">
        <w:rPr>
          <w:rFonts w:cs="Arial"/>
          <w:color w:val="000000" w:themeColor="text1"/>
        </w:rPr>
        <w:t>.</w:t>
      </w:r>
    </w:p>
    <w:p w14:paraId="0899F13F" w14:textId="77777777" w:rsidR="00C42375" w:rsidRPr="00EB0C51" w:rsidRDefault="00C42375" w:rsidP="00C42375">
      <w:pPr>
        <w:jc w:val="both"/>
        <w:rPr>
          <w:rFonts w:cs="Arial"/>
        </w:rPr>
      </w:pPr>
    </w:p>
    <w:p w14:paraId="14C8C24D" w14:textId="54067F39" w:rsidR="00C42375" w:rsidRPr="00EB0C51" w:rsidRDefault="0066681C" w:rsidP="00C42375">
      <w:pPr>
        <w:jc w:val="both"/>
        <w:rPr>
          <w:rFonts w:cs="Arial"/>
        </w:rPr>
      </w:pPr>
      <w:r w:rsidRPr="00EB0C51">
        <w:rPr>
          <w:rFonts w:cs="Arial"/>
        </w:rPr>
        <w:t>Con base en</w:t>
      </w:r>
      <w:r w:rsidR="00C42375" w:rsidRPr="00EB0C51">
        <w:rPr>
          <w:rFonts w:cs="Arial"/>
        </w:rPr>
        <w:t xml:space="preserve"> lo anterior, en seguida se presentan la gráfica No. 1 y 2 que muestran los montos totales de las apropiaciones vigentes establecidos para 2020 y 2021 </w:t>
      </w:r>
      <w:r w:rsidR="005F5893" w:rsidRPr="00EB0C51">
        <w:rPr>
          <w:rFonts w:cs="Arial"/>
        </w:rPr>
        <w:t>por</w:t>
      </w:r>
      <w:r w:rsidR="00C42375" w:rsidRPr="00EB0C51">
        <w:rPr>
          <w:rFonts w:cs="Arial"/>
        </w:rPr>
        <w:t xml:space="preserve"> tipo</w:t>
      </w:r>
      <w:r w:rsidR="00266795" w:rsidRPr="00EB0C51">
        <w:rPr>
          <w:rFonts w:cs="Arial"/>
        </w:rPr>
        <w:t>,</w:t>
      </w:r>
      <w:r w:rsidR="001F6F99" w:rsidRPr="00EB0C51">
        <w:rPr>
          <w:rFonts w:cs="Arial"/>
        </w:rPr>
        <w:t xml:space="preserve"> </w:t>
      </w:r>
      <w:r w:rsidR="00C42375" w:rsidRPr="00EB0C51">
        <w:rPr>
          <w:rFonts w:cs="Arial"/>
        </w:rPr>
        <w:t xml:space="preserve">a saber: </w:t>
      </w:r>
    </w:p>
    <w:p w14:paraId="74D2B13A" w14:textId="77777777" w:rsidR="00C42375" w:rsidRPr="00EB0C51" w:rsidRDefault="00C42375" w:rsidP="00C42375">
      <w:pPr>
        <w:jc w:val="both"/>
        <w:rPr>
          <w:rFonts w:cs="Arial"/>
        </w:rPr>
      </w:pPr>
    </w:p>
    <w:p w14:paraId="51E5F32F" w14:textId="486E815A" w:rsidR="00C42375" w:rsidRPr="00EB0C51" w:rsidRDefault="00C42375" w:rsidP="00C42375">
      <w:pPr>
        <w:jc w:val="both"/>
        <w:rPr>
          <w:rFonts w:cs="Arial"/>
        </w:rPr>
      </w:pPr>
      <w:r w:rsidRPr="00EB0C51">
        <w:rPr>
          <w:rFonts w:cs="Arial"/>
        </w:rPr>
        <w:t xml:space="preserve">-Recursos </w:t>
      </w:r>
      <w:r w:rsidR="004E5215" w:rsidRPr="00EB0C51">
        <w:rPr>
          <w:rFonts w:cs="Arial"/>
        </w:rPr>
        <w:t xml:space="preserve">a </w:t>
      </w:r>
      <w:r w:rsidRPr="00EB0C51">
        <w:rPr>
          <w:rFonts w:cs="Arial"/>
        </w:rPr>
        <w:t>ejecut</w:t>
      </w:r>
      <w:r w:rsidR="004E5215" w:rsidRPr="00EB0C51">
        <w:rPr>
          <w:rFonts w:cs="Arial"/>
        </w:rPr>
        <w:t>ar</w:t>
      </w:r>
      <w:r w:rsidRPr="00EB0C51">
        <w:rPr>
          <w:rFonts w:cs="Arial"/>
        </w:rPr>
        <w:t xml:space="preserve"> por el MHCP</w:t>
      </w:r>
    </w:p>
    <w:p w14:paraId="7DAF2850" w14:textId="526532A2" w:rsidR="00C42375" w:rsidRPr="00EB0C51" w:rsidRDefault="00C42375" w:rsidP="00C42375">
      <w:pPr>
        <w:jc w:val="both"/>
        <w:rPr>
          <w:rFonts w:cs="Arial"/>
        </w:rPr>
      </w:pPr>
      <w:r w:rsidRPr="00EB0C51">
        <w:rPr>
          <w:rFonts w:cs="Arial"/>
        </w:rPr>
        <w:t xml:space="preserve">-Recursos </w:t>
      </w:r>
      <w:r w:rsidR="00F948FA" w:rsidRPr="00EB0C51">
        <w:rPr>
          <w:rFonts w:cs="Arial"/>
        </w:rPr>
        <w:t xml:space="preserve">a </w:t>
      </w:r>
      <w:r w:rsidRPr="00EB0C51">
        <w:rPr>
          <w:rFonts w:cs="Arial"/>
        </w:rPr>
        <w:t>distribui</w:t>
      </w:r>
      <w:r w:rsidR="00F948FA" w:rsidRPr="00EB0C51">
        <w:rPr>
          <w:rFonts w:cs="Arial"/>
        </w:rPr>
        <w:t>r</w:t>
      </w:r>
      <w:r w:rsidRPr="00EB0C51">
        <w:rPr>
          <w:rFonts w:cs="Arial"/>
        </w:rPr>
        <w:t xml:space="preserve"> a otras entidades del orden nacional y territorial </w:t>
      </w:r>
      <w:r w:rsidR="001F6F99" w:rsidRPr="00EB0C51">
        <w:rPr>
          <w:rFonts w:cs="Arial"/>
        </w:rPr>
        <w:t xml:space="preserve">u empresas estatales </w:t>
      </w:r>
    </w:p>
    <w:p w14:paraId="43AA87E3" w14:textId="4218B1EC" w:rsidR="00C42375" w:rsidRPr="00EB0C51" w:rsidRDefault="00C42375" w:rsidP="00C42375">
      <w:pPr>
        <w:jc w:val="both"/>
        <w:rPr>
          <w:rFonts w:cs="Arial"/>
        </w:rPr>
      </w:pPr>
      <w:r w:rsidRPr="00EB0C51">
        <w:rPr>
          <w:rFonts w:cs="Arial"/>
        </w:rPr>
        <w:t xml:space="preserve">-Recursos asignados </w:t>
      </w:r>
      <w:r w:rsidR="001F6F99" w:rsidRPr="00EB0C51">
        <w:rPr>
          <w:rFonts w:cs="Arial"/>
        </w:rPr>
        <w:t xml:space="preserve">al </w:t>
      </w:r>
      <w:r w:rsidRPr="00EB0C51">
        <w:rPr>
          <w:rFonts w:cs="Arial"/>
        </w:rPr>
        <w:t xml:space="preserve">FOME </w:t>
      </w:r>
    </w:p>
    <w:p w14:paraId="35AC270B" w14:textId="0788A167" w:rsidR="00C42375" w:rsidRPr="00EB0C51" w:rsidRDefault="00C42375" w:rsidP="00F40ECB">
      <w:pPr>
        <w:jc w:val="both"/>
        <w:rPr>
          <w:rFonts w:cs="Arial"/>
          <w:color w:val="000000" w:themeColor="text1"/>
        </w:rPr>
        <w:sectPr w:rsidR="00C42375" w:rsidRPr="00EB0C51" w:rsidSect="00D351D8">
          <w:headerReference w:type="default" r:id="rId11"/>
          <w:footerReference w:type="default" r:id="rId12"/>
          <w:pgSz w:w="12240" w:h="15840" w:code="1"/>
          <w:pgMar w:top="1843" w:right="1134" w:bottom="1134" w:left="1418" w:header="709" w:footer="346" w:gutter="0"/>
          <w:cols w:space="708"/>
          <w:docGrid w:linePitch="360"/>
        </w:sectPr>
      </w:pPr>
    </w:p>
    <w:p w14:paraId="5D6BE2C9" w14:textId="3662C180" w:rsidR="005001AA" w:rsidRPr="00EB0C51" w:rsidRDefault="009B1779" w:rsidP="008A65BF">
      <w:pPr>
        <w:pStyle w:val="Descripcin"/>
        <w:jc w:val="center"/>
        <w:rPr>
          <w:rFonts w:cs="Arial"/>
          <w:i w:val="0"/>
          <w:iCs w:val="0"/>
          <w:color w:val="auto"/>
          <w:sz w:val="24"/>
          <w:szCs w:val="24"/>
        </w:rPr>
      </w:pPr>
      <w:r w:rsidRPr="00EB0C51">
        <w:rPr>
          <w:rFonts w:cs="Arial"/>
          <w:color w:val="auto"/>
          <w:sz w:val="24"/>
          <w:szCs w:val="24"/>
        </w:rPr>
        <w:lastRenderedPageBreak/>
        <w:t xml:space="preserve">Gráfica </w:t>
      </w:r>
      <w:r w:rsidRPr="00EB0C51">
        <w:rPr>
          <w:rFonts w:cs="Arial"/>
          <w:color w:val="auto"/>
          <w:sz w:val="24"/>
          <w:szCs w:val="24"/>
        </w:rPr>
        <w:fldChar w:fldCharType="begin"/>
      </w:r>
      <w:r w:rsidRPr="00EB0C51">
        <w:rPr>
          <w:rFonts w:cs="Arial"/>
          <w:color w:val="auto"/>
          <w:sz w:val="24"/>
          <w:szCs w:val="24"/>
        </w:rPr>
        <w:instrText xml:space="preserve"> SEQ Gráfica \* ARABIC </w:instrText>
      </w:r>
      <w:r w:rsidRPr="00EB0C51">
        <w:rPr>
          <w:rFonts w:cs="Arial"/>
          <w:color w:val="auto"/>
          <w:sz w:val="24"/>
          <w:szCs w:val="24"/>
        </w:rPr>
        <w:fldChar w:fldCharType="separate"/>
      </w:r>
      <w:r w:rsidR="006272FD" w:rsidRPr="00EB0C51">
        <w:rPr>
          <w:rFonts w:cs="Arial"/>
          <w:noProof/>
          <w:color w:val="auto"/>
          <w:sz w:val="24"/>
          <w:szCs w:val="24"/>
        </w:rPr>
        <w:t>1</w:t>
      </w:r>
      <w:r w:rsidRPr="00EB0C51">
        <w:rPr>
          <w:rFonts w:cs="Arial"/>
          <w:color w:val="auto"/>
          <w:sz w:val="24"/>
          <w:szCs w:val="24"/>
        </w:rPr>
        <w:fldChar w:fldCharType="end"/>
      </w:r>
      <w:r w:rsidR="00651D87" w:rsidRPr="00EB0C51">
        <w:rPr>
          <w:rFonts w:cs="Arial"/>
          <w:color w:val="auto"/>
          <w:sz w:val="24"/>
          <w:szCs w:val="24"/>
        </w:rPr>
        <w:t xml:space="preserve">. </w:t>
      </w:r>
      <w:r w:rsidR="00B42C1A" w:rsidRPr="00EB0C51">
        <w:rPr>
          <w:rFonts w:cs="Arial"/>
          <w:i w:val="0"/>
          <w:iCs w:val="0"/>
          <w:color w:val="auto"/>
          <w:sz w:val="24"/>
          <w:szCs w:val="24"/>
        </w:rPr>
        <w:t>Apropiación vigente por tipo</w:t>
      </w:r>
      <w:r w:rsidR="006B09D6" w:rsidRPr="00EB0C51">
        <w:rPr>
          <w:rFonts w:cs="Arial"/>
          <w:i w:val="0"/>
          <w:iCs w:val="0"/>
          <w:color w:val="auto"/>
          <w:sz w:val="24"/>
          <w:szCs w:val="24"/>
        </w:rPr>
        <w:t>,</w:t>
      </w:r>
      <w:r w:rsidR="00B42C1A" w:rsidRPr="00EB0C51">
        <w:rPr>
          <w:rFonts w:cs="Arial"/>
          <w:i w:val="0"/>
          <w:iCs w:val="0"/>
          <w:color w:val="auto"/>
          <w:sz w:val="24"/>
          <w:szCs w:val="24"/>
        </w:rPr>
        <w:t xml:space="preserve"> con corte a diciembre de </w:t>
      </w:r>
      <w:r w:rsidR="008311DF" w:rsidRPr="00EB0C51">
        <w:rPr>
          <w:rFonts w:cs="Arial"/>
          <w:i w:val="0"/>
          <w:iCs w:val="0"/>
          <w:color w:val="auto"/>
          <w:sz w:val="24"/>
          <w:szCs w:val="24"/>
        </w:rPr>
        <w:t>2020</w:t>
      </w:r>
    </w:p>
    <w:p w14:paraId="354C5EC8" w14:textId="77777777" w:rsidR="0050473C" w:rsidRPr="00EB0C51" w:rsidRDefault="0050473C" w:rsidP="0050473C">
      <w:pPr>
        <w:rPr>
          <w:rFonts w:cs="Arial"/>
          <w:sz w:val="20"/>
          <w:szCs w:val="20"/>
        </w:rPr>
      </w:pPr>
      <w:r w:rsidRPr="00EB0C51">
        <w:rPr>
          <w:rFonts w:cs="Arial"/>
          <w:sz w:val="20"/>
          <w:szCs w:val="20"/>
        </w:rPr>
        <w:t xml:space="preserve">Cifras expresadas en pesos </w:t>
      </w:r>
    </w:p>
    <w:p w14:paraId="4C319535" w14:textId="2421E054" w:rsidR="00F40EF8" w:rsidRPr="00EB0C51" w:rsidRDefault="008A65BF" w:rsidP="00814DCF">
      <w:pPr>
        <w:rPr>
          <w:rFonts w:cs="Arial"/>
        </w:rPr>
      </w:pPr>
      <w:r w:rsidRPr="00EB0C51">
        <w:rPr>
          <w:rFonts w:cs="Arial"/>
          <w:noProof/>
        </w:rPr>
        <w:drawing>
          <wp:inline distT="0" distB="0" distL="0" distR="0" wp14:anchorId="42A7BB00" wp14:editId="2EABB079">
            <wp:extent cx="6151880" cy="1905000"/>
            <wp:effectExtent l="0" t="0" r="1270" b="0"/>
            <wp:docPr id="1" name="Gráfico 1">
              <a:extLst xmlns:a="http://schemas.openxmlformats.org/drawingml/2006/main">
                <a:ext uri="{FF2B5EF4-FFF2-40B4-BE49-F238E27FC236}">
                  <a16:creationId xmlns:a16="http://schemas.microsoft.com/office/drawing/2014/main" id="{5771E803-0450-4874-99D1-0F32C41C1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67BE66" w14:textId="18A4544F" w:rsidR="002842C7" w:rsidRPr="00EB0C51" w:rsidRDefault="002842C7" w:rsidP="008B16B8">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w:t>
      </w:r>
      <w:r w:rsidR="00672A2A" w:rsidRPr="00EB0C51">
        <w:rPr>
          <w:rFonts w:cs="Arial"/>
          <w:sz w:val="16"/>
          <w:szCs w:val="16"/>
        </w:rPr>
        <w:t>F</w:t>
      </w:r>
      <w:r w:rsidRPr="00EB0C51">
        <w:rPr>
          <w:rFonts w:cs="Arial"/>
          <w:sz w:val="16"/>
          <w:szCs w:val="16"/>
        </w:rPr>
        <w:t>inanciera y el informe de ejecución presupuestal de diciembre de 2020</w:t>
      </w:r>
    </w:p>
    <w:p w14:paraId="305F7C11" w14:textId="4352B5C8" w:rsidR="00692471" w:rsidRPr="00EB0C51" w:rsidRDefault="00692471" w:rsidP="00814DCF">
      <w:pPr>
        <w:rPr>
          <w:rFonts w:cs="Arial"/>
        </w:rPr>
      </w:pPr>
    </w:p>
    <w:p w14:paraId="57148CFA" w14:textId="03D7C0A4" w:rsidR="006B09D6" w:rsidRPr="00EB0C51" w:rsidRDefault="006B09D6" w:rsidP="00606FC3">
      <w:pPr>
        <w:jc w:val="both"/>
        <w:rPr>
          <w:rFonts w:cs="Arial"/>
        </w:rPr>
      </w:pPr>
      <w:r w:rsidRPr="00EB0C51">
        <w:rPr>
          <w:rFonts w:cs="Arial"/>
        </w:rPr>
        <w:t xml:space="preserve">Como muestra la gráfica anterior, </w:t>
      </w:r>
      <w:r w:rsidR="00B52148" w:rsidRPr="00EB0C51">
        <w:rPr>
          <w:rFonts w:cs="Arial"/>
        </w:rPr>
        <w:t xml:space="preserve">el FOME tuvo una apropiación vigente a 31 de diciembre de 2020 de </w:t>
      </w:r>
      <w:r w:rsidR="00C7270D" w:rsidRPr="00EB0C51">
        <w:rPr>
          <w:rFonts w:cs="Arial"/>
        </w:rPr>
        <w:t xml:space="preserve">veinticinco billones </w:t>
      </w:r>
      <w:r w:rsidR="00B119B9" w:rsidRPr="00EB0C51">
        <w:rPr>
          <w:rFonts w:cs="Arial"/>
        </w:rPr>
        <w:t xml:space="preserve">seiscientos noventa y </w:t>
      </w:r>
      <w:r w:rsidR="00C7270D" w:rsidRPr="00EB0C51">
        <w:rPr>
          <w:rFonts w:cs="Arial"/>
        </w:rPr>
        <w:t xml:space="preserve">cuatro mil </w:t>
      </w:r>
      <w:r w:rsidR="00F479B8" w:rsidRPr="00EB0C51">
        <w:rPr>
          <w:rFonts w:cs="Arial"/>
        </w:rPr>
        <w:t>ciento cincuenta y tres</w:t>
      </w:r>
      <w:r w:rsidR="00C7270D" w:rsidRPr="00EB0C51">
        <w:rPr>
          <w:rFonts w:cs="Arial"/>
        </w:rPr>
        <w:t xml:space="preserve"> millones </w:t>
      </w:r>
      <w:r w:rsidR="00B47D0C" w:rsidRPr="00EB0C51">
        <w:rPr>
          <w:rFonts w:cs="Arial"/>
        </w:rPr>
        <w:t>cuatrocientos veintitrés mil quinientos diecinueve pesos ($25</w:t>
      </w:r>
      <w:r w:rsidR="00545958" w:rsidRPr="00EB0C51">
        <w:rPr>
          <w:rFonts w:cs="Arial"/>
        </w:rPr>
        <w:t>.</w:t>
      </w:r>
      <w:r w:rsidR="00F479B8" w:rsidRPr="00EB0C51">
        <w:rPr>
          <w:rFonts w:cs="Arial"/>
        </w:rPr>
        <w:t>694</w:t>
      </w:r>
      <w:r w:rsidR="00545958" w:rsidRPr="00EB0C51">
        <w:rPr>
          <w:rFonts w:cs="Arial"/>
        </w:rPr>
        <w:t>.</w:t>
      </w:r>
      <w:r w:rsidR="006617FD" w:rsidRPr="00EB0C51">
        <w:rPr>
          <w:rFonts w:cs="Arial"/>
        </w:rPr>
        <w:t>153</w:t>
      </w:r>
      <w:r w:rsidR="00545958" w:rsidRPr="00EB0C51">
        <w:rPr>
          <w:rFonts w:cs="Arial"/>
        </w:rPr>
        <w:t>.423.519)</w:t>
      </w:r>
      <w:r w:rsidR="00E6642B" w:rsidRPr="00EB0C51">
        <w:rPr>
          <w:rFonts w:cs="Arial"/>
        </w:rPr>
        <w:t xml:space="preserve"> equivalente al 6</w:t>
      </w:r>
      <w:r w:rsidR="006617FD" w:rsidRPr="00EB0C51">
        <w:rPr>
          <w:rFonts w:cs="Arial"/>
        </w:rPr>
        <w:t>7</w:t>
      </w:r>
      <w:r w:rsidR="00E6642B" w:rsidRPr="00EB0C51">
        <w:rPr>
          <w:rFonts w:cs="Arial"/>
        </w:rPr>
        <w:t>% del total de la apropiación del MHCP, en contraste</w:t>
      </w:r>
      <w:r w:rsidR="00E118E8" w:rsidRPr="00EB0C51">
        <w:rPr>
          <w:rFonts w:cs="Arial"/>
        </w:rPr>
        <w:t xml:space="preserve">, los recursos asignados a la Entidad para ser distribuidos </w:t>
      </w:r>
      <w:r w:rsidR="007006D8" w:rsidRPr="00EB0C51">
        <w:rPr>
          <w:rFonts w:cs="Arial"/>
        </w:rPr>
        <w:t xml:space="preserve">a </w:t>
      </w:r>
      <w:r w:rsidR="00E118E8" w:rsidRPr="00EB0C51">
        <w:rPr>
          <w:rFonts w:cs="Arial"/>
        </w:rPr>
        <w:t>otras entidades</w:t>
      </w:r>
      <w:r w:rsidR="007006D8" w:rsidRPr="00EB0C51">
        <w:rPr>
          <w:rFonts w:cs="Arial"/>
        </w:rPr>
        <w:t xml:space="preserve"> u empresas estatales</w:t>
      </w:r>
      <w:r w:rsidR="00E118E8" w:rsidRPr="00EB0C51">
        <w:rPr>
          <w:rFonts w:cs="Arial"/>
        </w:rPr>
        <w:t xml:space="preserve"> correspondió al </w:t>
      </w:r>
      <w:r w:rsidR="006617FD" w:rsidRPr="00EB0C51">
        <w:rPr>
          <w:rFonts w:cs="Arial"/>
        </w:rPr>
        <w:t>3</w:t>
      </w:r>
      <w:r w:rsidR="00E118E8" w:rsidRPr="00EB0C51">
        <w:rPr>
          <w:rFonts w:cs="Arial"/>
        </w:rPr>
        <w:t xml:space="preserve">%. </w:t>
      </w:r>
    </w:p>
    <w:p w14:paraId="75A74E1F" w14:textId="77777777" w:rsidR="006B09D6" w:rsidRPr="00EB0C51" w:rsidRDefault="006B09D6" w:rsidP="00814DCF">
      <w:pPr>
        <w:rPr>
          <w:rFonts w:cs="Arial"/>
        </w:rPr>
      </w:pPr>
    </w:p>
    <w:p w14:paraId="0997DDBD" w14:textId="6027B621" w:rsidR="00692471" w:rsidRPr="00EB0C51" w:rsidRDefault="006272FD" w:rsidP="006B09D6">
      <w:pPr>
        <w:pStyle w:val="Descripcin"/>
        <w:jc w:val="center"/>
        <w:rPr>
          <w:rFonts w:cs="Arial"/>
          <w:i w:val="0"/>
          <w:iCs w:val="0"/>
          <w:color w:val="auto"/>
          <w:sz w:val="24"/>
          <w:szCs w:val="24"/>
        </w:rPr>
      </w:pPr>
      <w:r w:rsidRPr="00EB0C51">
        <w:rPr>
          <w:rFonts w:cs="Arial"/>
          <w:color w:val="auto"/>
          <w:sz w:val="24"/>
          <w:szCs w:val="24"/>
        </w:rPr>
        <w:t xml:space="preserve">Gráfica </w:t>
      </w:r>
      <w:r w:rsidRPr="00EB0C51">
        <w:rPr>
          <w:rFonts w:cs="Arial"/>
          <w:color w:val="auto"/>
          <w:sz w:val="24"/>
          <w:szCs w:val="24"/>
        </w:rPr>
        <w:fldChar w:fldCharType="begin"/>
      </w:r>
      <w:r w:rsidRPr="00EB0C51">
        <w:rPr>
          <w:rFonts w:cs="Arial"/>
          <w:color w:val="auto"/>
          <w:sz w:val="24"/>
          <w:szCs w:val="24"/>
        </w:rPr>
        <w:instrText xml:space="preserve"> SEQ Gráfica \* ARABIC </w:instrText>
      </w:r>
      <w:r w:rsidRPr="00EB0C51">
        <w:rPr>
          <w:rFonts w:cs="Arial"/>
          <w:color w:val="auto"/>
          <w:sz w:val="24"/>
          <w:szCs w:val="24"/>
        </w:rPr>
        <w:fldChar w:fldCharType="separate"/>
      </w:r>
      <w:r w:rsidRPr="00EB0C51">
        <w:rPr>
          <w:rFonts w:cs="Arial"/>
          <w:color w:val="auto"/>
          <w:sz w:val="24"/>
          <w:szCs w:val="24"/>
        </w:rPr>
        <w:t>2</w:t>
      </w:r>
      <w:r w:rsidRPr="00EB0C51">
        <w:rPr>
          <w:rFonts w:cs="Arial"/>
          <w:color w:val="auto"/>
          <w:sz w:val="24"/>
          <w:szCs w:val="24"/>
        </w:rPr>
        <w:fldChar w:fldCharType="end"/>
      </w:r>
      <w:r w:rsidRPr="00EB0C51">
        <w:rPr>
          <w:rFonts w:cs="Arial"/>
          <w:color w:val="auto"/>
          <w:sz w:val="24"/>
          <w:szCs w:val="24"/>
        </w:rPr>
        <w:t>.</w:t>
      </w:r>
      <w:r w:rsidRPr="00EB0C51">
        <w:rPr>
          <w:rFonts w:cs="Arial"/>
        </w:rPr>
        <w:t xml:space="preserve"> </w:t>
      </w:r>
      <w:r w:rsidR="006B09D6" w:rsidRPr="00EB0C51">
        <w:rPr>
          <w:rFonts w:cs="Arial"/>
          <w:i w:val="0"/>
          <w:iCs w:val="0"/>
          <w:color w:val="auto"/>
          <w:sz w:val="24"/>
          <w:szCs w:val="24"/>
        </w:rPr>
        <w:t xml:space="preserve">Apropiación vigente por tipo, con corte a </w:t>
      </w:r>
      <w:r w:rsidR="00440D83" w:rsidRPr="00EB0C51">
        <w:rPr>
          <w:rFonts w:cs="Arial"/>
          <w:i w:val="0"/>
          <w:iCs w:val="0"/>
          <w:color w:val="auto"/>
          <w:sz w:val="24"/>
          <w:szCs w:val="24"/>
        </w:rPr>
        <w:t>junio</w:t>
      </w:r>
      <w:r w:rsidR="006B09D6" w:rsidRPr="00EB0C51">
        <w:rPr>
          <w:rFonts w:cs="Arial"/>
          <w:i w:val="0"/>
          <w:iCs w:val="0"/>
          <w:color w:val="auto"/>
          <w:sz w:val="24"/>
          <w:szCs w:val="24"/>
        </w:rPr>
        <w:t xml:space="preserve"> de 2021</w:t>
      </w:r>
    </w:p>
    <w:p w14:paraId="1C330139" w14:textId="77777777" w:rsidR="0050473C" w:rsidRPr="00EB0C51" w:rsidRDefault="0050473C" w:rsidP="0050473C">
      <w:pPr>
        <w:rPr>
          <w:rFonts w:cs="Arial"/>
          <w:sz w:val="20"/>
          <w:szCs w:val="20"/>
        </w:rPr>
      </w:pPr>
      <w:r w:rsidRPr="00EB0C51">
        <w:rPr>
          <w:rFonts w:cs="Arial"/>
          <w:sz w:val="20"/>
          <w:szCs w:val="20"/>
        </w:rPr>
        <w:t xml:space="preserve">Cifras expresadas en pesos </w:t>
      </w:r>
    </w:p>
    <w:p w14:paraId="17A1F624" w14:textId="497F4216" w:rsidR="00692471" w:rsidRPr="00EB0C51" w:rsidRDefault="00AA5082" w:rsidP="00814DCF">
      <w:pPr>
        <w:rPr>
          <w:rFonts w:cs="Arial"/>
        </w:rPr>
      </w:pPr>
      <w:r w:rsidRPr="00EB0C51">
        <w:rPr>
          <w:rFonts w:cs="Arial"/>
          <w:noProof/>
        </w:rPr>
        <w:drawing>
          <wp:inline distT="0" distB="0" distL="0" distR="0" wp14:anchorId="321717F7" wp14:editId="730C1E6C">
            <wp:extent cx="6151880" cy="2152650"/>
            <wp:effectExtent l="0" t="0" r="1270" b="0"/>
            <wp:docPr id="2" name="Gráfico 2">
              <a:extLst xmlns:a="http://schemas.openxmlformats.org/drawingml/2006/main">
                <a:ext uri="{FF2B5EF4-FFF2-40B4-BE49-F238E27FC236}">
                  <a16:creationId xmlns:a16="http://schemas.microsoft.com/office/drawing/2014/main" id="{A55D3985-0718-4B8F-85F4-DE2CBB7DB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3E7E62" w14:textId="0EDAC564" w:rsidR="00081FAF" w:rsidRPr="00EB0C51" w:rsidRDefault="00081FAF" w:rsidP="00081FAF">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 y el informe de ejecución presupuestal de </w:t>
      </w:r>
      <w:r w:rsidR="00440D83" w:rsidRPr="00EB0C51">
        <w:rPr>
          <w:rFonts w:cs="Arial"/>
          <w:sz w:val="16"/>
          <w:szCs w:val="16"/>
        </w:rPr>
        <w:t>junio</w:t>
      </w:r>
      <w:r w:rsidRPr="00EB0C51">
        <w:rPr>
          <w:rFonts w:cs="Arial"/>
          <w:sz w:val="16"/>
          <w:szCs w:val="16"/>
        </w:rPr>
        <w:t xml:space="preserve"> de 202</w:t>
      </w:r>
      <w:r w:rsidR="00440D83" w:rsidRPr="00EB0C51">
        <w:rPr>
          <w:rFonts w:cs="Arial"/>
          <w:sz w:val="16"/>
          <w:szCs w:val="16"/>
        </w:rPr>
        <w:t>1</w:t>
      </w:r>
    </w:p>
    <w:p w14:paraId="4E4BB1E2" w14:textId="48F402C4" w:rsidR="00692471" w:rsidRPr="00EB0C51" w:rsidRDefault="00692471" w:rsidP="00814DCF">
      <w:pPr>
        <w:rPr>
          <w:rFonts w:cs="Arial"/>
        </w:rPr>
      </w:pPr>
    </w:p>
    <w:p w14:paraId="71D3DE13" w14:textId="77777777" w:rsidR="00383DB0" w:rsidRPr="00EB0C51" w:rsidRDefault="006F06D1" w:rsidP="00BF7787">
      <w:pPr>
        <w:jc w:val="both"/>
        <w:rPr>
          <w:rFonts w:cs="Arial"/>
        </w:rPr>
      </w:pPr>
      <w:r w:rsidRPr="00EB0C51">
        <w:rPr>
          <w:rFonts w:cs="Arial"/>
        </w:rPr>
        <w:t>De acuerdo con la gráfica N</w:t>
      </w:r>
      <w:r w:rsidR="00E670AB" w:rsidRPr="00EB0C51">
        <w:rPr>
          <w:rFonts w:cs="Arial"/>
        </w:rPr>
        <w:t>o</w:t>
      </w:r>
      <w:r w:rsidRPr="00EB0C51">
        <w:rPr>
          <w:rFonts w:cs="Arial"/>
        </w:rPr>
        <w:t xml:space="preserve">. 2, </w:t>
      </w:r>
      <w:r w:rsidR="002E62CE" w:rsidRPr="00EB0C51">
        <w:rPr>
          <w:rFonts w:cs="Arial"/>
        </w:rPr>
        <w:t xml:space="preserve">con corte a junio de 2021 </w:t>
      </w:r>
      <w:r w:rsidR="003B11C1" w:rsidRPr="00EB0C51">
        <w:rPr>
          <w:rFonts w:cs="Arial"/>
        </w:rPr>
        <w:t xml:space="preserve">el FOME tuvo una apropiación </w:t>
      </w:r>
      <w:r w:rsidR="00361694" w:rsidRPr="00EB0C51">
        <w:rPr>
          <w:rFonts w:cs="Arial"/>
        </w:rPr>
        <w:t xml:space="preserve">vigente </w:t>
      </w:r>
      <w:r w:rsidR="003B11C1" w:rsidRPr="00EB0C51">
        <w:rPr>
          <w:rFonts w:cs="Arial"/>
        </w:rPr>
        <w:t>de</w:t>
      </w:r>
      <w:r w:rsidR="00D5365C" w:rsidRPr="00EB0C51">
        <w:rPr>
          <w:rFonts w:cs="Arial"/>
        </w:rPr>
        <w:t xml:space="preserve"> diez</w:t>
      </w:r>
      <w:r w:rsidR="003B11C1" w:rsidRPr="00EB0C51">
        <w:rPr>
          <w:rFonts w:cs="Arial"/>
        </w:rPr>
        <w:t xml:space="preserve"> </w:t>
      </w:r>
      <w:r w:rsidR="00800ABC" w:rsidRPr="00EB0C51">
        <w:rPr>
          <w:rFonts w:cs="Arial"/>
        </w:rPr>
        <w:t xml:space="preserve">billones </w:t>
      </w:r>
      <w:r w:rsidR="00D5365C" w:rsidRPr="00EB0C51">
        <w:rPr>
          <w:rFonts w:cs="Arial"/>
        </w:rPr>
        <w:t>setecientos ocho</w:t>
      </w:r>
      <w:r w:rsidR="003B11C1" w:rsidRPr="00EB0C51">
        <w:rPr>
          <w:rFonts w:cs="Arial"/>
        </w:rPr>
        <w:t xml:space="preserve"> </w:t>
      </w:r>
      <w:r w:rsidR="00783FF0" w:rsidRPr="00EB0C51">
        <w:rPr>
          <w:rFonts w:cs="Arial"/>
        </w:rPr>
        <w:t xml:space="preserve">mil </w:t>
      </w:r>
      <w:r w:rsidR="00D5365C" w:rsidRPr="00EB0C51">
        <w:rPr>
          <w:rFonts w:cs="Arial"/>
        </w:rPr>
        <w:t xml:space="preserve">seiscientos </w:t>
      </w:r>
      <w:r w:rsidR="0088362A" w:rsidRPr="00EB0C51">
        <w:rPr>
          <w:rFonts w:cs="Arial"/>
        </w:rPr>
        <w:t>setenta y tres</w:t>
      </w:r>
      <w:r w:rsidR="003B11C1" w:rsidRPr="00EB0C51">
        <w:rPr>
          <w:rFonts w:cs="Arial"/>
        </w:rPr>
        <w:t xml:space="preserve"> </w:t>
      </w:r>
      <w:r w:rsidR="0094512B" w:rsidRPr="00EB0C51">
        <w:rPr>
          <w:rFonts w:cs="Arial"/>
        </w:rPr>
        <w:t>millones</w:t>
      </w:r>
      <w:r w:rsidR="003B11C1" w:rsidRPr="00EB0C51">
        <w:rPr>
          <w:rFonts w:cs="Arial"/>
        </w:rPr>
        <w:t xml:space="preserve"> </w:t>
      </w:r>
      <w:r w:rsidR="0088362A" w:rsidRPr="00EB0C51">
        <w:rPr>
          <w:rFonts w:cs="Arial"/>
        </w:rPr>
        <w:t>trescientos treinta y cuatro</w:t>
      </w:r>
      <w:r w:rsidR="00783FF0" w:rsidRPr="00EB0C51">
        <w:rPr>
          <w:rFonts w:cs="Arial"/>
        </w:rPr>
        <w:t xml:space="preserve"> mil</w:t>
      </w:r>
      <w:r w:rsidR="0088362A" w:rsidRPr="00EB0C51">
        <w:rPr>
          <w:rFonts w:cs="Arial"/>
        </w:rPr>
        <w:t xml:space="preserve"> ochocientos treinta y siete pesos </w:t>
      </w:r>
      <w:r w:rsidR="003B11C1" w:rsidRPr="00EB0C51">
        <w:rPr>
          <w:rFonts w:cs="Arial"/>
        </w:rPr>
        <w:t>($</w:t>
      </w:r>
      <w:r w:rsidR="0088362A" w:rsidRPr="00EB0C51">
        <w:rPr>
          <w:rFonts w:cs="Arial"/>
        </w:rPr>
        <w:t>10</w:t>
      </w:r>
      <w:r w:rsidR="003B11C1" w:rsidRPr="00EB0C51">
        <w:rPr>
          <w:rFonts w:cs="Arial"/>
        </w:rPr>
        <w:t>.</w:t>
      </w:r>
      <w:r w:rsidR="0088362A" w:rsidRPr="00EB0C51">
        <w:rPr>
          <w:rFonts w:cs="Arial"/>
        </w:rPr>
        <w:t>708</w:t>
      </w:r>
      <w:r w:rsidR="003B11C1" w:rsidRPr="00EB0C51">
        <w:rPr>
          <w:rFonts w:cs="Arial"/>
        </w:rPr>
        <w:t>.</w:t>
      </w:r>
      <w:r w:rsidR="0088362A" w:rsidRPr="00EB0C51">
        <w:rPr>
          <w:rFonts w:cs="Arial"/>
        </w:rPr>
        <w:t>673</w:t>
      </w:r>
      <w:r w:rsidR="003B11C1" w:rsidRPr="00EB0C51">
        <w:rPr>
          <w:rFonts w:cs="Arial"/>
        </w:rPr>
        <w:t>.</w:t>
      </w:r>
      <w:r w:rsidR="0088362A" w:rsidRPr="00EB0C51">
        <w:rPr>
          <w:rFonts w:cs="Arial"/>
        </w:rPr>
        <w:t>334</w:t>
      </w:r>
      <w:r w:rsidR="003B11C1" w:rsidRPr="00EB0C51">
        <w:rPr>
          <w:rFonts w:cs="Arial"/>
        </w:rPr>
        <w:t>.</w:t>
      </w:r>
      <w:r w:rsidR="0088362A" w:rsidRPr="00EB0C51">
        <w:rPr>
          <w:rFonts w:cs="Arial"/>
        </w:rPr>
        <w:t>837</w:t>
      </w:r>
      <w:r w:rsidR="003B11C1" w:rsidRPr="00EB0C51">
        <w:rPr>
          <w:rFonts w:cs="Arial"/>
        </w:rPr>
        <w:t xml:space="preserve">) equivalente al </w:t>
      </w:r>
      <w:r w:rsidR="00835DB2" w:rsidRPr="00EB0C51">
        <w:rPr>
          <w:rFonts w:cs="Arial"/>
        </w:rPr>
        <w:t>40</w:t>
      </w:r>
      <w:r w:rsidR="003B11C1" w:rsidRPr="00EB0C51">
        <w:rPr>
          <w:rFonts w:cs="Arial"/>
        </w:rPr>
        <w:t>% del total de la apropiación de</w:t>
      </w:r>
      <w:r w:rsidR="00056318" w:rsidRPr="00EB0C51">
        <w:rPr>
          <w:rFonts w:cs="Arial"/>
        </w:rPr>
        <w:t xml:space="preserve"> la Entidad</w:t>
      </w:r>
      <w:r w:rsidR="003B11C1" w:rsidRPr="00EB0C51">
        <w:rPr>
          <w:rFonts w:cs="Arial"/>
        </w:rPr>
        <w:t>,</w:t>
      </w:r>
      <w:r w:rsidR="00361694" w:rsidRPr="00EB0C51">
        <w:rPr>
          <w:rFonts w:cs="Arial"/>
        </w:rPr>
        <w:t xml:space="preserve"> </w:t>
      </w:r>
      <w:r w:rsidR="003B11C1" w:rsidRPr="00EB0C51">
        <w:rPr>
          <w:rFonts w:cs="Arial"/>
        </w:rPr>
        <w:t>los recursos asignados a</w:t>
      </w:r>
      <w:r w:rsidR="00D14079" w:rsidRPr="00EB0C51">
        <w:rPr>
          <w:rFonts w:cs="Arial"/>
        </w:rPr>
        <w:t xml:space="preserve">l MHCP </w:t>
      </w:r>
      <w:r w:rsidR="003B11C1" w:rsidRPr="00EB0C51">
        <w:rPr>
          <w:rFonts w:cs="Arial"/>
        </w:rPr>
        <w:t>para ser distribuidos</w:t>
      </w:r>
      <w:r w:rsidR="00B27F81" w:rsidRPr="00EB0C51">
        <w:rPr>
          <w:rFonts w:cs="Arial"/>
        </w:rPr>
        <w:t xml:space="preserve"> </w:t>
      </w:r>
      <w:r w:rsidR="00387B06" w:rsidRPr="00EB0C51">
        <w:rPr>
          <w:rFonts w:cs="Arial"/>
        </w:rPr>
        <w:t>corresponden al</w:t>
      </w:r>
      <w:r w:rsidR="00A04646" w:rsidRPr="00EB0C51">
        <w:rPr>
          <w:rFonts w:cs="Arial"/>
        </w:rPr>
        <w:t xml:space="preserve"> </w:t>
      </w:r>
      <w:r w:rsidR="005C5E84" w:rsidRPr="00EB0C51">
        <w:rPr>
          <w:rFonts w:cs="Arial"/>
        </w:rPr>
        <w:t>19</w:t>
      </w:r>
      <w:r w:rsidR="003B11C1" w:rsidRPr="00EB0C51">
        <w:rPr>
          <w:rFonts w:cs="Arial"/>
        </w:rPr>
        <w:t>%</w:t>
      </w:r>
      <w:r w:rsidR="00387B06" w:rsidRPr="00EB0C51">
        <w:rPr>
          <w:rFonts w:cs="Arial"/>
        </w:rPr>
        <w:t xml:space="preserve"> de la totalidad de la apropiación a citado corte. </w:t>
      </w:r>
      <w:r w:rsidR="003B11C1" w:rsidRPr="00EB0C51">
        <w:rPr>
          <w:rFonts w:cs="Arial"/>
        </w:rPr>
        <w:t xml:space="preserve"> </w:t>
      </w:r>
    </w:p>
    <w:p w14:paraId="5A258BFB" w14:textId="2D460252" w:rsidR="00BF7787" w:rsidRPr="00EB0C51" w:rsidRDefault="00BF7787" w:rsidP="00BF7787">
      <w:pPr>
        <w:jc w:val="both"/>
        <w:rPr>
          <w:rFonts w:cs="Arial"/>
        </w:rPr>
      </w:pPr>
      <w:r w:rsidRPr="00EB0C51">
        <w:rPr>
          <w:rFonts w:cs="Arial"/>
          <w:b/>
          <w:color w:val="000000" w:themeColor="text1"/>
        </w:rPr>
        <w:lastRenderedPageBreak/>
        <w:t xml:space="preserve">4.2  Verificación </w:t>
      </w:r>
      <w:r w:rsidR="00853A70" w:rsidRPr="00EB0C51">
        <w:rPr>
          <w:rFonts w:cs="Arial"/>
          <w:b/>
          <w:color w:val="000000" w:themeColor="text1"/>
        </w:rPr>
        <w:t>ejecución presupuestal</w:t>
      </w:r>
      <w:r w:rsidR="00C03F61" w:rsidRPr="00EB0C51">
        <w:rPr>
          <w:rFonts w:cs="Arial"/>
          <w:b/>
          <w:color w:val="000000" w:themeColor="text1"/>
        </w:rPr>
        <w:t xml:space="preserve"> del MHCP de septiembre de 2020 a junio de 2021 </w:t>
      </w:r>
    </w:p>
    <w:p w14:paraId="60A799EB" w14:textId="42288F76" w:rsidR="000D6DE9" w:rsidRPr="00EB0C51" w:rsidRDefault="000D6DE9" w:rsidP="00BF7787">
      <w:pPr>
        <w:jc w:val="both"/>
        <w:rPr>
          <w:rFonts w:cs="Arial"/>
          <w:b/>
          <w:color w:val="FF0000"/>
          <w:sz w:val="16"/>
          <w:szCs w:val="16"/>
        </w:rPr>
      </w:pPr>
    </w:p>
    <w:p w14:paraId="4CA0EC7D" w14:textId="063CB5E0" w:rsidR="00C764F9" w:rsidRPr="00EB0C51" w:rsidRDefault="000D6DE9" w:rsidP="00BF7787">
      <w:pPr>
        <w:jc w:val="both"/>
        <w:rPr>
          <w:rFonts w:cs="Arial"/>
          <w:bCs/>
          <w:color w:val="000000" w:themeColor="text1"/>
        </w:rPr>
      </w:pPr>
      <w:r w:rsidRPr="00EB0C51">
        <w:rPr>
          <w:rFonts w:cs="Arial"/>
          <w:bCs/>
          <w:color w:val="000000" w:themeColor="text1"/>
        </w:rPr>
        <w:t>Con el fin de verificar la adecuada gestión de la ejecución presupuestal durante el periodo evaluado, la OCI</w:t>
      </w:r>
      <w:r w:rsidR="00E41F01" w:rsidRPr="00EB0C51">
        <w:rPr>
          <w:rFonts w:cs="Arial"/>
          <w:bCs/>
          <w:color w:val="000000" w:themeColor="text1"/>
        </w:rPr>
        <w:t xml:space="preserve"> realizó la revisión </w:t>
      </w:r>
      <w:r w:rsidR="00AA2221" w:rsidRPr="00EB0C51">
        <w:rPr>
          <w:rFonts w:cs="Arial"/>
          <w:bCs/>
          <w:color w:val="000000" w:themeColor="text1"/>
        </w:rPr>
        <w:t>d</w:t>
      </w:r>
      <w:r w:rsidR="009F3E41" w:rsidRPr="00EB0C51">
        <w:rPr>
          <w:rFonts w:cs="Arial"/>
          <w:bCs/>
          <w:color w:val="000000" w:themeColor="text1"/>
        </w:rPr>
        <w:t>el trámite</w:t>
      </w:r>
      <w:r w:rsidR="009461F8" w:rsidRPr="00EB0C51">
        <w:rPr>
          <w:rFonts w:cs="Arial"/>
          <w:bCs/>
          <w:color w:val="000000" w:themeColor="text1"/>
        </w:rPr>
        <w:t xml:space="preserve"> llevad</w:t>
      </w:r>
      <w:r w:rsidR="009F3E41" w:rsidRPr="00EB0C51">
        <w:rPr>
          <w:rFonts w:cs="Arial"/>
          <w:bCs/>
          <w:color w:val="000000" w:themeColor="text1"/>
        </w:rPr>
        <w:t>o</w:t>
      </w:r>
      <w:r w:rsidR="009461F8" w:rsidRPr="00EB0C51">
        <w:rPr>
          <w:rFonts w:cs="Arial"/>
          <w:bCs/>
          <w:color w:val="000000" w:themeColor="text1"/>
        </w:rPr>
        <w:t xml:space="preserve"> a cabo por la Entidad </w:t>
      </w:r>
      <w:r w:rsidR="00AA2221" w:rsidRPr="00EB0C51">
        <w:rPr>
          <w:rFonts w:cs="Arial"/>
          <w:bCs/>
          <w:color w:val="000000" w:themeColor="text1"/>
        </w:rPr>
        <w:t>frente</w:t>
      </w:r>
      <w:r w:rsidR="009461F8" w:rsidRPr="00EB0C51">
        <w:rPr>
          <w:rFonts w:cs="Arial"/>
          <w:bCs/>
          <w:color w:val="000000" w:themeColor="text1"/>
        </w:rPr>
        <w:t xml:space="preserve"> al rezago presupuestal de la vigencia </w:t>
      </w:r>
      <w:r w:rsidR="00A42795" w:rsidRPr="00EB0C51">
        <w:rPr>
          <w:rFonts w:cs="Arial"/>
          <w:bCs/>
          <w:color w:val="000000" w:themeColor="text1"/>
        </w:rPr>
        <w:t xml:space="preserve">2020 y </w:t>
      </w:r>
      <w:r w:rsidR="007334FA" w:rsidRPr="00EB0C51">
        <w:rPr>
          <w:rFonts w:cs="Arial"/>
          <w:bCs/>
          <w:color w:val="000000" w:themeColor="text1"/>
        </w:rPr>
        <w:t xml:space="preserve">efectuó </w:t>
      </w:r>
      <w:r w:rsidR="00A42795" w:rsidRPr="00EB0C51">
        <w:rPr>
          <w:rFonts w:cs="Arial"/>
          <w:bCs/>
          <w:color w:val="000000" w:themeColor="text1"/>
        </w:rPr>
        <w:t xml:space="preserve">seguimiento a mencionada ejecución para el primer semestre de 2021; </w:t>
      </w:r>
      <w:r w:rsidR="00C764F9" w:rsidRPr="00EB0C51">
        <w:rPr>
          <w:rFonts w:cs="Arial"/>
          <w:bCs/>
          <w:color w:val="000000" w:themeColor="text1"/>
        </w:rPr>
        <w:t xml:space="preserve">en seguida se presentan los resultados de </w:t>
      </w:r>
      <w:r w:rsidR="001D0B72" w:rsidRPr="00EB0C51">
        <w:rPr>
          <w:rFonts w:cs="Arial"/>
          <w:bCs/>
          <w:color w:val="000000" w:themeColor="text1"/>
        </w:rPr>
        <w:t>la tarea llevada a cabo.</w:t>
      </w:r>
    </w:p>
    <w:p w14:paraId="66DFF05B" w14:textId="18FFDDBD" w:rsidR="00C764F9" w:rsidRPr="00EB0C51" w:rsidRDefault="00C764F9" w:rsidP="00BF7787">
      <w:pPr>
        <w:jc w:val="both"/>
        <w:rPr>
          <w:rFonts w:cs="Arial"/>
          <w:bCs/>
          <w:color w:val="000000" w:themeColor="text1"/>
          <w:sz w:val="18"/>
          <w:szCs w:val="18"/>
        </w:rPr>
      </w:pPr>
    </w:p>
    <w:p w14:paraId="174BDFD7" w14:textId="7AA59092" w:rsidR="002E0D95" w:rsidRPr="00EB0C51" w:rsidRDefault="00C764F9" w:rsidP="00BF7787">
      <w:pPr>
        <w:jc w:val="both"/>
        <w:rPr>
          <w:rFonts w:cs="Arial"/>
          <w:b/>
          <w:color w:val="000000" w:themeColor="text1"/>
        </w:rPr>
      </w:pPr>
      <w:r w:rsidRPr="00EB0C51">
        <w:rPr>
          <w:rFonts w:cs="Arial"/>
          <w:b/>
          <w:color w:val="000000" w:themeColor="text1"/>
        </w:rPr>
        <w:t xml:space="preserve">4.2.1 </w:t>
      </w:r>
      <w:r w:rsidR="00892E2B" w:rsidRPr="00EB0C51">
        <w:rPr>
          <w:rFonts w:cs="Arial"/>
          <w:b/>
          <w:color w:val="000000" w:themeColor="text1"/>
        </w:rPr>
        <w:t>Revisión</w:t>
      </w:r>
      <w:r w:rsidR="00166878" w:rsidRPr="00EB0C51">
        <w:rPr>
          <w:rFonts w:cs="Arial"/>
          <w:b/>
          <w:color w:val="000000" w:themeColor="text1"/>
        </w:rPr>
        <w:t xml:space="preserve"> gestión rezago presupuestal 2020 del MHCP </w:t>
      </w:r>
    </w:p>
    <w:p w14:paraId="4F7A7F4B" w14:textId="297230CC" w:rsidR="00013AD5" w:rsidRPr="00EB0C51" w:rsidRDefault="00013AD5" w:rsidP="00BF7787">
      <w:pPr>
        <w:jc w:val="both"/>
        <w:rPr>
          <w:rFonts w:cs="Arial"/>
          <w:b/>
          <w:color w:val="000000" w:themeColor="text1"/>
          <w:sz w:val="18"/>
          <w:szCs w:val="18"/>
        </w:rPr>
      </w:pPr>
    </w:p>
    <w:p w14:paraId="1CC6BFB4" w14:textId="08EAF1C9" w:rsidR="00013AD5" w:rsidRPr="00EB0C51" w:rsidRDefault="00013AD5" w:rsidP="00BF7787">
      <w:pPr>
        <w:jc w:val="both"/>
        <w:rPr>
          <w:rFonts w:cs="Arial"/>
          <w:b/>
          <w:color w:val="000000" w:themeColor="text1"/>
        </w:rPr>
      </w:pPr>
      <w:r w:rsidRPr="00EB0C51">
        <w:rPr>
          <w:rFonts w:cs="Arial"/>
          <w:b/>
          <w:color w:val="000000" w:themeColor="text1"/>
        </w:rPr>
        <w:t xml:space="preserve">4.2.1.1 Reserva presupuestal 2020 </w:t>
      </w:r>
    </w:p>
    <w:p w14:paraId="58C1E350" w14:textId="213A67AE" w:rsidR="009576E5" w:rsidRPr="00EB0C51" w:rsidRDefault="009576E5" w:rsidP="00BF7787">
      <w:pPr>
        <w:jc w:val="both"/>
        <w:rPr>
          <w:rFonts w:cs="Arial"/>
          <w:b/>
          <w:color w:val="000000" w:themeColor="text1"/>
          <w:sz w:val="18"/>
          <w:szCs w:val="18"/>
        </w:rPr>
      </w:pPr>
    </w:p>
    <w:p w14:paraId="02D996BF" w14:textId="568536BA" w:rsidR="00705515" w:rsidRPr="00EB0C51" w:rsidRDefault="009576E5" w:rsidP="00BF7787">
      <w:pPr>
        <w:jc w:val="both"/>
        <w:rPr>
          <w:rFonts w:cs="Arial"/>
          <w:bCs/>
          <w:color w:val="000000" w:themeColor="text1"/>
        </w:rPr>
      </w:pPr>
      <w:r w:rsidRPr="00EB0C51">
        <w:rPr>
          <w:rFonts w:cs="Arial"/>
          <w:bCs/>
          <w:color w:val="000000" w:themeColor="text1"/>
        </w:rPr>
        <w:t>De acuerdo con el informe de ejecución presupuestal de diciembre de 2020</w:t>
      </w:r>
      <w:r w:rsidR="00BD7C21" w:rsidRPr="00EB0C51">
        <w:rPr>
          <w:rFonts w:cs="Arial"/>
          <w:bCs/>
          <w:color w:val="000000" w:themeColor="text1"/>
        </w:rPr>
        <w:t xml:space="preserve"> y con base en los tipos de apropiaciones </w:t>
      </w:r>
      <w:r w:rsidR="00C02D91" w:rsidRPr="00EB0C51">
        <w:rPr>
          <w:rFonts w:cs="Arial"/>
          <w:bCs/>
          <w:color w:val="000000" w:themeColor="text1"/>
        </w:rPr>
        <w:t xml:space="preserve">establecidos por la OCI </w:t>
      </w:r>
      <w:r w:rsidR="006B2B91" w:rsidRPr="00EB0C51">
        <w:rPr>
          <w:rFonts w:cs="Arial"/>
          <w:bCs/>
          <w:color w:val="000000" w:themeColor="text1"/>
        </w:rPr>
        <w:t>a la luz de la</w:t>
      </w:r>
      <w:r w:rsidR="00C02D91" w:rsidRPr="00EB0C51">
        <w:rPr>
          <w:rFonts w:cs="Arial"/>
          <w:bCs/>
          <w:color w:val="000000" w:themeColor="text1"/>
        </w:rPr>
        <w:t xml:space="preserve"> información suministrada por la Subdirección Financiera</w:t>
      </w:r>
      <w:r w:rsidR="007F36E4" w:rsidRPr="00EB0C51">
        <w:rPr>
          <w:rFonts w:cs="Arial"/>
          <w:bCs/>
          <w:color w:val="000000" w:themeColor="text1"/>
        </w:rPr>
        <w:t xml:space="preserve">, a 31 de diciembre de 2020 </w:t>
      </w:r>
      <w:r w:rsidR="0071462A" w:rsidRPr="00EB0C51">
        <w:rPr>
          <w:rFonts w:cs="Arial"/>
          <w:bCs/>
          <w:color w:val="000000" w:themeColor="text1"/>
        </w:rPr>
        <w:t xml:space="preserve">el MHCP comprometió el 93% de la apropiación vigente </w:t>
      </w:r>
      <w:r w:rsidR="002B49A2" w:rsidRPr="00EB0C51">
        <w:rPr>
          <w:rFonts w:cs="Arial"/>
          <w:bCs/>
          <w:color w:val="000000" w:themeColor="text1"/>
        </w:rPr>
        <w:t xml:space="preserve">a ejecutar </w:t>
      </w:r>
      <w:r w:rsidR="0071462A" w:rsidRPr="00EB0C51">
        <w:rPr>
          <w:rFonts w:cs="Arial"/>
          <w:bCs/>
          <w:color w:val="000000" w:themeColor="text1"/>
        </w:rPr>
        <w:t xml:space="preserve">por la Entidad, </w:t>
      </w:r>
      <w:r w:rsidR="005242BB" w:rsidRPr="00EB0C51">
        <w:rPr>
          <w:rFonts w:cs="Arial"/>
          <w:bCs/>
          <w:color w:val="000000" w:themeColor="text1"/>
        </w:rPr>
        <w:t xml:space="preserve">en contraste, comprometió el </w:t>
      </w:r>
      <w:r w:rsidR="004131B1" w:rsidRPr="00EB0C51">
        <w:rPr>
          <w:rFonts w:cs="Arial"/>
          <w:bCs/>
          <w:color w:val="000000" w:themeColor="text1"/>
        </w:rPr>
        <w:t>29</w:t>
      </w:r>
      <w:r w:rsidR="005242BB" w:rsidRPr="00EB0C51">
        <w:rPr>
          <w:rFonts w:cs="Arial"/>
          <w:bCs/>
          <w:color w:val="000000" w:themeColor="text1"/>
        </w:rPr>
        <w:t>% de</w:t>
      </w:r>
      <w:r w:rsidR="006B385C" w:rsidRPr="00EB0C51">
        <w:rPr>
          <w:rFonts w:cs="Arial"/>
          <w:bCs/>
          <w:color w:val="000000" w:themeColor="text1"/>
        </w:rPr>
        <w:t xml:space="preserve"> los</w:t>
      </w:r>
      <w:r w:rsidR="005242BB" w:rsidRPr="00EB0C51">
        <w:rPr>
          <w:rFonts w:cs="Arial"/>
          <w:bCs/>
          <w:color w:val="000000" w:themeColor="text1"/>
        </w:rPr>
        <w:t xml:space="preserve"> </w:t>
      </w:r>
      <w:r w:rsidR="00077310" w:rsidRPr="00EB0C51">
        <w:rPr>
          <w:rFonts w:cs="Arial"/>
          <w:bCs/>
          <w:color w:val="000000" w:themeColor="text1"/>
        </w:rPr>
        <w:t xml:space="preserve">recursos </w:t>
      </w:r>
      <w:r w:rsidR="00741F5E" w:rsidRPr="00EB0C51">
        <w:rPr>
          <w:rFonts w:cs="Arial"/>
          <w:bCs/>
          <w:color w:val="000000" w:themeColor="text1"/>
        </w:rPr>
        <w:t xml:space="preserve">destinados al FOME. </w:t>
      </w:r>
      <w:r w:rsidR="006B385C" w:rsidRPr="00EB0C51">
        <w:rPr>
          <w:rFonts w:cs="Arial"/>
          <w:bCs/>
          <w:color w:val="000000" w:themeColor="text1"/>
        </w:rPr>
        <w:t>Es de precisar que l</w:t>
      </w:r>
      <w:r w:rsidR="00741F5E" w:rsidRPr="00EB0C51">
        <w:rPr>
          <w:rFonts w:cs="Arial"/>
          <w:bCs/>
          <w:color w:val="000000" w:themeColor="text1"/>
        </w:rPr>
        <w:t xml:space="preserve">os recursos distribuidos por  la Entidad a otras </w:t>
      </w:r>
      <w:r w:rsidR="00F210DC" w:rsidRPr="00EB0C51">
        <w:rPr>
          <w:rFonts w:cs="Arial"/>
          <w:bCs/>
          <w:color w:val="000000" w:themeColor="text1"/>
        </w:rPr>
        <w:t>e</w:t>
      </w:r>
      <w:r w:rsidR="00741F5E" w:rsidRPr="00EB0C51">
        <w:rPr>
          <w:rFonts w:cs="Arial"/>
          <w:bCs/>
          <w:color w:val="000000" w:themeColor="text1"/>
        </w:rPr>
        <w:t xml:space="preserve">ntidades territoriales </w:t>
      </w:r>
      <w:r w:rsidR="00442F90" w:rsidRPr="00EB0C51">
        <w:rPr>
          <w:rFonts w:cs="Arial"/>
          <w:bCs/>
          <w:color w:val="000000" w:themeColor="text1"/>
        </w:rPr>
        <w:t xml:space="preserve">u empresas estatales </w:t>
      </w:r>
      <w:r w:rsidR="00777C55" w:rsidRPr="00EB0C51">
        <w:rPr>
          <w:rFonts w:cs="Arial"/>
          <w:bCs/>
          <w:color w:val="000000" w:themeColor="text1"/>
        </w:rPr>
        <w:t xml:space="preserve">presentan una apropiación comprometida del 0% teniendo en cuenta que el MHCP no realiza operaciones financieras posteriores luego de asignar mencionados recursos, por lo que </w:t>
      </w:r>
      <w:r w:rsidR="00705515" w:rsidRPr="00EB0C51">
        <w:rPr>
          <w:rFonts w:cs="Arial"/>
          <w:bCs/>
          <w:color w:val="000000" w:themeColor="text1"/>
        </w:rPr>
        <w:t>no debe asumirse</w:t>
      </w:r>
      <w:r w:rsidR="00A94B51" w:rsidRPr="00EB0C51">
        <w:rPr>
          <w:rFonts w:cs="Arial"/>
          <w:bCs/>
          <w:color w:val="000000" w:themeColor="text1"/>
        </w:rPr>
        <w:t xml:space="preserve"> </w:t>
      </w:r>
      <w:r w:rsidR="000C4686" w:rsidRPr="00EB0C51">
        <w:rPr>
          <w:rFonts w:cs="Arial"/>
          <w:bCs/>
          <w:color w:val="000000" w:themeColor="text1"/>
        </w:rPr>
        <w:t>como una gestión baja o</w:t>
      </w:r>
      <w:r w:rsidR="00705515" w:rsidRPr="00EB0C51">
        <w:rPr>
          <w:rFonts w:cs="Arial"/>
          <w:bCs/>
          <w:color w:val="000000" w:themeColor="text1"/>
        </w:rPr>
        <w:t xml:space="preserve"> inadecuada parte de </w:t>
      </w:r>
      <w:r w:rsidR="00443DDF" w:rsidRPr="00EB0C51">
        <w:rPr>
          <w:rFonts w:cs="Arial"/>
          <w:bCs/>
          <w:color w:val="000000" w:themeColor="text1"/>
        </w:rPr>
        <w:t>esta</w:t>
      </w:r>
      <w:r w:rsidR="00FD3976" w:rsidRPr="00EB0C51">
        <w:rPr>
          <w:rFonts w:cs="Arial"/>
          <w:bCs/>
          <w:color w:val="000000" w:themeColor="text1"/>
        </w:rPr>
        <w:t>.</w:t>
      </w:r>
      <w:r w:rsidR="008D3074" w:rsidRPr="00EB0C51">
        <w:rPr>
          <w:rFonts w:cs="Arial"/>
          <w:bCs/>
          <w:color w:val="000000" w:themeColor="text1"/>
        </w:rPr>
        <w:t xml:space="preserve"> </w:t>
      </w:r>
      <w:r w:rsidR="00FD3976" w:rsidRPr="00EB0C51">
        <w:rPr>
          <w:rFonts w:cs="Arial"/>
          <w:bCs/>
          <w:color w:val="000000" w:themeColor="text1"/>
        </w:rPr>
        <w:t>D</w:t>
      </w:r>
      <w:r w:rsidR="008D3074" w:rsidRPr="00EB0C51">
        <w:rPr>
          <w:rFonts w:cs="Arial"/>
          <w:bCs/>
          <w:color w:val="000000" w:themeColor="text1"/>
        </w:rPr>
        <w:t xml:space="preserve">e igual manera, </w:t>
      </w:r>
      <w:r w:rsidR="00FD3976" w:rsidRPr="00EB0C51">
        <w:rPr>
          <w:rFonts w:cs="Arial"/>
          <w:bCs/>
          <w:color w:val="000000" w:themeColor="text1"/>
        </w:rPr>
        <w:t>es importante tener en cuenta que las reducciones a la apropiación inicial de dichos recursos indican que</w:t>
      </w:r>
      <w:r w:rsidR="008D3074" w:rsidRPr="00EB0C51">
        <w:rPr>
          <w:rFonts w:cs="Arial"/>
          <w:bCs/>
          <w:color w:val="000000" w:themeColor="text1"/>
        </w:rPr>
        <w:t xml:space="preserve"> fueron asignados a otras entidades. </w:t>
      </w:r>
    </w:p>
    <w:p w14:paraId="2FBCEC5F" w14:textId="7DC4C8E8" w:rsidR="0006085A" w:rsidRPr="00EB0C51" w:rsidRDefault="0006085A" w:rsidP="00BF7787">
      <w:pPr>
        <w:jc w:val="both"/>
        <w:rPr>
          <w:rFonts w:cs="Arial"/>
          <w:bCs/>
          <w:color w:val="000000" w:themeColor="text1"/>
          <w:sz w:val="18"/>
          <w:szCs w:val="18"/>
        </w:rPr>
      </w:pPr>
    </w:p>
    <w:p w14:paraId="015C68AB" w14:textId="4FF224FB" w:rsidR="0006085A" w:rsidRPr="00EB0C51" w:rsidRDefault="0006085A" w:rsidP="00BF7787">
      <w:pPr>
        <w:jc w:val="both"/>
        <w:rPr>
          <w:rFonts w:cs="Arial"/>
          <w:bCs/>
          <w:color w:val="000000" w:themeColor="text1"/>
        </w:rPr>
      </w:pPr>
      <w:r w:rsidRPr="00EB0C51">
        <w:rPr>
          <w:rFonts w:cs="Arial"/>
          <w:bCs/>
          <w:color w:val="000000" w:themeColor="text1"/>
        </w:rPr>
        <w:t xml:space="preserve">La tabla No. 3 exhibe el detalle de lo descrito previamente: </w:t>
      </w:r>
    </w:p>
    <w:p w14:paraId="34641BA6" w14:textId="7F857C41" w:rsidR="006854F7" w:rsidRPr="00EB0C51" w:rsidRDefault="006854F7" w:rsidP="00BF7787">
      <w:pPr>
        <w:jc w:val="both"/>
        <w:rPr>
          <w:rFonts w:cs="Arial"/>
          <w:b/>
          <w:color w:val="000000" w:themeColor="text1"/>
          <w:sz w:val="18"/>
          <w:szCs w:val="18"/>
        </w:rPr>
      </w:pPr>
    </w:p>
    <w:p w14:paraId="5418A0F9" w14:textId="7B6B057F" w:rsidR="002E0D95" w:rsidRPr="00EB0C51" w:rsidRDefault="006854F7" w:rsidP="00A33E28">
      <w:pPr>
        <w:pStyle w:val="Descripcin"/>
        <w:jc w:val="center"/>
        <w:rPr>
          <w:rFonts w:cs="Arial"/>
          <w:b/>
          <w:color w:val="000000" w:themeColor="text1"/>
          <w:sz w:val="24"/>
          <w:szCs w:val="24"/>
        </w:rPr>
      </w:pPr>
      <w:r w:rsidRPr="00EB0C51">
        <w:rPr>
          <w:rFonts w:cs="Arial"/>
          <w:color w:val="000000" w:themeColor="text1"/>
          <w:sz w:val="24"/>
          <w:szCs w:val="24"/>
        </w:rPr>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3</w:t>
      </w:r>
      <w:r w:rsidRPr="00EB0C51">
        <w:rPr>
          <w:rFonts w:cs="Arial"/>
          <w:color w:val="000000" w:themeColor="text1"/>
          <w:sz w:val="24"/>
          <w:szCs w:val="24"/>
        </w:rPr>
        <w:fldChar w:fldCharType="end"/>
      </w:r>
      <w:r w:rsidRPr="00EB0C51">
        <w:rPr>
          <w:rFonts w:cs="Arial"/>
          <w:color w:val="000000" w:themeColor="text1"/>
          <w:sz w:val="24"/>
          <w:szCs w:val="24"/>
        </w:rPr>
        <w:t xml:space="preserve">. </w:t>
      </w:r>
      <w:r w:rsidR="00E624CB" w:rsidRPr="00EB0C51">
        <w:rPr>
          <w:rFonts w:cs="Arial"/>
          <w:i w:val="0"/>
          <w:iCs w:val="0"/>
          <w:color w:val="000000" w:themeColor="text1"/>
          <w:sz w:val="24"/>
          <w:szCs w:val="24"/>
        </w:rPr>
        <w:t xml:space="preserve">Apropiación comprometida </w:t>
      </w:r>
      <w:r w:rsidR="00A33E28" w:rsidRPr="00EB0C51">
        <w:rPr>
          <w:rFonts w:cs="Arial"/>
          <w:i w:val="0"/>
          <w:iCs w:val="0"/>
          <w:color w:val="000000" w:themeColor="text1"/>
          <w:sz w:val="24"/>
          <w:szCs w:val="24"/>
        </w:rPr>
        <w:t xml:space="preserve">sobre la vigente </w:t>
      </w:r>
      <w:r w:rsidR="00735CF1" w:rsidRPr="00EB0C51">
        <w:rPr>
          <w:rFonts w:cs="Arial"/>
          <w:i w:val="0"/>
          <w:iCs w:val="0"/>
          <w:color w:val="000000" w:themeColor="text1"/>
          <w:sz w:val="24"/>
          <w:szCs w:val="24"/>
        </w:rPr>
        <w:t xml:space="preserve">por tipo, </w:t>
      </w:r>
      <w:r w:rsidR="00A33E28" w:rsidRPr="00EB0C51">
        <w:rPr>
          <w:rFonts w:cs="Arial"/>
          <w:i w:val="0"/>
          <w:iCs w:val="0"/>
          <w:color w:val="000000" w:themeColor="text1"/>
          <w:sz w:val="24"/>
          <w:szCs w:val="24"/>
        </w:rPr>
        <w:t>con corte a 31 de diciembre de 2020</w:t>
      </w:r>
    </w:p>
    <w:p w14:paraId="47C659E7" w14:textId="77777777" w:rsidR="0050473C" w:rsidRPr="00EB0C51" w:rsidRDefault="0050473C" w:rsidP="0050473C">
      <w:pPr>
        <w:rPr>
          <w:rFonts w:cs="Arial"/>
          <w:sz w:val="20"/>
          <w:szCs w:val="20"/>
        </w:rPr>
      </w:pPr>
      <w:r w:rsidRPr="00EB0C51">
        <w:rPr>
          <w:rFonts w:cs="Arial"/>
          <w:sz w:val="20"/>
          <w:szCs w:val="20"/>
        </w:rPr>
        <w:t xml:space="preserve">Cifras expresadas en pesos </w:t>
      </w:r>
    </w:p>
    <w:tbl>
      <w:tblPr>
        <w:tblW w:w="9683" w:type="dxa"/>
        <w:tblInd w:w="-5" w:type="dxa"/>
        <w:tblCellMar>
          <w:left w:w="70" w:type="dxa"/>
          <w:right w:w="70" w:type="dxa"/>
        </w:tblCellMar>
        <w:tblLook w:val="04A0" w:firstRow="1" w:lastRow="0" w:firstColumn="1" w:lastColumn="0" w:noHBand="0" w:noVBand="1"/>
      </w:tblPr>
      <w:tblGrid>
        <w:gridCol w:w="3789"/>
        <w:gridCol w:w="2023"/>
        <w:gridCol w:w="2270"/>
        <w:gridCol w:w="1601"/>
      </w:tblGrid>
      <w:tr w:rsidR="00DC2572" w:rsidRPr="00EB0C51" w14:paraId="4FD8D2C6" w14:textId="77777777" w:rsidTr="008D3074">
        <w:trPr>
          <w:trHeight w:val="56"/>
        </w:trPr>
        <w:tc>
          <w:tcPr>
            <w:tcW w:w="3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414FB" w14:textId="253A8AF1" w:rsidR="00DC2572" w:rsidRPr="00EB0C51" w:rsidRDefault="004E3405" w:rsidP="00DC2572">
            <w:pPr>
              <w:jc w:val="center"/>
              <w:rPr>
                <w:rFonts w:cs="Arial"/>
                <w:i/>
                <w:iCs/>
                <w:color w:val="000000"/>
                <w:sz w:val="20"/>
                <w:szCs w:val="20"/>
                <w:lang w:eastAsia="es-CO"/>
              </w:rPr>
            </w:pPr>
            <w:r w:rsidRPr="00EB0C51">
              <w:rPr>
                <w:rFonts w:cs="Arial"/>
                <w:i/>
                <w:iCs/>
                <w:color w:val="000000"/>
                <w:sz w:val="20"/>
                <w:szCs w:val="20"/>
                <w:lang w:eastAsia="es-CO"/>
              </w:rPr>
              <w:t>Tipo de apropiación</w:t>
            </w:r>
            <w:r w:rsidR="00DC2572" w:rsidRPr="00EB0C51">
              <w:rPr>
                <w:rFonts w:cs="Arial"/>
                <w:i/>
                <w:iCs/>
                <w:color w:val="000000"/>
                <w:sz w:val="20"/>
                <w:szCs w:val="20"/>
                <w:lang w:eastAsia="es-CO"/>
              </w:rPr>
              <w:t xml:space="preserve"> </w:t>
            </w:r>
          </w:p>
        </w:tc>
        <w:tc>
          <w:tcPr>
            <w:tcW w:w="2023" w:type="dxa"/>
            <w:tcBorders>
              <w:top w:val="single" w:sz="4" w:space="0" w:color="auto"/>
              <w:left w:val="nil"/>
              <w:bottom w:val="single" w:sz="4" w:space="0" w:color="auto"/>
              <w:right w:val="single" w:sz="4" w:space="0" w:color="auto"/>
            </w:tcBorders>
            <w:shd w:val="clear" w:color="auto" w:fill="auto"/>
            <w:noWrap/>
            <w:vAlign w:val="center"/>
            <w:hideMark/>
          </w:tcPr>
          <w:p w14:paraId="3B459D6D" w14:textId="77777777" w:rsidR="00DC2572" w:rsidRPr="00EB0C51" w:rsidRDefault="00DC2572" w:rsidP="00DC2572">
            <w:pPr>
              <w:jc w:val="center"/>
              <w:rPr>
                <w:rFonts w:cs="Arial"/>
                <w:i/>
                <w:iCs/>
                <w:color w:val="000000"/>
                <w:sz w:val="20"/>
                <w:szCs w:val="20"/>
                <w:lang w:eastAsia="es-CO"/>
              </w:rPr>
            </w:pPr>
            <w:r w:rsidRPr="00EB0C51">
              <w:rPr>
                <w:rFonts w:cs="Arial"/>
                <w:i/>
                <w:iCs/>
                <w:color w:val="000000"/>
                <w:sz w:val="20"/>
                <w:szCs w:val="20"/>
                <w:lang w:eastAsia="es-CO"/>
              </w:rPr>
              <w:t xml:space="preserve"> Apropiación vigente  </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78B539EF" w14:textId="77777777" w:rsidR="00DC2572" w:rsidRPr="00EB0C51" w:rsidRDefault="00DC2572" w:rsidP="00DC2572">
            <w:pPr>
              <w:jc w:val="center"/>
              <w:rPr>
                <w:rFonts w:cs="Arial"/>
                <w:i/>
                <w:iCs/>
                <w:color w:val="000000"/>
                <w:sz w:val="20"/>
                <w:szCs w:val="20"/>
                <w:lang w:eastAsia="es-CO"/>
              </w:rPr>
            </w:pPr>
            <w:r w:rsidRPr="00EB0C51">
              <w:rPr>
                <w:rFonts w:cs="Arial"/>
                <w:i/>
                <w:iCs/>
                <w:color w:val="000000"/>
                <w:sz w:val="20"/>
                <w:szCs w:val="20"/>
                <w:lang w:eastAsia="es-CO"/>
              </w:rPr>
              <w:t xml:space="preserve"> Apropiación comprometida  </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7ECD4416" w14:textId="77777777" w:rsidR="00DC2572" w:rsidRPr="00EB0C51" w:rsidRDefault="00DC2572" w:rsidP="00DC2572">
            <w:pPr>
              <w:jc w:val="center"/>
              <w:rPr>
                <w:rFonts w:cs="Arial"/>
                <w:i/>
                <w:iCs/>
                <w:color w:val="000000"/>
                <w:sz w:val="20"/>
                <w:szCs w:val="20"/>
                <w:lang w:eastAsia="es-CO"/>
              </w:rPr>
            </w:pPr>
            <w:r w:rsidRPr="00EB0C51">
              <w:rPr>
                <w:rFonts w:cs="Arial"/>
                <w:i/>
                <w:iCs/>
                <w:color w:val="000000"/>
                <w:sz w:val="20"/>
                <w:szCs w:val="20"/>
                <w:lang w:eastAsia="es-CO"/>
              </w:rPr>
              <w:t>% apropiación  comprometida/</w:t>
            </w:r>
          </w:p>
          <w:p w14:paraId="5B7C6FC6" w14:textId="14C25897" w:rsidR="00DC2572" w:rsidRPr="00EB0C51" w:rsidRDefault="00DC2572" w:rsidP="00DC2572">
            <w:pPr>
              <w:jc w:val="center"/>
              <w:rPr>
                <w:rFonts w:cs="Arial"/>
                <w:i/>
                <w:iCs/>
                <w:color w:val="000000"/>
                <w:sz w:val="20"/>
                <w:szCs w:val="20"/>
                <w:lang w:eastAsia="es-CO"/>
              </w:rPr>
            </w:pPr>
            <w:r w:rsidRPr="00EB0C51">
              <w:rPr>
                <w:rFonts w:cs="Arial"/>
                <w:i/>
                <w:iCs/>
                <w:color w:val="000000"/>
                <w:sz w:val="20"/>
                <w:szCs w:val="20"/>
                <w:lang w:eastAsia="es-CO"/>
              </w:rPr>
              <w:t xml:space="preserve">vigente </w:t>
            </w:r>
          </w:p>
        </w:tc>
      </w:tr>
      <w:tr w:rsidR="00DC2572" w:rsidRPr="00EB0C51" w14:paraId="433E66DE" w14:textId="77777777" w:rsidTr="008D3074">
        <w:trPr>
          <w:trHeight w:val="70"/>
        </w:trPr>
        <w:tc>
          <w:tcPr>
            <w:tcW w:w="3789" w:type="dxa"/>
            <w:tcBorders>
              <w:top w:val="nil"/>
              <w:left w:val="single" w:sz="4" w:space="0" w:color="auto"/>
              <w:bottom w:val="single" w:sz="4" w:space="0" w:color="auto"/>
              <w:right w:val="single" w:sz="4" w:space="0" w:color="auto"/>
            </w:tcBorders>
            <w:shd w:val="clear" w:color="auto" w:fill="auto"/>
            <w:vAlign w:val="center"/>
            <w:hideMark/>
          </w:tcPr>
          <w:p w14:paraId="4C1AD995" w14:textId="4A9643D1" w:rsidR="00DC2572" w:rsidRPr="00EB0C51" w:rsidRDefault="00FB793E" w:rsidP="00DC2572">
            <w:pPr>
              <w:rPr>
                <w:rFonts w:cs="Arial"/>
                <w:sz w:val="20"/>
                <w:szCs w:val="20"/>
                <w:lang w:eastAsia="es-CO"/>
              </w:rPr>
            </w:pPr>
            <w:r w:rsidRPr="00EB0C51">
              <w:rPr>
                <w:rFonts w:cs="Arial"/>
                <w:sz w:val="20"/>
                <w:szCs w:val="20"/>
                <w:lang w:eastAsia="es-CO"/>
              </w:rPr>
              <w:t>Recursos a ejecutar</w:t>
            </w:r>
            <w:r w:rsidR="00DC2572" w:rsidRPr="00EB0C51">
              <w:rPr>
                <w:rFonts w:cs="Arial"/>
                <w:sz w:val="20"/>
                <w:szCs w:val="20"/>
                <w:lang w:eastAsia="es-CO"/>
              </w:rPr>
              <w:t xml:space="preserve"> por el MHCP </w:t>
            </w:r>
          </w:p>
        </w:tc>
        <w:tc>
          <w:tcPr>
            <w:tcW w:w="2023" w:type="dxa"/>
            <w:tcBorders>
              <w:top w:val="nil"/>
              <w:left w:val="nil"/>
              <w:bottom w:val="single" w:sz="4" w:space="0" w:color="auto"/>
              <w:right w:val="single" w:sz="4" w:space="0" w:color="auto"/>
            </w:tcBorders>
            <w:shd w:val="clear" w:color="auto" w:fill="auto"/>
            <w:noWrap/>
            <w:vAlign w:val="center"/>
            <w:hideMark/>
          </w:tcPr>
          <w:p w14:paraId="3D1A194C" w14:textId="459A2157"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11.889.646.572.818 </w:t>
            </w:r>
          </w:p>
        </w:tc>
        <w:tc>
          <w:tcPr>
            <w:tcW w:w="2270" w:type="dxa"/>
            <w:tcBorders>
              <w:top w:val="nil"/>
              <w:left w:val="nil"/>
              <w:bottom w:val="single" w:sz="4" w:space="0" w:color="auto"/>
              <w:right w:val="single" w:sz="4" w:space="0" w:color="auto"/>
            </w:tcBorders>
            <w:shd w:val="clear" w:color="auto" w:fill="auto"/>
            <w:noWrap/>
            <w:vAlign w:val="center"/>
            <w:hideMark/>
          </w:tcPr>
          <w:p w14:paraId="2D494F3A" w14:textId="0670AD43"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11.079.379.627.779 </w:t>
            </w:r>
          </w:p>
        </w:tc>
        <w:tc>
          <w:tcPr>
            <w:tcW w:w="1601" w:type="dxa"/>
            <w:tcBorders>
              <w:top w:val="nil"/>
              <w:left w:val="nil"/>
              <w:bottom w:val="single" w:sz="4" w:space="0" w:color="auto"/>
              <w:right w:val="single" w:sz="4" w:space="0" w:color="auto"/>
            </w:tcBorders>
            <w:shd w:val="clear" w:color="auto" w:fill="auto"/>
            <w:noWrap/>
            <w:vAlign w:val="center"/>
            <w:hideMark/>
          </w:tcPr>
          <w:p w14:paraId="70713D02" w14:textId="77777777" w:rsidR="00DC2572" w:rsidRPr="00EB0C51" w:rsidRDefault="00DC2572" w:rsidP="00DC2572">
            <w:pPr>
              <w:jc w:val="center"/>
              <w:rPr>
                <w:rFonts w:cs="Arial"/>
                <w:color w:val="000000"/>
                <w:sz w:val="20"/>
                <w:szCs w:val="20"/>
                <w:lang w:eastAsia="es-CO"/>
              </w:rPr>
            </w:pPr>
            <w:r w:rsidRPr="00EB0C51">
              <w:rPr>
                <w:rFonts w:cs="Arial"/>
                <w:color w:val="000000"/>
                <w:sz w:val="20"/>
                <w:szCs w:val="20"/>
                <w:lang w:eastAsia="es-CO"/>
              </w:rPr>
              <w:t>93%</w:t>
            </w:r>
          </w:p>
        </w:tc>
      </w:tr>
      <w:tr w:rsidR="00DC2572" w:rsidRPr="00EB0C51" w14:paraId="478510E2" w14:textId="77777777" w:rsidTr="008D3074">
        <w:trPr>
          <w:trHeight w:val="296"/>
        </w:trPr>
        <w:tc>
          <w:tcPr>
            <w:tcW w:w="3789" w:type="dxa"/>
            <w:tcBorders>
              <w:top w:val="nil"/>
              <w:left w:val="single" w:sz="4" w:space="0" w:color="auto"/>
              <w:bottom w:val="single" w:sz="4" w:space="0" w:color="auto"/>
              <w:right w:val="single" w:sz="4" w:space="0" w:color="auto"/>
            </w:tcBorders>
            <w:shd w:val="clear" w:color="auto" w:fill="auto"/>
            <w:vAlign w:val="center"/>
            <w:hideMark/>
          </w:tcPr>
          <w:p w14:paraId="4BFD3747" w14:textId="2482E5A5" w:rsidR="00DC2572" w:rsidRPr="00EB0C51" w:rsidRDefault="00DC2572" w:rsidP="00DC2572">
            <w:pPr>
              <w:rPr>
                <w:rFonts w:cs="Arial"/>
                <w:sz w:val="20"/>
                <w:szCs w:val="20"/>
                <w:lang w:eastAsia="es-CO"/>
              </w:rPr>
            </w:pPr>
            <w:r w:rsidRPr="00EB0C51">
              <w:rPr>
                <w:rFonts w:cs="Arial"/>
                <w:sz w:val="20"/>
                <w:szCs w:val="20"/>
                <w:lang w:eastAsia="es-CO"/>
              </w:rPr>
              <w:t xml:space="preserve">Recursos </w:t>
            </w:r>
            <w:r w:rsidR="00FB793E" w:rsidRPr="00EB0C51">
              <w:rPr>
                <w:rFonts w:cs="Arial"/>
                <w:sz w:val="20"/>
                <w:szCs w:val="20"/>
                <w:lang w:eastAsia="es-CO"/>
              </w:rPr>
              <w:t xml:space="preserve">a </w:t>
            </w:r>
            <w:r w:rsidRPr="00EB0C51">
              <w:rPr>
                <w:rFonts w:cs="Arial"/>
                <w:sz w:val="20"/>
                <w:szCs w:val="20"/>
                <w:lang w:eastAsia="es-CO"/>
              </w:rPr>
              <w:t>distribui</w:t>
            </w:r>
            <w:r w:rsidR="00FB793E" w:rsidRPr="00EB0C51">
              <w:rPr>
                <w:rFonts w:cs="Arial"/>
                <w:sz w:val="20"/>
                <w:szCs w:val="20"/>
                <w:lang w:eastAsia="es-CO"/>
              </w:rPr>
              <w:t>r</w:t>
            </w:r>
            <w:r w:rsidRPr="00EB0C51">
              <w:rPr>
                <w:rFonts w:cs="Arial"/>
                <w:sz w:val="20"/>
                <w:szCs w:val="20"/>
                <w:lang w:eastAsia="es-CO"/>
              </w:rPr>
              <w:t xml:space="preserve"> por el MHCP a otras entidades, para su ejecución</w:t>
            </w:r>
          </w:p>
        </w:tc>
        <w:tc>
          <w:tcPr>
            <w:tcW w:w="2023" w:type="dxa"/>
            <w:tcBorders>
              <w:top w:val="nil"/>
              <w:left w:val="nil"/>
              <w:bottom w:val="single" w:sz="4" w:space="0" w:color="auto"/>
              <w:right w:val="single" w:sz="4" w:space="0" w:color="auto"/>
            </w:tcBorders>
            <w:shd w:val="clear" w:color="auto" w:fill="auto"/>
            <w:noWrap/>
            <w:vAlign w:val="center"/>
            <w:hideMark/>
          </w:tcPr>
          <w:p w14:paraId="4C3E7675" w14:textId="0BC00E48"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977.122.397.045 </w:t>
            </w:r>
          </w:p>
        </w:tc>
        <w:tc>
          <w:tcPr>
            <w:tcW w:w="2270" w:type="dxa"/>
            <w:tcBorders>
              <w:top w:val="nil"/>
              <w:left w:val="nil"/>
              <w:bottom w:val="single" w:sz="4" w:space="0" w:color="auto"/>
              <w:right w:val="single" w:sz="4" w:space="0" w:color="auto"/>
            </w:tcBorders>
            <w:shd w:val="clear" w:color="auto" w:fill="auto"/>
            <w:noWrap/>
            <w:vAlign w:val="center"/>
            <w:hideMark/>
          </w:tcPr>
          <w:p w14:paraId="13535447" w14:textId="7B4BBC20"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18.256.571 </w:t>
            </w:r>
          </w:p>
        </w:tc>
        <w:tc>
          <w:tcPr>
            <w:tcW w:w="1601" w:type="dxa"/>
            <w:tcBorders>
              <w:top w:val="nil"/>
              <w:left w:val="nil"/>
              <w:bottom w:val="single" w:sz="4" w:space="0" w:color="auto"/>
              <w:right w:val="single" w:sz="4" w:space="0" w:color="auto"/>
            </w:tcBorders>
            <w:shd w:val="clear" w:color="auto" w:fill="auto"/>
            <w:noWrap/>
            <w:vAlign w:val="center"/>
            <w:hideMark/>
          </w:tcPr>
          <w:p w14:paraId="7ED4DF3D" w14:textId="77777777" w:rsidR="00DC2572" w:rsidRPr="00EB0C51" w:rsidRDefault="00DC2572" w:rsidP="00DC2572">
            <w:pPr>
              <w:jc w:val="center"/>
              <w:rPr>
                <w:rFonts w:cs="Arial"/>
                <w:color w:val="000000"/>
                <w:sz w:val="20"/>
                <w:szCs w:val="20"/>
                <w:lang w:eastAsia="es-CO"/>
              </w:rPr>
            </w:pPr>
            <w:r w:rsidRPr="00EB0C51">
              <w:rPr>
                <w:rFonts w:cs="Arial"/>
                <w:color w:val="000000"/>
                <w:sz w:val="20"/>
                <w:szCs w:val="20"/>
                <w:lang w:eastAsia="es-CO"/>
              </w:rPr>
              <w:t>0%</w:t>
            </w:r>
          </w:p>
        </w:tc>
      </w:tr>
      <w:tr w:rsidR="00DC2572" w:rsidRPr="00EB0C51" w14:paraId="698A2189" w14:textId="77777777" w:rsidTr="008D3074">
        <w:trPr>
          <w:trHeight w:val="70"/>
        </w:trPr>
        <w:tc>
          <w:tcPr>
            <w:tcW w:w="3789" w:type="dxa"/>
            <w:tcBorders>
              <w:top w:val="nil"/>
              <w:left w:val="single" w:sz="4" w:space="0" w:color="auto"/>
              <w:bottom w:val="single" w:sz="4" w:space="0" w:color="auto"/>
              <w:right w:val="single" w:sz="4" w:space="0" w:color="auto"/>
            </w:tcBorders>
            <w:shd w:val="clear" w:color="auto" w:fill="auto"/>
            <w:vAlign w:val="center"/>
            <w:hideMark/>
          </w:tcPr>
          <w:p w14:paraId="56E59354" w14:textId="01C2C3E9" w:rsidR="00DC2572" w:rsidRPr="00EB0C51" w:rsidRDefault="00DC2572" w:rsidP="00DC2572">
            <w:pPr>
              <w:rPr>
                <w:rFonts w:cs="Arial"/>
                <w:sz w:val="20"/>
                <w:szCs w:val="20"/>
                <w:lang w:eastAsia="es-CO"/>
              </w:rPr>
            </w:pPr>
            <w:r w:rsidRPr="00EB0C51">
              <w:rPr>
                <w:rFonts w:cs="Arial"/>
                <w:sz w:val="20"/>
                <w:szCs w:val="20"/>
                <w:lang w:eastAsia="es-CO"/>
              </w:rPr>
              <w:t xml:space="preserve">FOME </w:t>
            </w:r>
          </w:p>
        </w:tc>
        <w:tc>
          <w:tcPr>
            <w:tcW w:w="2023" w:type="dxa"/>
            <w:tcBorders>
              <w:top w:val="nil"/>
              <w:left w:val="nil"/>
              <w:bottom w:val="single" w:sz="4" w:space="0" w:color="auto"/>
              <w:right w:val="single" w:sz="4" w:space="0" w:color="auto"/>
            </w:tcBorders>
            <w:shd w:val="clear" w:color="auto" w:fill="auto"/>
            <w:noWrap/>
            <w:vAlign w:val="center"/>
            <w:hideMark/>
          </w:tcPr>
          <w:p w14:paraId="4051E691" w14:textId="52E2DF13"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25.694.153.423.519 </w:t>
            </w:r>
          </w:p>
        </w:tc>
        <w:tc>
          <w:tcPr>
            <w:tcW w:w="2270" w:type="dxa"/>
            <w:tcBorders>
              <w:top w:val="nil"/>
              <w:left w:val="nil"/>
              <w:bottom w:val="single" w:sz="4" w:space="0" w:color="auto"/>
              <w:right w:val="single" w:sz="4" w:space="0" w:color="auto"/>
            </w:tcBorders>
            <w:shd w:val="clear" w:color="auto" w:fill="auto"/>
            <w:noWrap/>
            <w:vAlign w:val="center"/>
            <w:hideMark/>
          </w:tcPr>
          <w:p w14:paraId="2107157B" w14:textId="7D96DA5C"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7.472.816.763.509 </w:t>
            </w:r>
          </w:p>
        </w:tc>
        <w:tc>
          <w:tcPr>
            <w:tcW w:w="1601" w:type="dxa"/>
            <w:tcBorders>
              <w:top w:val="nil"/>
              <w:left w:val="nil"/>
              <w:bottom w:val="single" w:sz="4" w:space="0" w:color="auto"/>
              <w:right w:val="single" w:sz="4" w:space="0" w:color="auto"/>
            </w:tcBorders>
            <w:shd w:val="clear" w:color="auto" w:fill="auto"/>
            <w:noWrap/>
            <w:vAlign w:val="center"/>
            <w:hideMark/>
          </w:tcPr>
          <w:p w14:paraId="27CFCA21" w14:textId="77777777" w:rsidR="00DC2572" w:rsidRPr="00EB0C51" w:rsidRDefault="00DC2572" w:rsidP="00DC2572">
            <w:pPr>
              <w:jc w:val="center"/>
              <w:rPr>
                <w:rFonts w:cs="Arial"/>
                <w:color w:val="000000"/>
                <w:sz w:val="20"/>
                <w:szCs w:val="20"/>
                <w:lang w:eastAsia="es-CO"/>
              </w:rPr>
            </w:pPr>
            <w:r w:rsidRPr="00EB0C51">
              <w:rPr>
                <w:rFonts w:cs="Arial"/>
                <w:color w:val="000000"/>
                <w:sz w:val="20"/>
                <w:szCs w:val="20"/>
                <w:lang w:eastAsia="es-CO"/>
              </w:rPr>
              <w:t>29%</w:t>
            </w:r>
          </w:p>
        </w:tc>
      </w:tr>
      <w:tr w:rsidR="00DC2572" w:rsidRPr="00EB0C51" w14:paraId="12CB9F82" w14:textId="77777777" w:rsidTr="008D3074">
        <w:trPr>
          <w:trHeight w:val="70"/>
        </w:trPr>
        <w:tc>
          <w:tcPr>
            <w:tcW w:w="3789" w:type="dxa"/>
            <w:tcBorders>
              <w:top w:val="nil"/>
              <w:left w:val="single" w:sz="4" w:space="0" w:color="auto"/>
              <w:bottom w:val="single" w:sz="4" w:space="0" w:color="auto"/>
              <w:right w:val="single" w:sz="4" w:space="0" w:color="auto"/>
            </w:tcBorders>
            <w:shd w:val="clear" w:color="auto" w:fill="auto"/>
            <w:vAlign w:val="center"/>
            <w:hideMark/>
          </w:tcPr>
          <w:p w14:paraId="733584E5" w14:textId="77777777" w:rsidR="00DC2572" w:rsidRPr="00EB0C51" w:rsidRDefault="00DC2572" w:rsidP="00DC2572">
            <w:pPr>
              <w:rPr>
                <w:rFonts w:cs="Arial"/>
                <w:sz w:val="20"/>
                <w:szCs w:val="20"/>
                <w:lang w:eastAsia="es-CO"/>
              </w:rPr>
            </w:pPr>
            <w:r w:rsidRPr="00EB0C51">
              <w:rPr>
                <w:rFonts w:cs="Arial"/>
                <w:sz w:val="20"/>
                <w:szCs w:val="20"/>
                <w:lang w:eastAsia="es-CO"/>
              </w:rPr>
              <w:t xml:space="preserve">Total MHCP </w:t>
            </w:r>
          </w:p>
        </w:tc>
        <w:tc>
          <w:tcPr>
            <w:tcW w:w="2023" w:type="dxa"/>
            <w:tcBorders>
              <w:top w:val="nil"/>
              <w:left w:val="nil"/>
              <w:bottom w:val="single" w:sz="4" w:space="0" w:color="auto"/>
              <w:right w:val="single" w:sz="4" w:space="0" w:color="auto"/>
            </w:tcBorders>
            <w:shd w:val="clear" w:color="auto" w:fill="auto"/>
            <w:noWrap/>
            <w:vAlign w:val="center"/>
            <w:hideMark/>
          </w:tcPr>
          <w:p w14:paraId="67383642" w14:textId="56811ACC"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38.560.922.393.382 </w:t>
            </w:r>
          </w:p>
        </w:tc>
        <w:tc>
          <w:tcPr>
            <w:tcW w:w="2270" w:type="dxa"/>
            <w:tcBorders>
              <w:top w:val="nil"/>
              <w:left w:val="nil"/>
              <w:bottom w:val="single" w:sz="4" w:space="0" w:color="auto"/>
              <w:right w:val="single" w:sz="4" w:space="0" w:color="auto"/>
            </w:tcBorders>
            <w:shd w:val="clear" w:color="auto" w:fill="auto"/>
            <w:noWrap/>
            <w:vAlign w:val="center"/>
            <w:hideMark/>
          </w:tcPr>
          <w:p w14:paraId="72865F8F" w14:textId="6D967DC6" w:rsidR="00DC2572" w:rsidRPr="00EB0C51" w:rsidRDefault="00DC2572" w:rsidP="00DC2572">
            <w:pPr>
              <w:rPr>
                <w:rFonts w:cs="Arial"/>
                <w:color w:val="000000"/>
                <w:sz w:val="20"/>
                <w:szCs w:val="20"/>
                <w:lang w:eastAsia="es-CO"/>
              </w:rPr>
            </w:pPr>
            <w:r w:rsidRPr="00EB0C51">
              <w:rPr>
                <w:rFonts w:cs="Arial"/>
                <w:color w:val="000000"/>
                <w:sz w:val="20"/>
                <w:szCs w:val="20"/>
                <w:lang w:eastAsia="es-CO"/>
              </w:rPr>
              <w:t xml:space="preserve">18.552.214.647.859 </w:t>
            </w:r>
          </w:p>
        </w:tc>
        <w:tc>
          <w:tcPr>
            <w:tcW w:w="1601" w:type="dxa"/>
            <w:tcBorders>
              <w:top w:val="nil"/>
              <w:left w:val="nil"/>
              <w:bottom w:val="single" w:sz="4" w:space="0" w:color="auto"/>
              <w:right w:val="single" w:sz="4" w:space="0" w:color="auto"/>
            </w:tcBorders>
            <w:shd w:val="clear" w:color="auto" w:fill="auto"/>
            <w:noWrap/>
            <w:vAlign w:val="center"/>
            <w:hideMark/>
          </w:tcPr>
          <w:p w14:paraId="280CEC22" w14:textId="77777777" w:rsidR="00DC2572" w:rsidRPr="00EB0C51" w:rsidRDefault="00DC2572" w:rsidP="00DC2572">
            <w:pPr>
              <w:jc w:val="center"/>
              <w:rPr>
                <w:rFonts w:cs="Arial"/>
                <w:color w:val="000000"/>
                <w:sz w:val="20"/>
                <w:szCs w:val="20"/>
                <w:lang w:eastAsia="es-CO"/>
              </w:rPr>
            </w:pPr>
            <w:r w:rsidRPr="00EB0C51">
              <w:rPr>
                <w:rFonts w:cs="Arial"/>
                <w:color w:val="000000"/>
                <w:sz w:val="20"/>
                <w:szCs w:val="20"/>
                <w:lang w:eastAsia="es-CO"/>
              </w:rPr>
              <w:t>48%</w:t>
            </w:r>
          </w:p>
        </w:tc>
      </w:tr>
    </w:tbl>
    <w:p w14:paraId="736CEE59" w14:textId="77777777" w:rsidR="005859FD" w:rsidRPr="00EB0C51" w:rsidRDefault="005859FD" w:rsidP="005859FD">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 y el informe de ejecución presupuestal de diciembre de 2020</w:t>
      </w:r>
    </w:p>
    <w:p w14:paraId="61B9DA80" w14:textId="320049C7" w:rsidR="003C63E9" w:rsidRPr="00EB0C51" w:rsidRDefault="003C63E9" w:rsidP="00BF7787">
      <w:pPr>
        <w:jc w:val="both"/>
        <w:rPr>
          <w:rFonts w:cs="Arial"/>
          <w:b/>
          <w:color w:val="FF0000"/>
        </w:rPr>
      </w:pPr>
    </w:p>
    <w:p w14:paraId="501B12A3" w14:textId="64C206AF" w:rsidR="003C63E9" w:rsidRPr="00EB0C51" w:rsidRDefault="00625EE3" w:rsidP="00BF7787">
      <w:pPr>
        <w:jc w:val="both"/>
        <w:rPr>
          <w:rFonts w:cs="Arial"/>
          <w:bCs/>
          <w:color w:val="000000" w:themeColor="text1"/>
        </w:rPr>
      </w:pPr>
      <w:r w:rsidRPr="00EB0C51">
        <w:rPr>
          <w:rFonts w:cs="Arial"/>
          <w:bCs/>
          <w:color w:val="000000" w:themeColor="text1"/>
        </w:rPr>
        <w:t>Como muestra la tabla</w:t>
      </w:r>
      <w:r w:rsidR="009277C0" w:rsidRPr="00EB0C51">
        <w:rPr>
          <w:rFonts w:cs="Arial"/>
          <w:bCs/>
          <w:color w:val="000000" w:themeColor="text1"/>
        </w:rPr>
        <w:t xml:space="preserve"> presentada</w:t>
      </w:r>
      <w:r w:rsidR="00CF3708" w:rsidRPr="00EB0C51">
        <w:rPr>
          <w:rFonts w:cs="Arial"/>
          <w:bCs/>
          <w:color w:val="000000" w:themeColor="text1"/>
        </w:rPr>
        <w:t xml:space="preserve">, con corte a 31 de diciembre de 2020 se comprometieron dieciocho billones </w:t>
      </w:r>
      <w:r w:rsidR="00EF6ACF" w:rsidRPr="00EB0C51">
        <w:rPr>
          <w:rFonts w:cs="Arial"/>
          <w:bCs/>
          <w:color w:val="000000" w:themeColor="text1"/>
        </w:rPr>
        <w:t xml:space="preserve">quinientos cincuenta y dos mil doscientos catorce millones seiscientos cuarenta y siete mil </w:t>
      </w:r>
      <w:r w:rsidR="00AE0DEA" w:rsidRPr="00EB0C51">
        <w:rPr>
          <w:rFonts w:cs="Arial"/>
          <w:bCs/>
          <w:color w:val="000000" w:themeColor="text1"/>
        </w:rPr>
        <w:t>ochocientos cincuenta y nueve pesos ($18.552.214.647.859</w:t>
      </w:r>
      <w:r w:rsidR="006175EE" w:rsidRPr="00EB0C51">
        <w:rPr>
          <w:rFonts w:cs="Arial"/>
          <w:bCs/>
          <w:color w:val="000000" w:themeColor="text1"/>
        </w:rPr>
        <w:t>)</w:t>
      </w:r>
      <w:r w:rsidR="00AE0DEA" w:rsidRPr="00EB0C51">
        <w:rPr>
          <w:rFonts w:cs="Arial"/>
          <w:bCs/>
          <w:color w:val="000000" w:themeColor="text1"/>
        </w:rPr>
        <w:t xml:space="preserve"> equivalentes al 48% de la apropiación </w:t>
      </w:r>
      <w:r w:rsidR="005E5EC5" w:rsidRPr="00EB0C51">
        <w:rPr>
          <w:rFonts w:cs="Arial"/>
          <w:bCs/>
          <w:color w:val="000000" w:themeColor="text1"/>
        </w:rPr>
        <w:t>v</w:t>
      </w:r>
      <w:r w:rsidR="00AE0DEA" w:rsidRPr="00EB0C51">
        <w:rPr>
          <w:rFonts w:cs="Arial"/>
          <w:bCs/>
          <w:color w:val="000000" w:themeColor="text1"/>
        </w:rPr>
        <w:t>igente</w:t>
      </w:r>
      <w:r w:rsidR="005E5EC5" w:rsidRPr="00EB0C51">
        <w:rPr>
          <w:rFonts w:cs="Arial"/>
          <w:bCs/>
          <w:color w:val="000000" w:themeColor="text1"/>
        </w:rPr>
        <w:t xml:space="preserve"> del MHCP</w:t>
      </w:r>
      <w:r w:rsidR="00AF7E69" w:rsidRPr="00EB0C51">
        <w:rPr>
          <w:rFonts w:cs="Arial"/>
          <w:bCs/>
          <w:color w:val="000000" w:themeColor="text1"/>
        </w:rPr>
        <w:t xml:space="preserve"> a dicha fecha. </w:t>
      </w:r>
      <w:r w:rsidR="005E5EC5" w:rsidRPr="00EB0C51">
        <w:rPr>
          <w:rFonts w:cs="Arial"/>
          <w:bCs/>
          <w:color w:val="000000" w:themeColor="text1"/>
        </w:rPr>
        <w:t xml:space="preserve"> </w:t>
      </w:r>
    </w:p>
    <w:p w14:paraId="05AE35E3" w14:textId="0755F712" w:rsidR="00CD606F" w:rsidRPr="00EB0C51" w:rsidRDefault="00CD606F" w:rsidP="00BF7787">
      <w:pPr>
        <w:jc w:val="both"/>
        <w:rPr>
          <w:rFonts w:cs="Arial"/>
          <w:bCs/>
          <w:color w:val="000000" w:themeColor="text1"/>
        </w:rPr>
      </w:pPr>
    </w:p>
    <w:p w14:paraId="07F42A76" w14:textId="4580848F" w:rsidR="00CD606F" w:rsidRPr="00EB0C51" w:rsidRDefault="00CD606F" w:rsidP="00BF7787">
      <w:pPr>
        <w:jc w:val="both"/>
        <w:rPr>
          <w:rFonts w:cs="Arial"/>
          <w:bCs/>
          <w:color w:val="000000" w:themeColor="text1"/>
        </w:rPr>
      </w:pPr>
      <w:r w:rsidRPr="00EB0C51">
        <w:rPr>
          <w:rFonts w:cs="Arial"/>
          <w:bCs/>
          <w:color w:val="000000" w:themeColor="text1"/>
        </w:rPr>
        <w:t>Frente a la apropiación comprometida</w:t>
      </w:r>
      <w:r w:rsidR="00A141CD" w:rsidRPr="00EB0C51">
        <w:rPr>
          <w:rFonts w:cs="Arial"/>
          <w:bCs/>
          <w:color w:val="000000" w:themeColor="text1"/>
        </w:rPr>
        <w:t>,</w:t>
      </w:r>
      <w:r w:rsidRPr="00EB0C51">
        <w:rPr>
          <w:rFonts w:cs="Arial"/>
          <w:bCs/>
          <w:color w:val="000000" w:themeColor="text1"/>
        </w:rPr>
        <w:t xml:space="preserve"> se identificó el valor de las obligaciones </w:t>
      </w:r>
      <w:r w:rsidR="002B5E1B" w:rsidRPr="00EB0C51">
        <w:rPr>
          <w:rFonts w:cs="Arial"/>
          <w:bCs/>
          <w:color w:val="000000" w:themeColor="text1"/>
        </w:rPr>
        <w:t>suscritas a</w:t>
      </w:r>
      <w:r w:rsidR="0057178C" w:rsidRPr="00EB0C51">
        <w:rPr>
          <w:rFonts w:cs="Arial"/>
          <w:bCs/>
          <w:color w:val="000000" w:themeColor="text1"/>
        </w:rPr>
        <w:t xml:space="preserve"> diciembre de 2020 por parte de la Entidad</w:t>
      </w:r>
      <w:r w:rsidR="00A141CD" w:rsidRPr="00EB0C51">
        <w:rPr>
          <w:rFonts w:cs="Arial"/>
          <w:bCs/>
          <w:color w:val="000000" w:themeColor="text1"/>
        </w:rPr>
        <w:t>,</w:t>
      </w:r>
      <w:r w:rsidR="0057178C" w:rsidRPr="00EB0C51">
        <w:rPr>
          <w:rFonts w:cs="Arial"/>
          <w:bCs/>
          <w:color w:val="000000" w:themeColor="text1"/>
        </w:rPr>
        <w:t xml:space="preserve"> la tabla No. 4 muestra </w:t>
      </w:r>
      <w:r w:rsidR="00CC43C6" w:rsidRPr="00EB0C51">
        <w:rPr>
          <w:rFonts w:cs="Arial"/>
          <w:bCs/>
          <w:color w:val="000000" w:themeColor="text1"/>
        </w:rPr>
        <w:t xml:space="preserve">este aspecto: </w:t>
      </w:r>
    </w:p>
    <w:p w14:paraId="380B76E8" w14:textId="77777777" w:rsidR="007072F2" w:rsidRPr="00EB0C51" w:rsidRDefault="007072F2" w:rsidP="00707675">
      <w:pPr>
        <w:jc w:val="both"/>
        <w:rPr>
          <w:rFonts w:cs="Arial"/>
          <w:i/>
          <w:iCs/>
          <w:color w:val="FF0000"/>
          <w:sz w:val="16"/>
          <w:szCs w:val="16"/>
        </w:rPr>
      </w:pPr>
    </w:p>
    <w:p w14:paraId="664E0498" w14:textId="15151292" w:rsidR="00CC43C6" w:rsidRPr="00EB0C51" w:rsidRDefault="003E2E8B" w:rsidP="00366B68">
      <w:pPr>
        <w:pStyle w:val="Descripcin"/>
        <w:jc w:val="center"/>
        <w:rPr>
          <w:rFonts w:cs="Arial"/>
          <w:i w:val="0"/>
          <w:iCs w:val="0"/>
          <w:color w:val="000000" w:themeColor="text1"/>
          <w:sz w:val="24"/>
          <w:szCs w:val="24"/>
        </w:rPr>
      </w:pPr>
      <w:r w:rsidRPr="00EB0C51">
        <w:rPr>
          <w:rFonts w:cs="Arial"/>
          <w:color w:val="000000" w:themeColor="text1"/>
          <w:sz w:val="24"/>
          <w:szCs w:val="24"/>
        </w:rPr>
        <w:lastRenderedPageBreak/>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4</w:t>
      </w:r>
      <w:r w:rsidRPr="00EB0C51">
        <w:rPr>
          <w:rFonts w:cs="Arial"/>
          <w:color w:val="000000" w:themeColor="text1"/>
          <w:sz w:val="24"/>
          <w:szCs w:val="24"/>
        </w:rPr>
        <w:fldChar w:fldCharType="end"/>
      </w:r>
      <w:r w:rsidRPr="00EB0C51">
        <w:rPr>
          <w:rFonts w:cs="Arial"/>
          <w:color w:val="000000" w:themeColor="text1"/>
          <w:sz w:val="24"/>
          <w:szCs w:val="24"/>
        </w:rPr>
        <w:t>.</w:t>
      </w:r>
      <w:r w:rsidRPr="00EB0C51">
        <w:rPr>
          <w:rFonts w:cs="Arial"/>
        </w:rPr>
        <w:t xml:space="preserve"> </w:t>
      </w:r>
      <w:r w:rsidR="00CC43C6" w:rsidRPr="00EB0C51">
        <w:rPr>
          <w:rFonts w:cs="Arial"/>
          <w:color w:val="000000" w:themeColor="text1"/>
          <w:sz w:val="24"/>
          <w:szCs w:val="24"/>
        </w:rPr>
        <w:t xml:space="preserve"> </w:t>
      </w:r>
      <w:r w:rsidR="00CC43C6" w:rsidRPr="00EB0C51">
        <w:rPr>
          <w:rFonts w:cs="Arial"/>
          <w:i w:val="0"/>
          <w:iCs w:val="0"/>
          <w:color w:val="000000" w:themeColor="text1"/>
          <w:sz w:val="24"/>
          <w:szCs w:val="24"/>
        </w:rPr>
        <w:t xml:space="preserve">Apropiación </w:t>
      </w:r>
      <w:r w:rsidR="00366B68" w:rsidRPr="00EB0C51">
        <w:rPr>
          <w:rFonts w:cs="Arial"/>
          <w:i w:val="0"/>
          <w:iCs w:val="0"/>
          <w:color w:val="000000" w:themeColor="text1"/>
          <w:sz w:val="24"/>
          <w:szCs w:val="24"/>
        </w:rPr>
        <w:t xml:space="preserve">obligada </w:t>
      </w:r>
      <w:r w:rsidR="00C740C5" w:rsidRPr="00EB0C51">
        <w:rPr>
          <w:rFonts w:cs="Arial"/>
          <w:i w:val="0"/>
          <w:iCs w:val="0"/>
          <w:color w:val="000000" w:themeColor="text1"/>
          <w:sz w:val="24"/>
          <w:szCs w:val="24"/>
        </w:rPr>
        <w:t>sobre</w:t>
      </w:r>
      <w:r w:rsidR="00366B68" w:rsidRPr="00EB0C51">
        <w:rPr>
          <w:rFonts w:cs="Arial"/>
          <w:i w:val="0"/>
          <w:iCs w:val="0"/>
          <w:color w:val="000000" w:themeColor="text1"/>
          <w:sz w:val="24"/>
          <w:szCs w:val="24"/>
        </w:rPr>
        <w:t xml:space="preserve"> la comprometida</w:t>
      </w:r>
      <w:r w:rsidR="00CC43C6" w:rsidRPr="00EB0C51">
        <w:rPr>
          <w:rFonts w:cs="Arial"/>
          <w:i w:val="0"/>
          <w:iCs w:val="0"/>
          <w:color w:val="000000" w:themeColor="text1"/>
          <w:sz w:val="24"/>
          <w:szCs w:val="24"/>
        </w:rPr>
        <w:t xml:space="preserve"> </w:t>
      </w:r>
      <w:r w:rsidR="00C740C5" w:rsidRPr="00EB0C51">
        <w:rPr>
          <w:rFonts w:cs="Arial"/>
          <w:i w:val="0"/>
          <w:iCs w:val="0"/>
          <w:color w:val="000000" w:themeColor="text1"/>
          <w:sz w:val="24"/>
          <w:szCs w:val="24"/>
        </w:rPr>
        <w:t xml:space="preserve">por tipo, </w:t>
      </w:r>
      <w:r w:rsidR="00CC43C6" w:rsidRPr="00EB0C51">
        <w:rPr>
          <w:rFonts w:cs="Arial"/>
          <w:i w:val="0"/>
          <w:iCs w:val="0"/>
          <w:color w:val="000000" w:themeColor="text1"/>
          <w:sz w:val="24"/>
          <w:szCs w:val="24"/>
        </w:rPr>
        <w:t>con corte a  diciembre de 2020</w:t>
      </w:r>
    </w:p>
    <w:p w14:paraId="1E884471" w14:textId="6BE3220D" w:rsidR="00E54EBF" w:rsidRPr="00EB0C51" w:rsidRDefault="00E54EBF" w:rsidP="00E54EBF">
      <w:pPr>
        <w:rPr>
          <w:rFonts w:cs="Arial"/>
          <w:sz w:val="20"/>
          <w:szCs w:val="20"/>
        </w:rPr>
      </w:pPr>
      <w:r w:rsidRPr="00EB0C51">
        <w:rPr>
          <w:rFonts w:cs="Arial"/>
          <w:sz w:val="20"/>
          <w:szCs w:val="20"/>
        </w:rPr>
        <w:t xml:space="preserve">Cifras expresadas en pesos </w:t>
      </w:r>
    </w:p>
    <w:tbl>
      <w:tblPr>
        <w:tblW w:w="9678" w:type="dxa"/>
        <w:tblCellMar>
          <w:left w:w="70" w:type="dxa"/>
          <w:right w:w="70" w:type="dxa"/>
        </w:tblCellMar>
        <w:tblLook w:val="04A0" w:firstRow="1" w:lastRow="0" w:firstColumn="1" w:lastColumn="0" w:noHBand="0" w:noVBand="1"/>
      </w:tblPr>
      <w:tblGrid>
        <w:gridCol w:w="2122"/>
        <w:gridCol w:w="1701"/>
        <w:gridCol w:w="2126"/>
        <w:gridCol w:w="1990"/>
        <w:gridCol w:w="1739"/>
      </w:tblGrid>
      <w:tr w:rsidR="00846F75" w:rsidRPr="00EB0C51" w14:paraId="0D2EE882" w14:textId="77777777" w:rsidTr="00846F75">
        <w:trPr>
          <w:trHeight w:val="576"/>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3C7B3" w14:textId="0E272868" w:rsidR="00A24261" w:rsidRPr="00EB0C51" w:rsidRDefault="004A39E4" w:rsidP="00A24261">
            <w:pPr>
              <w:jc w:val="center"/>
              <w:rPr>
                <w:rFonts w:cs="Arial"/>
                <w:i/>
                <w:iCs/>
                <w:color w:val="000000"/>
                <w:sz w:val="20"/>
                <w:szCs w:val="20"/>
                <w:lang w:eastAsia="es-CO"/>
              </w:rPr>
            </w:pPr>
            <w:r w:rsidRPr="00EB0C51">
              <w:rPr>
                <w:rFonts w:cs="Arial"/>
                <w:i/>
                <w:iCs/>
                <w:color w:val="000000"/>
                <w:sz w:val="20"/>
                <w:szCs w:val="20"/>
                <w:lang w:eastAsia="es-CO"/>
              </w:rPr>
              <w:t>Tipo de apropiación</w:t>
            </w:r>
            <w:r w:rsidR="00A24261" w:rsidRPr="00EB0C51">
              <w:rPr>
                <w:rFonts w:cs="Arial"/>
                <w:i/>
                <w:iCs/>
                <w:color w:val="000000"/>
                <w:sz w:val="20"/>
                <w:szCs w:val="20"/>
                <w:lang w:eastAsia="es-CO"/>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E10F58B" w14:textId="77777777" w:rsidR="00A24261" w:rsidRPr="00EB0C51" w:rsidRDefault="00A24261" w:rsidP="00A24261">
            <w:pPr>
              <w:jc w:val="center"/>
              <w:rPr>
                <w:rFonts w:cs="Arial"/>
                <w:i/>
                <w:iCs/>
                <w:color w:val="000000"/>
                <w:sz w:val="20"/>
                <w:szCs w:val="20"/>
                <w:lang w:eastAsia="es-CO"/>
              </w:rPr>
            </w:pPr>
            <w:r w:rsidRPr="00EB0C51">
              <w:rPr>
                <w:rFonts w:cs="Arial"/>
                <w:i/>
                <w:iCs/>
                <w:color w:val="000000"/>
                <w:sz w:val="20"/>
                <w:szCs w:val="20"/>
                <w:lang w:eastAsia="es-CO"/>
              </w:rPr>
              <w:t xml:space="preserve"> Apropiación comprometida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BA8B555" w14:textId="77777777" w:rsidR="00A24261" w:rsidRPr="00EB0C51" w:rsidRDefault="00A24261" w:rsidP="00A24261">
            <w:pPr>
              <w:jc w:val="center"/>
              <w:rPr>
                <w:rFonts w:cs="Arial"/>
                <w:i/>
                <w:iCs/>
                <w:color w:val="000000"/>
                <w:sz w:val="20"/>
                <w:szCs w:val="20"/>
                <w:lang w:eastAsia="es-CO"/>
              </w:rPr>
            </w:pPr>
            <w:r w:rsidRPr="00EB0C51">
              <w:rPr>
                <w:rFonts w:cs="Arial"/>
                <w:i/>
                <w:iCs/>
                <w:color w:val="000000"/>
                <w:sz w:val="20"/>
                <w:szCs w:val="20"/>
                <w:lang w:eastAsia="es-CO"/>
              </w:rPr>
              <w:t xml:space="preserve"> Obligación </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02413D92" w14:textId="3B649186" w:rsidR="00A24261" w:rsidRPr="00EB0C51" w:rsidRDefault="00A24261" w:rsidP="00A24261">
            <w:pPr>
              <w:jc w:val="center"/>
              <w:rPr>
                <w:rFonts w:cs="Arial"/>
                <w:i/>
                <w:iCs/>
                <w:color w:val="000000"/>
                <w:sz w:val="20"/>
                <w:szCs w:val="20"/>
                <w:lang w:eastAsia="es-CO"/>
              </w:rPr>
            </w:pPr>
            <w:r w:rsidRPr="00EB0C51">
              <w:rPr>
                <w:rFonts w:cs="Arial"/>
                <w:i/>
                <w:iCs/>
                <w:color w:val="000000"/>
                <w:sz w:val="20"/>
                <w:szCs w:val="20"/>
                <w:lang w:eastAsia="es-CO"/>
              </w:rPr>
              <w:t>$</w:t>
            </w:r>
            <w:r w:rsidR="00846F75" w:rsidRPr="00EB0C51">
              <w:rPr>
                <w:rFonts w:cs="Arial"/>
                <w:i/>
                <w:iCs/>
                <w:color w:val="000000"/>
                <w:sz w:val="20"/>
                <w:szCs w:val="20"/>
                <w:lang w:eastAsia="es-CO"/>
              </w:rPr>
              <w:t xml:space="preserve"> apropiación </w:t>
            </w:r>
            <w:r w:rsidRPr="00EB0C51">
              <w:rPr>
                <w:rFonts w:cs="Arial"/>
                <w:i/>
                <w:iCs/>
                <w:color w:val="000000"/>
                <w:sz w:val="20"/>
                <w:szCs w:val="20"/>
                <w:lang w:eastAsia="es-CO"/>
              </w:rPr>
              <w:t xml:space="preserve"> comprometida - obligada </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1BE3CCA7" w14:textId="359BEAB3" w:rsidR="00A24261" w:rsidRPr="00EB0C51" w:rsidRDefault="00A24261" w:rsidP="00A24261">
            <w:pPr>
              <w:jc w:val="center"/>
              <w:rPr>
                <w:rFonts w:cs="Arial"/>
                <w:i/>
                <w:iCs/>
                <w:color w:val="000000"/>
                <w:sz w:val="20"/>
                <w:szCs w:val="20"/>
                <w:lang w:eastAsia="es-CO"/>
              </w:rPr>
            </w:pPr>
            <w:r w:rsidRPr="00EB0C51">
              <w:rPr>
                <w:rFonts w:cs="Arial"/>
                <w:i/>
                <w:iCs/>
                <w:color w:val="000000"/>
                <w:sz w:val="20"/>
                <w:szCs w:val="20"/>
                <w:lang w:eastAsia="es-CO"/>
              </w:rPr>
              <w:t xml:space="preserve">% apropiación obligada /comprometida </w:t>
            </w:r>
          </w:p>
        </w:tc>
      </w:tr>
      <w:tr w:rsidR="00846F75" w:rsidRPr="00EB0C51" w14:paraId="5E1B23FA" w14:textId="77777777" w:rsidTr="00846F75">
        <w:trPr>
          <w:trHeight w:val="30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B9A726E" w14:textId="77777777" w:rsidR="00A24261" w:rsidRPr="00EB0C51" w:rsidRDefault="00A24261" w:rsidP="00A24261">
            <w:pPr>
              <w:rPr>
                <w:rFonts w:cs="Arial"/>
                <w:sz w:val="20"/>
                <w:szCs w:val="20"/>
                <w:lang w:eastAsia="es-CO"/>
              </w:rPr>
            </w:pPr>
            <w:r w:rsidRPr="00EB0C51">
              <w:rPr>
                <w:rFonts w:cs="Arial"/>
                <w:sz w:val="20"/>
                <w:szCs w:val="20"/>
                <w:lang w:eastAsia="es-CO"/>
              </w:rPr>
              <w:t xml:space="preserve">Recursos ejecutados por el MHCP </w:t>
            </w:r>
          </w:p>
        </w:tc>
        <w:tc>
          <w:tcPr>
            <w:tcW w:w="1701" w:type="dxa"/>
            <w:tcBorders>
              <w:top w:val="nil"/>
              <w:left w:val="nil"/>
              <w:bottom w:val="single" w:sz="4" w:space="0" w:color="auto"/>
              <w:right w:val="single" w:sz="4" w:space="0" w:color="auto"/>
            </w:tcBorders>
            <w:shd w:val="clear" w:color="auto" w:fill="auto"/>
            <w:noWrap/>
            <w:vAlign w:val="center"/>
            <w:hideMark/>
          </w:tcPr>
          <w:p w14:paraId="4F24D06F" w14:textId="1E3637A3"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11.079.379.627</w:t>
            </w:r>
          </w:p>
        </w:tc>
        <w:tc>
          <w:tcPr>
            <w:tcW w:w="2126" w:type="dxa"/>
            <w:tcBorders>
              <w:top w:val="nil"/>
              <w:left w:val="nil"/>
              <w:bottom w:val="single" w:sz="4" w:space="0" w:color="auto"/>
              <w:right w:val="single" w:sz="4" w:space="0" w:color="auto"/>
            </w:tcBorders>
            <w:shd w:val="clear" w:color="auto" w:fill="auto"/>
            <w:noWrap/>
            <w:vAlign w:val="center"/>
            <w:hideMark/>
          </w:tcPr>
          <w:p w14:paraId="525D106F" w14:textId="6A8B502F"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8.608.089.078.938</w:t>
            </w:r>
          </w:p>
        </w:tc>
        <w:tc>
          <w:tcPr>
            <w:tcW w:w="1990" w:type="dxa"/>
            <w:tcBorders>
              <w:top w:val="nil"/>
              <w:left w:val="nil"/>
              <w:bottom w:val="single" w:sz="4" w:space="0" w:color="auto"/>
              <w:right w:val="single" w:sz="4" w:space="0" w:color="auto"/>
            </w:tcBorders>
            <w:shd w:val="clear" w:color="auto" w:fill="auto"/>
            <w:noWrap/>
            <w:vAlign w:val="center"/>
            <w:hideMark/>
          </w:tcPr>
          <w:p w14:paraId="574C518F" w14:textId="191CC197"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 xml:space="preserve">2.471.290.548.840 </w:t>
            </w:r>
          </w:p>
        </w:tc>
        <w:tc>
          <w:tcPr>
            <w:tcW w:w="1739" w:type="dxa"/>
            <w:tcBorders>
              <w:top w:val="nil"/>
              <w:left w:val="nil"/>
              <w:bottom w:val="single" w:sz="4" w:space="0" w:color="auto"/>
              <w:right w:val="single" w:sz="4" w:space="0" w:color="auto"/>
            </w:tcBorders>
            <w:shd w:val="clear" w:color="auto" w:fill="auto"/>
            <w:noWrap/>
            <w:vAlign w:val="center"/>
            <w:hideMark/>
          </w:tcPr>
          <w:p w14:paraId="25E1AF9F" w14:textId="77777777" w:rsidR="00A24261" w:rsidRPr="00EB0C51" w:rsidRDefault="00A24261" w:rsidP="00A24261">
            <w:pPr>
              <w:jc w:val="center"/>
              <w:rPr>
                <w:rFonts w:cs="Arial"/>
                <w:color w:val="000000"/>
                <w:sz w:val="20"/>
                <w:szCs w:val="20"/>
                <w:lang w:eastAsia="es-CO"/>
              </w:rPr>
            </w:pPr>
            <w:r w:rsidRPr="00EB0C51">
              <w:rPr>
                <w:rFonts w:cs="Arial"/>
                <w:color w:val="000000"/>
                <w:sz w:val="20"/>
                <w:szCs w:val="20"/>
                <w:lang w:eastAsia="es-CO"/>
              </w:rPr>
              <w:t>78%</w:t>
            </w:r>
          </w:p>
        </w:tc>
      </w:tr>
      <w:tr w:rsidR="00846F75" w:rsidRPr="00EB0C51" w14:paraId="7C91A710" w14:textId="77777777" w:rsidTr="00846F75">
        <w:trPr>
          <w:trHeight w:val="52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2401705" w14:textId="77777777" w:rsidR="00A24261" w:rsidRPr="00EB0C51" w:rsidRDefault="00A24261" w:rsidP="00A24261">
            <w:pPr>
              <w:rPr>
                <w:rFonts w:cs="Arial"/>
                <w:sz w:val="20"/>
                <w:szCs w:val="20"/>
                <w:lang w:eastAsia="es-CO"/>
              </w:rPr>
            </w:pPr>
            <w:r w:rsidRPr="00EB0C51">
              <w:rPr>
                <w:rFonts w:cs="Arial"/>
                <w:sz w:val="20"/>
                <w:szCs w:val="20"/>
                <w:lang w:eastAsia="es-CO"/>
              </w:rPr>
              <w:t>Recursos distribuidos por el MHCP a otras entidades, para su ejecución</w:t>
            </w:r>
          </w:p>
        </w:tc>
        <w:tc>
          <w:tcPr>
            <w:tcW w:w="1701" w:type="dxa"/>
            <w:tcBorders>
              <w:top w:val="nil"/>
              <w:left w:val="nil"/>
              <w:bottom w:val="single" w:sz="4" w:space="0" w:color="auto"/>
              <w:right w:val="single" w:sz="4" w:space="0" w:color="auto"/>
            </w:tcBorders>
            <w:shd w:val="clear" w:color="auto" w:fill="auto"/>
            <w:noWrap/>
            <w:vAlign w:val="center"/>
            <w:hideMark/>
          </w:tcPr>
          <w:p w14:paraId="7FBFF58D" w14:textId="6C770A48"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 xml:space="preserve">18.256.571 </w:t>
            </w:r>
          </w:p>
        </w:tc>
        <w:tc>
          <w:tcPr>
            <w:tcW w:w="2126" w:type="dxa"/>
            <w:tcBorders>
              <w:top w:val="nil"/>
              <w:left w:val="nil"/>
              <w:bottom w:val="single" w:sz="4" w:space="0" w:color="auto"/>
              <w:right w:val="single" w:sz="4" w:space="0" w:color="auto"/>
            </w:tcBorders>
            <w:shd w:val="clear" w:color="auto" w:fill="auto"/>
            <w:noWrap/>
            <w:vAlign w:val="center"/>
            <w:hideMark/>
          </w:tcPr>
          <w:p w14:paraId="023C2128" w14:textId="7A6536E4"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 xml:space="preserve">  -   </w:t>
            </w:r>
          </w:p>
        </w:tc>
        <w:tc>
          <w:tcPr>
            <w:tcW w:w="1990" w:type="dxa"/>
            <w:tcBorders>
              <w:top w:val="nil"/>
              <w:left w:val="nil"/>
              <w:bottom w:val="single" w:sz="4" w:space="0" w:color="auto"/>
              <w:right w:val="single" w:sz="4" w:space="0" w:color="auto"/>
            </w:tcBorders>
            <w:shd w:val="clear" w:color="auto" w:fill="auto"/>
            <w:noWrap/>
            <w:vAlign w:val="center"/>
            <w:hideMark/>
          </w:tcPr>
          <w:p w14:paraId="57D0A39E" w14:textId="154EBF2D"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18.256.571</w:t>
            </w:r>
          </w:p>
        </w:tc>
        <w:tc>
          <w:tcPr>
            <w:tcW w:w="1739" w:type="dxa"/>
            <w:tcBorders>
              <w:top w:val="nil"/>
              <w:left w:val="nil"/>
              <w:bottom w:val="single" w:sz="4" w:space="0" w:color="auto"/>
              <w:right w:val="single" w:sz="4" w:space="0" w:color="auto"/>
            </w:tcBorders>
            <w:shd w:val="clear" w:color="auto" w:fill="auto"/>
            <w:noWrap/>
            <w:vAlign w:val="center"/>
            <w:hideMark/>
          </w:tcPr>
          <w:p w14:paraId="7A21C50E" w14:textId="77777777" w:rsidR="00A24261" w:rsidRPr="00EB0C51" w:rsidRDefault="00A24261" w:rsidP="00A24261">
            <w:pPr>
              <w:jc w:val="center"/>
              <w:rPr>
                <w:rFonts w:cs="Arial"/>
                <w:color w:val="000000"/>
                <w:sz w:val="20"/>
                <w:szCs w:val="20"/>
                <w:lang w:eastAsia="es-CO"/>
              </w:rPr>
            </w:pPr>
            <w:r w:rsidRPr="00EB0C51">
              <w:rPr>
                <w:rFonts w:cs="Arial"/>
                <w:color w:val="000000"/>
                <w:sz w:val="20"/>
                <w:szCs w:val="20"/>
                <w:lang w:eastAsia="es-CO"/>
              </w:rPr>
              <w:t>0%</w:t>
            </w:r>
          </w:p>
        </w:tc>
      </w:tr>
      <w:tr w:rsidR="00846F75" w:rsidRPr="00EB0C51" w14:paraId="7E4BAA66" w14:textId="77777777" w:rsidTr="00846F75">
        <w:trPr>
          <w:trHeight w:val="25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AC3101D" w14:textId="77777777" w:rsidR="00A24261" w:rsidRPr="00EB0C51" w:rsidRDefault="00A24261" w:rsidP="00A24261">
            <w:pPr>
              <w:rPr>
                <w:rFonts w:cs="Arial"/>
                <w:sz w:val="20"/>
                <w:szCs w:val="20"/>
                <w:lang w:eastAsia="es-CO"/>
              </w:rPr>
            </w:pPr>
            <w:r w:rsidRPr="00EB0C51">
              <w:rPr>
                <w:rFonts w:cs="Arial"/>
                <w:sz w:val="20"/>
                <w:szCs w:val="20"/>
                <w:lang w:eastAsia="es-CO"/>
              </w:rPr>
              <w:t xml:space="preserve">Fondo de Mitigación de Emergencias - FOME </w:t>
            </w:r>
          </w:p>
        </w:tc>
        <w:tc>
          <w:tcPr>
            <w:tcW w:w="1701" w:type="dxa"/>
            <w:tcBorders>
              <w:top w:val="nil"/>
              <w:left w:val="nil"/>
              <w:bottom w:val="single" w:sz="4" w:space="0" w:color="auto"/>
              <w:right w:val="single" w:sz="4" w:space="0" w:color="auto"/>
            </w:tcBorders>
            <w:shd w:val="clear" w:color="auto" w:fill="auto"/>
            <w:noWrap/>
            <w:vAlign w:val="center"/>
            <w:hideMark/>
          </w:tcPr>
          <w:p w14:paraId="284E19C1" w14:textId="60EBA338"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7.472.816.763.</w:t>
            </w:r>
          </w:p>
        </w:tc>
        <w:tc>
          <w:tcPr>
            <w:tcW w:w="2126" w:type="dxa"/>
            <w:tcBorders>
              <w:top w:val="nil"/>
              <w:left w:val="nil"/>
              <w:bottom w:val="single" w:sz="4" w:space="0" w:color="auto"/>
              <w:right w:val="single" w:sz="4" w:space="0" w:color="auto"/>
            </w:tcBorders>
            <w:shd w:val="clear" w:color="auto" w:fill="auto"/>
            <w:noWrap/>
            <w:vAlign w:val="center"/>
            <w:hideMark/>
          </w:tcPr>
          <w:p w14:paraId="573EC645" w14:textId="6245E082"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6.185.904.012.633</w:t>
            </w:r>
          </w:p>
        </w:tc>
        <w:tc>
          <w:tcPr>
            <w:tcW w:w="1990" w:type="dxa"/>
            <w:tcBorders>
              <w:top w:val="nil"/>
              <w:left w:val="nil"/>
              <w:bottom w:val="single" w:sz="4" w:space="0" w:color="auto"/>
              <w:right w:val="single" w:sz="4" w:space="0" w:color="auto"/>
            </w:tcBorders>
            <w:shd w:val="clear" w:color="auto" w:fill="auto"/>
            <w:noWrap/>
            <w:vAlign w:val="center"/>
            <w:hideMark/>
          </w:tcPr>
          <w:p w14:paraId="1E493802" w14:textId="39D73A4B"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1.286.912.750.875</w:t>
            </w:r>
          </w:p>
        </w:tc>
        <w:tc>
          <w:tcPr>
            <w:tcW w:w="1739" w:type="dxa"/>
            <w:tcBorders>
              <w:top w:val="nil"/>
              <w:left w:val="nil"/>
              <w:bottom w:val="single" w:sz="4" w:space="0" w:color="auto"/>
              <w:right w:val="single" w:sz="4" w:space="0" w:color="auto"/>
            </w:tcBorders>
            <w:shd w:val="clear" w:color="auto" w:fill="auto"/>
            <w:noWrap/>
            <w:vAlign w:val="center"/>
            <w:hideMark/>
          </w:tcPr>
          <w:p w14:paraId="79F670A0" w14:textId="77777777" w:rsidR="00A24261" w:rsidRPr="00EB0C51" w:rsidRDefault="00A24261" w:rsidP="00A24261">
            <w:pPr>
              <w:jc w:val="center"/>
              <w:rPr>
                <w:rFonts w:cs="Arial"/>
                <w:color w:val="000000"/>
                <w:sz w:val="20"/>
                <w:szCs w:val="20"/>
                <w:lang w:eastAsia="es-CO"/>
              </w:rPr>
            </w:pPr>
            <w:r w:rsidRPr="00EB0C51">
              <w:rPr>
                <w:rFonts w:cs="Arial"/>
                <w:color w:val="000000"/>
                <w:sz w:val="20"/>
                <w:szCs w:val="20"/>
                <w:lang w:eastAsia="es-CO"/>
              </w:rPr>
              <w:t>83%</w:t>
            </w:r>
          </w:p>
        </w:tc>
      </w:tr>
      <w:tr w:rsidR="00846F75" w:rsidRPr="00EB0C51" w14:paraId="6E66FA57" w14:textId="77777777" w:rsidTr="00846F75">
        <w:trPr>
          <w:trHeight w:val="30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D50A0F" w14:textId="77777777" w:rsidR="00A24261" w:rsidRPr="00EB0C51" w:rsidRDefault="00A24261" w:rsidP="00A24261">
            <w:pPr>
              <w:rPr>
                <w:rFonts w:cs="Arial"/>
                <w:sz w:val="20"/>
                <w:szCs w:val="20"/>
                <w:lang w:eastAsia="es-CO"/>
              </w:rPr>
            </w:pPr>
            <w:r w:rsidRPr="00EB0C51">
              <w:rPr>
                <w:rFonts w:cs="Arial"/>
                <w:sz w:val="20"/>
                <w:szCs w:val="20"/>
                <w:lang w:eastAsia="es-CO"/>
              </w:rPr>
              <w:t xml:space="preserve">Total MHCP </w:t>
            </w:r>
          </w:p>
        </w:tc>
        <w:tc>
          <w:tcPr>
            <w:tcW w:w="1701" w:type="dxa"/>
            <w:tcBorders>
              <w:top w:val="nil"/>
              <w:left w:val="nil"/>
              <w:bottom w:val="single" w:sz="4" w:space="0" w:color="auto"/>
              <w:right w:val="single" w:sz="4" w:space="0" w:color="auto"/>
            </w:tcBorders>
            <w:shd w:val="clear" w:color="auto" w:fill="auto"/>
            <w:noWrap/>
            <w:vAlign w:val="center"/>
            <w:hideMark/>
          </w:tcPr>
          <w:p w14:paraId="02EFB6CC" w14:textId="270C89D5"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18.552.214.647</w:t>
            </w:r>
          </w:p>
        </w:tc>
        <w:tc>
          <w:tcPr>
            <w:tcW w:w="2126" w:type="dxa"/>
            <w:tcBorders>
              <w:top w:val="nil"/>
              <w:left w:val="nil"/>
              <w:bottom w:val="single" w:sz="4" w:space="0" w:color="auto"/>
              <w:right w:val="single" w:sz="4" w:space="0" w:color="auto"/>
            </w:tcBorders>
            <w:shd w:val="clear" w:color="auto" w:fill="auto"/>
            <w:noWrap/>
            <w:vAlign w:val="center"/>
            <w:hideMark/>
          </w:tcPr>
          <w:p w14:paraId="41445F50" w14:textId="1B00E397"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14.793.993.091.572</w:t>
            </w:r>
          </w:p>
        </w:tc>
        <w:tc>
          <w:tcPr>
            <w:tcW w:w="1990" w:type="dxa"/>
            <w:tcBorders>
              <w:top w:val="nil"/>
              <w:left w:val="nil"/>
              <w:bottom w:val="single" w:sz="4" w:space="0" w:color="auto"/>
              <w:right w:val="single" w:sz="4" w:space="0" w:color="auto"/>
            </w:tcBorders>
            <w:shd w:val="clear" w:color="auto" w:fill="auto"/>
            <w:noWrap/>
            <w:vAlign w:val="center"/>
            <w:hideMark/>
          </w:tcPr>
          <w:p w14:paraId="77096A89" w14:textId="5907414A" w:rsidR="00A24261" w:rsidRPr="00EB0C51" w:rsidRDefault="00A24261" w:rsidP="00A24261">
            <w:pPr>
              <w:rPr>
                <w:rFonts w:cs="Arial"/>
                <w:color w:val="000000"/>
                <w:sz w:val="20"/>
                <w:szCs w:val="20"/>
                <w:lang w:eastAsia="es-CO"/>
              </w:rPr>
            </w:pPr>
            <w:r w:rsidRPr="00EB0C51">
              <w:rPr>
                <w:rFonts w:cs="Arial"/>
                <w:color w:val="000000"/>
                <w:sz w:val="20"/>
                <w:szCs w:val="20"/>
                <w:lang w:eastAsia="es-CO"/>
              </w:rPr>
              <w:t xml:space="preserve">3.758.221.556.286 </w:t>
            </w:r>
          </w:p>
        </w:tc>
        <w:tc>
          <w:tcPr>
            <w:tcW w:w="1739" w:type="dxa"/>
            <w:tcBorders>
              <w:top w:val="nil"/>
              <w:left w:val="nil"/>
              <w:bottom w:val="single" w:sz="4" w:space="0" w:color="auto"/>
              <w:right w:val="single" w:sz="4" w:space="0" w:color="auto"/>
            </w:tcBorders>
            <w:shd w:val="clear" w:color="auto" w:fill="auto"/>
            <w:noWrap/>
            <w:vAlign w:val="center"/>
            <w:hideMark/>
          </w:tcPr>
          <w:p w14:paraId="3F48FEE2" w14:textId="77777777" w:rsidR="00A24261" w:rsidRPr="00EB0C51" w:rsidRDefault="00A24261" w:rsidP="00A24261">
            <w:pPr>
              <w:jc w:val="center"/>
              <w:rPr>
                <w:rFonts w:cs="Arial"/>
                <w:color w:val="000000"/>
                <w:sz w:val="20"/>
                <w:szCs w:val="20"/>
                <w:lang w:eastAsia="es-CO"/>
              </w:rPr>
            </w:pPr>
            <w:r w:rsidRPr="00EB0C51">
              <w:rPr>
                <w:rFonts w:cs="Arial"/>
                <w:color w:val="000000"/>
                <w:sz w:val="20"/>
                <w:szCs w:val="20"/>
                <w:lang w:eastAsia="es-CO"/>
              </w:rPr>
              <w:t>80%</w:t>
            </w:r>
          </w:p>
        </w:tc>
      </w:tr>
    </w:tbl>
    <w:p w14:paraId="4E8EBB73" w14:textId="77777777" w:rsidR="00E54EBF" w:rsidRPr="00EB0C51" w:rsidRDefault="00E54EBF" w:rsidP="00E54EBF">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 y el informe de ejecución presupuestal de diciembre de 2020</w:t>
      </w:r>
    </w:p>
    <w:p w14:paraId="443E1060" w14:textId="1C06FF74" w:rsidR="00D02B1B" w:rsidRPr="00EB0C51" w:rsidRDefault="00D02B1B" w:rsidP="00707675">
      <w:pPr>
        <w:jc w:val="both"/>
        <w:rPr>
          <w:rFonts w:cs="Arial"/>
          <w:i/>
          <w:iCs/>
          <w:color w:val="FF0000"/>
          <w:sz w:val="16"/>
          <w:szCs w:val="16"/>
        </w:rPr>
      </w:pPr>
    </w:p>
    <w:p w14:paraId="45562CF5" w14:textId="6F322E2E" w:rsidR="00D272A2" w:rsidRPr="00EB0C51" w:rsidRDefault="00C71CF3" w:rsidP="00707675">
      <w:pPr>
        <w:jc w:val="both"/>
        <w:rPr>
          <w:rFonts w:cs="Arial"/>
          <w:bCs/>
          <w:color w:val="000000" w:themeColor="text1"/>
        </w:rPr>
      </w:pPr>
      <w:r w:rsidRPr="00EB0C51">
        <w:rPr>
          <w:rFonts w:cs="Arial"/>
          <w:bCs/>
          <w:color w:val="000000" w:themeColor="text1"/>
        </w:rPr>
        <w:t>Como muestra la tabla No. 4</w:t>
      </w:r>
      <w:r w:rsidR="00B40829" w:rsidRPr="00EB0C51">
        <w:rPr>
          <w:rFonts w:cs="Arial"/>
          <w:bCs/>
          <w:color w:val="000000" w:themeColor="text1"/>
        </w:rPr>
        <w:t xml:space="preserve">, </w:t>
      </w:r>
      <w:r w:rsidR="00D575C5" w:rsidRPr="00EB0C51">
        <w:rPr>
          <w:rFonts w:cs="Arial"/>
          <w:bCs/>
          <w:color w:val="000000" w:themeColor="text1"/>
        </w:rPr>
        <w:t xml:space="preserve">las </w:t>
      </w:r>
      <w:r w:rsidR="00B40829" w:rsidRPr="00EB0C51">
        <w:rPr>
          <w:rFonts w:cs="Arial"/>
          <w:bCs/>
          <w:color w:val="000000" w:themeColor="text1"/>
        </w:rPr>
        <w:t>obligaciones</w:t>
      </w:r>
      <w:r w:rsidR="00D575C5" w:rsidRPr="00EB0C51">
        <w:rPr>
          <w:rFonts w:cs="Arial"/>
          <w:bCs/>
          <w:color w:val="000000" w:themeColor="text1"/>
        </w:rPr>
        <w:t xml:space="preserve"> a 31 de diciembre de 2020 </w:t>
      </w:r>
      <w:r w:rsidR="00331C5F" w:rsidRPr="00EB0C51">
        <w:rPr>
          <w:rFonts w:cs="Arial"/>
          <w:bCs/>
          <w:color w:val="000000" w:themeColor="text1"/>
        </w:rPr>
        <w:t xml:space="preserve">correspondieron a catorce billones setecientos noventa y tres mil </w:t>
      </w:r>
      <w:r w:rsidR="00EC73D7" w:rsidRPr="00EB0C51">
        <w:rPr>
          <w:rFonts w:cs="Arial"/>
          <w:bCs/>
          <w:color w:val="000000" w:themeColor="text1"/>
        </w:rPr>
        <w:t xml:space="preserve">novecientos noventa y tres millones noventa y un mil </w:t>
      </w:r>
      <w:r w:rsidR="00C15A14" w:rsidRPr="00EB0C51">
        <w:rPr>
          <w:rFonts w:cs="Arial"/>
          <w:bCs/>
          <w:color w:val="000000" w:themeColor="text1"/>
        </w:rPr>
        <w:t>quinientos</w:t>
      </w:r>
      <w:r w:rsidR="00EC73D7" w:rsidRPr="00EB0C51">
        <w:rPr>
          <w:rFonts w:cs="Arial"/>
          <w:bCs/>
          <w:color w:val="000000" w:themeColor="text1"/>
        </w:rPr>
        <w:t xml:space="preserve"> </w:t>
      </w:r>
      <w:r w:rsidR="00C15A14" w:rsidRPr="00EB0C51">
        <w:rPr>
          <w:rFonts w:cs="Arial"/>
          <w:bCs/>
          <w:color w:val="000000" w:themeColor="text1"/>
        </w:rPr>
        <w:t>setenta y dos</w:t>
      </w:r>
      <w:r w:rsidR="00EC73D7" w:rsidRPr="00EB0C51">
        <w:rPr>
          <w:rFonts w:cs="Arial"/>
          <w:bCs/>
          <w:color w:val="000000" w:themeColor="text1"/>
        </w:rPr>
        <w:t xml:space="preserve"> pesos ($14.793.993.091.572)</w:t>
      </w:r>
      <w:r w:rsidR="003A2003" w:rsidRPr="00EB0C51">
        <w:rPr>
          <w:rFonts w:cs="Arial"/>
          <w:bCs/>
          <w:color w:val="000000" w:themeColor="text1"/>
        </w:rPr>
        <w:t xml:space="preserve"> </w:t>
      </w:r>
      <w:r w:rsidR="00C921E6" w:rsidRPr="00EB0C51">
        <w:rPr>
          <w:rFonts w:cs="Arial"/>
          <w:bCs/>
          <w:color w:val="000000" w:themeColor="text1"/>
        </w:rPr>
        <w:t xml:space="preserve">equivalentes al 80% de la apropiación </w:t>
      </w:r>
      <w:r w:rsidR="00403AE0" w:rsidRPr="00EB0C51">
        <w:rPr>
          <w:rFonts w:cs="Arial"/>
          <w:bCs/>
          <w:color w:val="000000" w:themeColor="text1"/>
        </w:rPr>
        <w:t>comprometida</w:t>
      </w:r>
      <w:r w:rsidR="00341C25" w:rsidRPr="00EB0C51">
        <w:rPr>
          <w:rFonts w:cs="Arial"/>
          <w:bCs/>
          <w:color w:val="000000" w:themeColor="text1"/>
        </w:rPr>
        <w:t xml:space="preserve"> por parte de la Entidad</w:t>
      </w:r>
      <w:r w:rsidR="00C921E6" w:rsidRPr="00EB0C51">
        <w:rPr>
          <w:rFonts w:cs="Arial"/>
          <w:bCs/>
          <w:color w:val="000000" w:themeColor="text1"/>
        </w:rPr>
        <w:t xml:space="preserve">, los recursos </w:t>
      </w:r>
      <w:r w:rsidR="00403AE0" w:rsidRPr="00EB0C51">
        <w:rPr>
          <w:rFonts w:cs="Arial"/>
          <w:bCs/>
          <w:color w:val="000000" w:themeColor="text1"/>
        </w:rPr>
        <w:t>obligados</w:t>
      </w:r>
      <w:r w:rsidR="00C921E6" w:rsidRPr="00EB0C51">
        <w:rPr>
          <w:rFonts w:cs="Arial"/>
          <w:bCs/>
          <w:color w:val="000000" w:themeColor="text1"/>
        </w:rPr>
        <w:t xml:space="preserve"> </w:t>
      </w:r>
      <w:r w:rsidR="00F52567" w:rsidRPr="00EB0C51">
        <w:rPr>
          <w:rFonts w:cs="Arial"/>
          <w:bCs/>
          <w:color w:val="000000" w:themeColor="text1"/>
        </w:rPr>
        <w:t xml:space="preserve">que ejecuta </w:t>
      </w:r>
      <w:r w:rsidR="00C921E6" w:rsidRPr="00EB0C51">
        <w:rPr>
          <w:rFonts w:cs="Arial"/>
          <w:bCs/>
          <w:color w:val="000000" w:themeColor="text1"/>
        </w:rPr>
        <w:t>el MHCP</w:t>
      </w:r>
      <w:r w:rsidR="00403AE0" w:rsidRPr="00EB0C51">
        <w:rPr>
          <w:rFonts w:cs="Arial"/>
          <w:bCs/>
          <w:color w:val="000000" w:themeColor="text1"/>
        </w:rPr>
        <w:t xml:space="preserve"> </w:t>
      </w:r>
      <w:r w:rsidR="00704A4C" w:rsidRPr="00EB0C51">
        <w:rPr>
          <w:rFonts w:cs="Arial"/>
          <w:bCs/>
          <w:color w:val="000000" w:themeColor="text1"/>
        </w:rPr>
        <w:t>representaron</w:t>
      </w:r>
      <w:r w:rsidR="00403AE0" w:rsidRPr="00EB0C51">
        <w:rPr>
          <w:rFonts w:cs="Arial"/>
          <w:bCs/>
          <w:color w:val="000000" w:themeColor="text1"/>
        </w:rPr>
        <w:t xml:space="preserve"> 78% de lo comprometido </w:t>
      </w:r>
      <w:r w:rsidR="00140256" w:rsidRPr="00EB0C51">
        <w:rPr>
          <w:rFonts w:cs="Arial"/>
          <w:bCs/>
          <w:color w:val="000000" w:themeColor="text1"/>
        </w:rPr>
        <w:t xml:space="preserve">para esta asignación </w:t>
      </w:r>
      <w:r w:rsidR="00403AE0" w:rsidRPr="00EB0C51">
        <w:rPr>
          <w:rFonts w:cs="Arial"/>
          <w:bCs/>
          <w:color w:val="000000" w:themeColor="text1"/>
        </w:rPr>
        <w:t>y</w:t>
      </w:r>
      <w:r w:rsidR="00F625D5" w:rsidRPr="00EB0C51">
        <w:rPr>
          <w:rFonts w:cs="Arial"/>
          <w:bCs/>
          <w:color w:val="000000" w:themeColor="text1"/>
        </w:rPr>
        <w:t xml:space="preserve"> lo obligado del FOME representó el 83</w:t>
      </w:r>
      <w:r w:rsidR="00D272A2" w:rsidRPr="00EB0C51">
        <w:rPr>
          <w:rFonts w:cs="Arial"/>
          <w:bCs/>
          <w:color w:val="000000" w:themeColor="text1"/>
        </w:rPr>
        <w:t>%</w:t>
      </w:r>
      <w:r w:rsidR="009B37E4" w:rsidRPr="00EB0C51">
        <w:rPr>
          <w:rFonts w:cs="Arial"/>
          <w:bCs/>
          <w:color w:val="000000" w:themeColor="text1"/>
        </w:rPr>
        <w:t xml:space="preserve"> de </w:t>
      </w:r>
      <w:r w:rsidR="00835A90" w:rsidRPr="00EB0C51">
        <w:rPr>
          <w:rFonts w:cs="Arial"/>
          <w:bCs/>
          <w:color w:val="000000" w:themeColor="text1"/>
        </w:rPr>
        <w:t xml:space="preserve">su </w:t>
      </w:r>
      <w:r w:rsidR="009B37E4" w:rsidRPr="00EB0C51">
        <w:rPr>
          <w:rFonts w:cs="Arial"/>
          <w:bCs/>
          <w:color w:val="000000" w:themeColor="text1"/>
        </w:rPr>
        <w:t xml:space="preserve">apropiación </w:t>
      </w:r>
      <w:r w:rsidR="00056FE3" w:rsidRPr="00EB0C51">
        <w:rPr>
          <w:rFonts w:cs="Arial"/>
          <w:bCs/>
          <w:color w:val="000000" w:themeColor="text1"/>
        </w:rPr>
        <w:t>vigente</w:t>
      </w:r>
      <w:r w:rsidR="00D272A2" w:rsidRPr="00EB0C51">
        <w:rPr>
          <w:rFonts w:cs="Arial"/>
          <w:bCs/>
          <w:color w:val="000000" w:themeColor="text1"/>
        </w:rPr>
        <w:t xml:space="preserve">. Como se precisó, </w:t>
      </w:r>
      <w:r w:rsidR="006801AC" w:rsidRPr="00EB0C51">
        <w:rPr>
          <w:rFonts w:cs="Arial"/>
          <w:bCs/>
          <w:color w:val="000000" w:themeColor="text1"/>
        </w:rPr>
        <w:t xml:space="preserve">para el caso de los recursos que distribuye el MHCP a otras entidades no se generan </w:t>
      </w:r>
      <w:r w:rsidR="00926258" w:rsidRPr="00EB0C51">
        <w:rPr>
          <w:rFonts w:cs="Arial"/>
          <w:bCs/>
          <w:color w:val="000000" w:themeColor="text1"/>
        </w:rPr>
        <w:t>compromisos por parte de la Entidad</w:t>
      </w:r>
      <w:r w:rsidR="00DC7D5F" w:rsidRPr="00EB0C51">
        <w:rPr>
          <w:rFonts w:cs="Arial"/>
          <w:bCs/>
          <w:color w:val="000000" w:themeColor="text1"/>
        </w:rPr>
        <w:t xml:space="preserve"> y/o para este caso se generaron compromisos no significativos,</w:t>
      </w:r>
      <w:r w:rsidR="00926258" w:rsidRPr="00EB0C51">
        <w:rPr>
          <w:rFonts w:cs="Arial"/>
          <w:bCs/>
          <w:color w:val="000000" w:themeColor="text1"/>
        </w:rPr>
        <w:t xml:space="preserve"> razón por la cual este rubro muestra un </w:t>
      </w:r>
      <w:r w:rsidR="00963CFB" w:rsidRPr="00EB0C51">
        <w:rPr>
          <w:rFonts w:cs="Arial"/>
          <w:bCs/>
          <w:color w:val="000000" w:themeColor="text1"/>
        </w:rPr>
        <w:t>0% de ejecución</w:t>
      </w:r>
      <w:r w:rsidR="00DC7D5F" w:rsidRPr="00EB0C51">
        <w:rPr>
          <w:rFonts w:cs="Arial"/>
          <w:bCs/>
          <w:color w:val="000000" w:themeColor="text1"/>
        </w:rPr>
        <w:t>,</w:t>
      </w:r>
      <w:r w:rsidR="00963CFB" w:rsidRPr="00EB0C51">
        <w:rPr>
          <w:rFonts w:cs="Arial"/>
          <w:bCs/>
          <w:color w:val="000000" w:themeColor="text1"/>
        </w:rPr>
        <w:t xml:space="preserve"> bajo el entendido que el gasto de estos recursos hace parte de la ejecución presupuestal de cada una de las entidades a las cuales se les asignan. </w:t>
      </w:r>
    </w:p>
    <w:p w14:paraId="7E74E56A" w14:textId="659221CB" w:rsidR="00373DEA" w:rsidRPr="00EB0C51" w:rsidRDefault="00373DEA" w:rsidP="00707675">
      <w:pPr>
        <w:jc w:val="both"/>
        <w:rPr>
          <w:rFonts w:cs="Arial"/>
          <w:bCs/>
          <w:color w:val="000000" w:themeColor="text1"/>
        </w:rPr>
      </w:pPr>
    </w:p>
    <w:p w14:paraId="3227668D" w14:textId="58A1A5ED" w:rsidR="00373DEA" w:rsidRPr="00EB0C51" w:rsidRDefault="00985A60" w:rsidP="00707675">
      <w:pPr>
        <w:jc w:val="both"/>
        <w:rPr>
          <w:rFonts w:cs="Arial"/>
          <w:bCs/>
          <w:color w:val="000000" w:themeColor="text1"/>
        </w:rPr>
      </w:pPr>
      <w:r w:rsidRPr="00EB0C51">
        <w:rPr>
          <w:rFonts w:cs="Arial"/>
          <w:bCs/>
          <w:color w:val="000000" w:themeColor="text1"/>
        </w:rPr>
        <w:t xml:space="preserve">La tabla No. 4 </w:t>
      </w:r>
      <w:r w:rsidR="00A65C66" w:rsidRPr="00EB0C51">
        <w:rPr>
          <w:rFonts w:cs="Arial"/>
          <w:bCs/>
          <w:color w:val="000000" w:themeColor="text1"/>
        </w:rPr>
        <w:t>a su vez</w:t>
      </w:r>
      <w:r w:rsidRPr="00EB0C51">
        <w:rPr>
          <w:rFonts w:cs="Arial"/>
          <w:bCs/>
          <w:color w:val="000000" w:themeColor="text1"/>
        </w:rPr>
        <w:t xml:space="preserve"> presenta el valor que se dejó de obligar con relación a los recursos comprometidos con corte a diciembre de 2020</w:t>
      </w:r>
      <w:r w:rsidR="0021351E" w:rsidRPr="00EB0C51">
        <w:rPr>
          <w:rFonts w:cs="Arial"/>
          <w:bCs/>
          <w:color w:val="000000" w:themeColor="text1"/>
        </w:rPr>
        <w:t>,</w:t>
      </w:r>
      <w:r w:rsidRPr="00EB0C51">
        <w:rPr>
          <w:rFonts w:cs="Arial"/>
          <w:bCs/>
          <w:color w:val="000000" w:themeColor="text1"/>
        </w:rPr>
        <w:t xml:space="preserve"> </w:t>
      </w:r>
      <w:r w:rsidR="00352C64" w:rsidRPr="00EB0C51">
        <w:rPr>
          <w:rFonts w:cs="Arial"/>
          <w:bCs/>
          <w:color w:val="000000" w:themeColor="text1"/>
        </w:rPr>
        <w:t xml:space="preserve">que </w:t>
      </w:r>
      <w:r w:rsidRPr="00EB0C51">
        <w:rPr>
          <w:rFonts w:cs="Arial"/>
          <w:bCs/>
          <w:color w:val="000000" w:themeColor="text1"/>
        </w:rPr>
        <w:t xml:space="preserve">correspondió a tres billones setecientos </w:t>
      </w:r>
      <w:r w:rsidR="0091492E" w:rsidRPr="00EB0C51">
        <w:rPr>
          <w:rFonts w:cs="Arial"/>
          <w:bCs/>
          <w:color w:val="000000" w:themeColor="text1"/>
        </w:rPr>
        <w:t>cincuenta y ocho mil doscientos veintiún millones quinientos cincuenta y seis mil doscientos ochenta y seis pesos (</w:t>
      </w:r>
      <w:r w:rsidR="00A02565" w:rsidRPr="00EB0C51">
        <w:rPr>
          <w:rFonts w:cs="Arial"/>
          <w:bCs/>
          <w:color w:val="000000" w:themeColor="text1"/>
        </w:rPr>
        <w:t>$3.758.221.556.286)</w:t>
      </w:r>
      <w:r w:rsidR="00352C64" w:rsidRPr="00EB0C51">
        <w:rPr>
          <w:rFonts w:cs="Arial"/>
          <w:bCs/>
          <w:color w:val="000000" w:themeColor="text1"/>
        </w:rPr>
        <w:t>,</w:t>
      </w:r>
      <w:r w:rsidR="00A02565" w:rsidRPr="00EB0C51">
        <w:rPr>
          <w:rFonts w:cs="Arial"/>
          <w:bCs/>
          <w:color w:val="000000" w:themeColor="text1"/>
        </w:rPr>
        <w:t xml:space="preserve"> </w:t>
      </w:r>
      <w:r w:rsidR="00577E41" w:rsidRPr="00EB0C51">
        <w:rPr>
          <w:rFonts w:cs="Arial"/>
          <w:bCs/>
          <w:color w:val="000000" w:themeColor="text1"/>
        </w:rPr>
        <w:t xml:space="preserve">los cuales </w:t>
      </w:r>
      <w:r w:rsidR="00EA44C5" w:rsidRPr="00EB0C51">
        <w:rPr>
          <w:rFonts w:cs="Arial"/>
          <w:bCs/>
          <w:color w:val="000000" w:themeColor="text1"/>
        </w:rPr>
        <w:t>revisado</w:t>
      </w:r>
      <w:r w:rsidR="00577E41" w:rsidRPr="00EB0C51">
        <w:rPr>
          <w:rFonts w:cs="Arial"/>
          <w:bCs/>
          <w:color w:val="000000" w:themeColor="text1"/>
        </w:rPr>
        <w:t xml:space="preserve"> el informe de ejecución presupuestal de junio de 2021</w:t>
      </w:r>
      <w:r w:rsidR="004B0DF3" w:rsidRPr="00EB0C51">
        <w:rPr>
          <w:rFonts w:cs="Arial"/>
          <w:bCs/>
          <w:color w:val="000000" w:themeColor="text1"/>
        </w:rPr>
        <w:t>,</w:t>
      </w:r>
      <w:r w:rsidR="00577E41" w:rsidRPr="00EB0C51">
        <w:rPr>
          <w:rFonts w:cs="Arial"/>
          <w:bCs/>
          <w:color w:val="000000" w:themeColor="text1"/>
        </w:rPr>
        <w:t xml:space="preserve"> se evidenció que se constituyeron como reserva</w:t>
      </w:r>
      <w:r w:rsidR="000E5DEB" w:rsidRPr="00EB0C51">
        <w:rPr>
          <w:rFonts w:cs="Arial"/>
          <w:bCs/>
          <w:color w:val="000000" w:themeColor="text1"/>
        </w:rPr>
        <w:t xml:space="preserve"> presupuestal. </w:t>
      </w:r>
    </w:p>
    <w:p w14:paraId="00DFA47D" w14:textId="1EB60B6E" w:rsidR="00775C74" w:rsidRPr="00EB0C51" w:rsidRDefault="00775C74" w:rsidP="00707675">
      <w:pPr>
        <w:jc w:val="both"/>
        <w:rPr>
          <w:rFonts w:cs="Arial"/>
          <w:bCs/>
          <w:color w:val="000000" w:themeColor="text1"/>
        </w:rPr>
      </w:pPr>
    </w:p>
    <w:p w14:paraId="49CDA282" w14:textId="211D58B6" w:rsidR="00FF0ADA" w:rsidRPr="00EB0C51" w:rsidRDefault="00CD3BFB" w:rsidP="00707675">
      <w:pPr>
        <w:jc w:val="both"/>
        <w:rPr>
          <w:rFonts w:cs="Arial"/>
          <w:bCs/>
          <w:color w:val="000000" w:themeColor="text1"/>
        </w:rPr>
        <w:sectPr w:rsidR="00FF0ADA" w:rsidRPr="00EB0C51" w:rsidSect="00531548">
          <w:headerReference w:type="default" r:id="rId15"/>
          <w:footerReference w:type="even" r:id="rId16"/>
          <w:footerReference w:type="default" r:id="rId17"/>
          <w:pgSz w:w="12240" w:h="15840" w:code="1"/>
          <w:pgMar w:top="1843" w:right="1134" w:bottom="1134" w:left="1418" w:header="709" w:footer="346" w:gutter="0"/>
          <w:cols w:space="708"/>
          <w:docGrid w:linePitch="360"/>
        </w:sectPr>
      </w:pPr>
      <w:r w:rsidRPr="00EB0C51">
        <w:rPr>
          <w:rFonts w:cs="Arial"/>
          <w:bCs/>
          <w:color w:val="000000" w:themeColor="text1"/>
        </w:rPr>
        <w:t>Realizado el análisis al informe de ejecución presupuestal de junio de 2021 se identificó que rubros de la reserva presupuestal se ejecutaron al 100%</w:t>
      </w:r>
      <w:r w:rsidR="005B2DA0" w:rsidRPr="00EB0C51">
        <w:rPr>
          <w:rFonts w:cs="Arial"/>
          <w:bCs/>
          <w:color w:val="000000" w:themeColor="text1"/>
        </w:rPr>
        <w:t>,</w:t>
      </w:r>
      <w:r w:rsidRPr="00EB0C51">
        <w:rPr>
          <w:rFonts w:cs="Arial"/>
          <w:bCs/>
          <w:color w:val="000000" w:themeColor="text1"/>
        </w:rPr>
        <w:t xml:space="preserve"> por lo que </w:t>
      </w:r>
      <w:r w:rsidR="008870AF" w:rsidRPr="00EB0C51">
        <w:rPr>
          <w:rFonts w:cs="Arial"/>
          <w:bCs/>
          <w:color w:val="000000" w:themeColor="text1"/>
        </w:rPr>
        <w:t xml:space="preserve">se tomó una muestra de </w:t>
      </w:r>
      <w:r w:rsidR="0007115C" w:rsidRPr="00EB0C51">
        <w:rPr>
          <w:rFonts w:cs="Arial"/>
          <w:bCs/>
          <w:color w:val="000000" w:themeColor="text1"/>
        </w:rPr>
        <w:t>nueve</w:t>
      </w:r>
      <w:r w:rsidR="00E877B6" w:rsidRPr="00EB0C51">
        <w:rPr>
          <w:rFonts w:cs="Arial"/>
          <w:bCs/>
          <w:color w:val="000000" w:themeColor="text1"/>
        </w:rPr>
        <w:t xml:space="preserve"> (</w:t>
      </w:r>
      <w:r w:rsidR="0007115C" w:rsidRPr="00EB0C51">
        <w:rPr>
          <w:rFonts w:cs="Arial"/>
          <w:bCs/>
          <w:color w:val="000000" w:themeColor="text1"/>
        </w:rPr>
        <w:t>9</w:t>
      </w:r>
      <w:r w:rsidR="00E877B6" w:rsidRPr="00EB0C51">
        <w:rPr>
          <w:rFonts w:cs="Arial"/>
          <w:bCs/>
          <w:color w:val="000000" w:themeColor="text1"/>
        </w:rPr>
        <w:t xml:space="preserve">) </w:t>
      </w:r>
      <w:r w:rsidR="00755AE8" w:rsidRPr="00EB0C51">
        <w:rPr>
          <w:rFonts w:cs="Arial"/>
          <w:bCs/>
          <w:color w:val="000000" w:themeColor="text1"/>
        </w:rPr>
        <w:t xml:space="preserve">que </w:t>
      </w:r>
      <w:r w:rsidR="00E877B6" w:rsidRPr="00EB0C51">
        <w:rPr>
          <w:rFonts w:cs="Arial"/>
          <w:bCs/>
          <w:color w:val="000000" w:themeColor="text1"/>
        </w:rPr>
        <w:t>a junio de 2021</w:t>
      </w:r>
      <w:r w:rsidR="00507C38" w:rsidRPr="00EB0C51">
        <w:rPr>
          <w:rFonts w:cs="Arial"/>
          <w:bCs/>
          <w:color w:val="000000" w:themeColor="text1"/>
        </w:rPr>
        <w:t>,</w:t>
      </w:r>
      <w:r w:rsidR="00E877B6" w:rsidRPr="00EB0C51">
        <w:rPr>
          <w:rFonts w:cs="Arial"/>
          <w:bCs/>
          <w:color w:val="000000" w:themeColor="text1"/>
        </w:rPr>
        <w:t xml:space="preserve"> </w:t>
      </w:r>
      <w:r w:rsidR="00A45099" w:rsidRPr="00EB0C51">
        <w:rPr>
          <w:rFonts w:cs="Arial"/>
          <w:bCs/>
          <w:color w:val="000000" w:themeColor="text1"/>
        </w:rPr>
        <w:t>tuvieron</w:t>
      </w:r>
      <w:r w:rsidR="006828A6" w:rsidRPr="00EB0C51">
        <w:rPr>
          <w:rFonts w:cs="Arial"/>
          <w:bCs/>
          <w:color w:val="000000" w:themeColor="text1"/>
        </w:rPr>
        <w:t xml:space="preserve"> </w:t>
      </w:r>
      <w:r w:rsidR="00E877B6" w:rsidRPr="00EB0C51">
        <w:rPr>
          <w:rFonts w:cs="Arial"/>
          <w:bCs/>
          <w:color w:val="000000" w:themeColor="text1"/>
        </w:rPr>
        <w:t>porcentajes</w:t>
      </w:r>
      <w:r w:rsidR="006828A6" w:rsidRPr="00EB0C51">
        <w:rPr>
          <w:rFonts w:cs="Arial"/>
          <w:bCs/>
          <w:color w:val="000000" w:themeColor="text1"/>
        </w:rPr>
        <w:t xml:space="preserve"> de ejecución</w:t>
      </w:r>
      <w:r w:rsidR="00E877B6" w:rsidRPr="00EB0C51">
        <w:rPr>
          <w:rFonts w:cs="Arial"/>
          <w:bCs/>
          <w:color w:val="000000" w:themeColor="text1"/>
        </w:rPr>
        <w:t xml:space="preserve"> </w:t>
      </w:r>
      <w:r w:rsidR="000119D2" w:rsidRPr="00EB0C51">
        <w:rPr>
          <w:rFonts w:cs="Arial"/>
          <w:bCs/>
          <w:color w:val="000000" w:themeColor="text1"/>
        </w:rPr>
        <w:t xml:space="preserve">frente a los pagos </w:t>
      </w:r>
      <w:r w:rsidR="006828A6" w:rsidRPr="00EB0C51">
        <w:rPr>
          <w:rFonts w:cs="Arial"/>
          <w:bCs/>
          <w:color w:val="000000" w:themeColor="text1"/>
        </w:rPr>
        <w:t>inferiores</w:t>
      </w:r>
      <w:r w:rsidR="00E877B6" w:rsidRPr="00EB0C51">
        <w:rPr>
          <w:rFonts w:cs="Arial"/>
          <w:bCs/>
          <w:color w:val="000000" w:themeColor="text1"/>
        </w:rPr>
        <w:t xml:space="preserve"> al 40%</w:t>
      </w:r>
      <w:r w:rsidR="00800000" w:rsidRPr="00EB0C51">
        <w:rPr>
          <w:rFonts w:cs="Arial"/>
          <w:bCs/>
          <w:color w:val="000000" w:themeColor="text1"/>
        </w:rPr>
        <w:t xml:space="preserve"> y</w:t>
      </w:r>
      <w:r w:rsidR="00E877B6" w:rsidRPr="00EB0C51">
        <w:rPr>
          <w:rFonts w:cs="Arial"/>
          <w:bCs/>
          <w:color w:val="000000" w:themeColor="text1"/>
        </w:rPr>
        <w:t xml:space="preserve"> se solicitó a la Oficina Asesora de Planeación (En adelante OAP) </w:t>
      </w:r>
      <w:r w:rsidR="008B1E66" w:rsidRPr="00EB0C51">
        <w:rPr>
          <w:rFonts w:cs="Arial"/>
          <w:bCs/>
          <w:color w:val="000000" w:themeColor="text1"/>
        </w:rPr>
        <w:t>suministrar información acerca del grado de ejecución de mencionados rubros</w:t>
      </w:r>
      <w:r w:rsidR="00800000" w:rsidRPr="00EB0C51">
        <w:rPr>
          <w:rFonts w:cs="Arial"/>
          <w:bCs/>
          <w:color w:val="000000" w:themeColor="text1"/>
        </w:rPr>
        <w:t>;</w:t>
      </w:r>
      <w:r w:rsidR="008B1E66" w:rsidRPr="00EB0C51">
        <w:rPr>
          <w:rFonts w:cs="Arial"/>
          <w:bCs/>
          <w:color w:val="000000" w:themeColor="text1"/>
        </w:rPr>
        <w:t xml:space="preserve"> en seguida se presenta la tabla N</w:t>
      </w:r>
      <w:r w:rsidR="000878C0" w:rsidRPr="00EB0C51">
        <w:rPr>
          <w:rFonts w:cs="Arial"/>
          <w:bCs/>
          <w:color w:val="000000" w:themeColor="text1"/>
        </w:rPr>
        <w:t>o</w:t>
      </w:r>
      <w:r w:rsidR="008B1E66" w:rsidRPr="00EB0C51">
        <w:rPr>
          <w:rFonts w:cs="Arial"/>
          <w:bCs/>
          <w:color w:val="000000" w:themeColor="text1"/>
        </w:rPr>
        <w:t xml:space="preserve">. 5 que </w:t>
      </w:r>
      <w:r w:rsidR="00944705" w:rsidRPr="00EB0C51">
        <w:rPr>
          <w:rFonts w:cs="Arial"/>
          <w:bCs/>
          <w:color w:val="000000" w:themeColor="text1"/>
        </w:rPr>
        <w:t>exhibe</w:t>
      </w:r>
      <w:r w:rsidR="008B1E66" w:rsidRPr="00EB0C51">
        <w:rPr>
          <w:rFonts w:cs="Arial"/>
          <w:bCs/>
          <w:color w:val="000000" w:themeColor="text1"/>
        </w:rPr>
        <w:t xml:space="preserve"> </w:t>
      </w:r>
      <w:r w:rsidR="000C4BAB" w:rsidRPr="00EB0C51">
        <w:rPr>
          <w:rFonts w:cs="Arial"/>
          <w:bCs/>
          <w:color w:val="000000" w:themeColor="text1"/>
        </w:rPr>
        <w:t xml:space="preserve">la justificación dada por los responsables </w:t>
      </w:r>
      <w:r w:rsidR="000878C0" w:rsidRPr="00EB0C51">
        <w:rPr>
          <w:rFonts w:cs="Arial"/>
          <w:bCs/>
          <w:color w:val="000000" w:themeColor="text1"/>
        </w:rPr>
        <w:t>de ejecutar los rubros escogidos</w:t>
      </w:r>
      <w:r w:rsidR="00511C66" w:rsidRPr="00EB0C51">
        <w:rPr>
          <w:rFonts w:cs="Arial"/>
          <w:bCs/>
          <w:color w:val="000000" w:themeColor="text1"/>
        </w:rPr>
        <w:t xml:space="preserve"> en la muestra</w:t>
      </w:r>
      <w:r w:rsidR="000878C0" w:rsidRPr="00EB0C51">
        <w:rPr>
          <w:rFonts w:cs="Arial"/>
          <w:bCs/>
          <w:color w:val="000000" w:themeColor="text1"/>
        </w:rPr>
        <w:t xml:space="preserve">. </w:t>
      </w:r>
      <w:r w:rsidR="00471A51" w:rsidRPr="00EB0C51">
        <w:rPr>
          <w:rFonts w:cs="Arial"/>
          <w:bCs/>
          <w:color w:val="000000" w:themeColor="text1"/>
        </w:rPr>
        <w:t xml:space="preserve">Es de mencionar que citadas justificaciones fueron consolidadas y enviadas por la OAP a la OCI. </w:t>
      </w:r>
      <w:r w:rsidR="000C4BAB" w:rsidRPr="00EB0C51">
        <w:rPr>
          <w:rFonts w:cs="Arial"/>
          <w:bCs/>
          <w:color w:val="000000" w:themeColor="text1"/>
        </w:rPr>
        <w:t xml:space="preserve"> </w:t>
      </w:r>
    </w:p>
    <w:p w14:paraId="1576A6C3" w14:textId="01DF2BEF" w:rsidR="00210E5B" w:rsidRPr="00EB0C51" w:rsidRDefault="000C4BAB" w:rsidP="00FC6415">
      <w:pPr>
        <w:pStyle w:val="Descripcin"/>
        <w:jc w:val="center"/>
        <w:rPr>
          <w:rFonts w:cs="Arial"/>
          <w:i w:val="0"/>
          <w:iCs w:val="0"/>
          <w:color w:val="000000" w:themeColor="text1"/>
          <w:sz w:val="24"/>
          <w:szCs w:val="24"/>
        </w:rPr>
      </w:pPr>
      <w:r w:rsidRPr="00EB0C51">
        <w:rPr>
          <w:rFonts w:cs="Arial"/>
          <w:color w:val="000000" w:themeColor="text1"/>
          <w:sz w:val="24"/>
          <w:szCs w:val="24"/>
        </w:rPr>
        <w:lastRenderedPageBreak/>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5</w:t>
      </w:r>
      <w:r w:rsidRPr="00EB0C51">
        <w:rPr>
          <w:rFonts w:cs="Arial"/>
          <w:color w:val="000000" w:themeColor="text1"/>
          <w:sz w:val="24"/>
          <w:szCs w:val="24"/>
        </w:rPr>
        <w:fldChar w:fldCharType="end"/>
      </w:r>
      <w:r w:rsidRPr="00EB0C51">
        <w:rPr>
          <w:rFonts w:cs="Arial"/>
          <w:color w:val="000000" w:themeColor="text1"/>
          <w:sz w:val="24"/>
          <w:szCs w:val="24"/>
        </w:rPr>
        <w:t>.</w:t>
      </w:r>
      <w:r w:rsidRPr="00EB0C51">
        <w:rPr>
          <w:rFonts w:cs="Arial"/>
          <w:color w:val="000000" w:themeColor="text1"/>
        </w:rPr>
        <w:t xml:space="preserve"> </w:t>
      </w:r>
      <w:r w:rsidRPr="00EB0C51">
        <w:rPr>
          <w:rFonts w:cs="Arial"/>
          <w:i w:val="0"/>
          <w:iCs w:val="0"/>
          <w:color w:val="000000" w:themeColor="text1"/>
          <w:sz w:val="24"/>
          <w:szCs w:val="24"/>
        </w:rPr>
        <w:t xml:space="preserve">Justificación grado de ejecución del pago </w:t>
      </w:r>
      <w:r w:rsidR="0050473C" w:rsidRPr="00EB0C51">
        <w:rPr>
          <w:rFonts w:cs="Arial"/>
          <w:i w:val="0"/>
          <w:iCs w:val="0"/>
          <w:color w:val="000000" w:themeColor="text1"/>
          <w:sz w:val="24"/>
          <w:szCs w:val="24"/>
        </w:rPr>
        <w:t xml:space="preserve">de </w:t>
      </w:r>
      <w:r w:rsidRPr="00EB0C51">
        <w:rPr>
          <w:rFonts w:cs="Arial"/>
          <w:i w:val="0"/>
          <w:iCs w:val="0"/>
          <w:color w:val="000000" w:themeColor="text1"/>
          <w:sz w:val="24"/>
          <w:szCs w:val="24"/>
        </w:rPr>
        <w:t>rubros de la reserva presupuestal 2020, con corte a junio de 2021</w:t>
      </w:r>
    </w:p>
    <w:p w14:paraId="2D5EAE65" w14:textId="7903BD5C" w:rsidR="009319A9" w:rsidRPr="00EB0C51" w:rsidRDefault="00210E5B" w:rsidP="009319A9">
      <w:pPr>
        <w:pStyle w:val="Descripcin"/>
        <w:ind w:left="-993"/>
        <w:rPr>
          <w:rFonts w:cs="Arial"/>
          <w:i w:val="0"/>
          <w:iCs w:val="0"/>
          <w:color w:val="000000" w:themeColor="text1"/>
          <w:sz w:val="20"/>
          <w:szCs w:val="20"/>
        </w:rPr>
      </w:pPr>
      <w:r w:rsidRPr="00EB0C51">
        <w:rPr>
          <w:rFonts w:cs="Arial"/>
          <w:i w:val="0"/>
          <w:iCs w:val="0"/>
          <w:color w:val="000000" w:themeColor="text1"/>
          <w:sz w:val="20"/>
          <w:szCs w:val="20"/>
        </w:rPr>
        <w:t>Cifras expresadas en peso</w:t>
      </w:r>
      <w:r w:rsidR="009709A0" w:rsidRPr="00EB0C51">
        <w:rPr>
          <w:rFonts w:cs="Arial"/>
          <w:i w:val="0"/>
          <w:iCs w:val="0"/>
          <w:color w:val="000000" w:themeColor="text1"/>
          <w:sz w:val="20"/>
          <w:szCs w:val="20"/>
        </w:rPr>
        <w:t>s</w:t>
      </w:r>
    </w:p>
    <w:tbl>
      <w:tblPr>
        <w:tblW w:w="15594" w:type="dxa"/>
        <w:tblInd w:w="-998" w:type="dxa"/>
        <w:tblLayout w:type="fixed"/>
        <w:tblCellMar>
          <w:left w:w="70" w:type="dxa"/>
          <w:right w:w="70" w:type="dxa"/>
        </w:tblCellMar>
        <w:tblLook w:val="04A0" w:firstRow="1" w:lastRow="0" w:firstColumn="1" w:lastColumn="0" w:noHBand="0" w:noVBand="1"/>
      </w:tblPr>
      <w:tblGrid>
        <w:gridCol w:w="567"/>
        <w:gridCol w:w="1748"/>
        <w:gridCol w:w="1497"/>
        <w:gridCol w:w="1809"/>
        <w:gridCol w:w="1809"/>
        <w:gridCol w:w="652"/>
        <w:gridCol w:w="1642"/>
        <w:gridCol w:w="541"/>
        <w:gridCol w:w="5329"/>
      </w:tblGrid>
      <w:tr w:rsidR="009319A9" w:rsidRPr="00EB0C51" w14:paraId="0CEFE55F" w14:textId="77777777" w:rsidTr="009319A9">
        <w:trPr>
          <w:cantSplit/>
          <w:trHeight w:val="96"/>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50D1"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Ítem</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06D35073"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Nombre del rubro</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73C1FC2E"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Dependencia responsable</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73F45796"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Apropiación Comprometida</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7FD0FE77"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Obligación</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0FBF0781"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2E8FA579"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Pago</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57CBE2FB"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w:t>
            </w:r>
          </w:p>
        </w:tc>
        <w:tc>
          <w:tcPr>
            <w:tcW w:w="5329" w:type="dxa"/>
            <w:tcBorders>
              <w:top w:val="single" w:sz="4" w:space="0" w:color="auto"/>
              <w:left w:val="nil"/>
              <w:bottom w:val="single" w:sz="4" w:space="0" w:color="auto"/>
              <w:right w:val="single" w:sz="4" w:space="0" w:color="auto"/>
            </w:tcBorders>
            <w:shd w:val="clear" w:color="auto" w:fill="auto"/>
            <w:vAlign w:val="center"/>
            <w:hideMark/>
          </w:tcPr>
          <w:p w14:paraId="43CF90B9" w14:textId="77777777" w:rsidR="009319A9" w:rsidRPr="00EB0C51" w:rsidRDefault="009319A9" w:rsidP="009319A9">
            <w:pPr>
              <w:jc w:val="center"/>
              <w:rPr>
                <w:rFonts w:cs="Arial"/>
                <w:i/>
                <w:iCs/>
                <w:color w:val="000000"/>
                <w:sz w:val="20"/>
                <w:szCs w:val="20"/>
                <w:lang w:eastAsia="es-CO"/>
              </w:rPr>
            </w:pPr>
            <w:r w:rsidRPr="00EB0C51">
              <w:rPr>
                <w:rFonts w:cs="Arial"/>
                <w:i/>
                <w:iCs/>
                <w:color w:val="000000"/>
                <w:sz w:val="20"/>
                <w:szCs w:val="20"/>
                <w:lang w:eastAsia="es-CO"/>
              </w:rPr>
              <w:t>Justificación frente a la ejecución del rubro a junio de 2021</w:t>
            </w:r>
          </w:p>
        </w:tc>
      </w:tr>
      <w:tr w:rsidR="009319A9" w:rsidRPr="00EB0C51" w14:paraId="01E955B2" w14:textId="77777777" w:rsidTr="009319A9">
        <w:trPr>
          <w:cantSplit/>
          <w:trHeight w:val="84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3F3105"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w:t>
            </w:r>
          </w:p>
        </w:tc>
        <w:tc>
          <w:tcPr>
            <w:tcW w:w="1748" w:type="dxa"/>
            <w:tcBorders>
              <w:top w:val="nil"/>
              <w:left w:val="nil"/>
              <w:bottom w:val="single" w:sz="4" w:space="0" w:color="auto"/>
              <w:right w:val="single" w:sz="4" w:space="0" w:color="auto"/>
            </w:tcBorders>
            <w:shd w:val="clear" w:color="auto" w:fill="auto"/>
            <w:vAlign w:val="center"/>
            <w:hideMark/>
          </w:tcPr>
          <w:p w14:paraId="15487FE9"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Fondo de Mitigación de Emergencias - FOME</w:t>
            </w:r>
          </w:p>
        </w:tc>
        <w:tc>
          <w:tcPr>
            <w:tcW w:w="1497" w:type="dxa"/>
            <w:tcBorders>
              <w:top w:val="nil"/>
              <w:left w:val="nil"/>
              <w:bottom w:val="single" w:sz="4" w:space="0" w:color="auto"/>
              <w:right w:val="single" w:sz="4" w:space="0" w:color="auto"/>
            </w:tcBorders>
            <w:shd w:val="clear" w:color="auto" w:fill="auto"/>
            <w:vAlign w:val="center"/>
            <w:hideMark/>
          </w:tcPr>
          <w:p w14:paraId="195FC11F"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Viceministerio</w:t>
            </w:r>
            <w:r w:rsidRPr="00EB0C51">
              <w:rPr>
                <w:rFonts w:cs="Arial"/>
                <w:color w:val="000000"/>
                <w:sz w:val="20"/>
                <w:szCs w:val="20"/>
                <w:lang w:eastAsia="es-CO"/>
              </w:rPr>
              <w:br/>
              <w:t>Técnico</w:t>
            </w:r>
          </w:p>
        </w:tc>
        <w:tc>
          <w:tcPr>
            <w:tcW w:w="1809" w:type="dxa"/>
            <w:tcBorders>
              <w:top w:val="nil"/>
              <w:left w:val="nil"/>
              <w:bottom w:val="single" w:sz="4" w:space="0" w:color="auto"/>
              <w:right w:val="single" w:sz="4" w:space="0" w:color="auto"/>
            </w:tcBorders>
            <w:shd w:val="clear" w:color="auto" w:fill="auto"/>
            <w:noWrap/>
            <w:vAlign w:val="center"/>
            <w:hideMark/>
          </w:tcPr>
          <w:p w14:paraId="098093F0"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1.286.912.750.875</w:t>
            </w:r>
          </w:p>
        </w:tc>
        <w:tc>
          <w:tcPr>
            <w:tcW w:w="1809" w:type="dxa"/>
            <w:tcBorders>
              <w:top w:val="nil"/>
              <w:left w:val="nil"/>
              <w:bottom w:val="single" w:sz="4" w:space="0" w:color="auto"/>
              <w:right w:val="single" w:sz="4" w:space="0" w:color="auto"/>
            </w:tcBorders>
            <w:shd w:val="clear" w:color="auto" w:fill="auto"/>
            <w:noWrap/>
            <w:vAlign w:val="center"/>
            <w:hideMark/>
          </w:tcPr>
          <w:p w14:paraId="24B81137"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1.286.143.597.474</w:t>
            </w:r>
          </w:p>
        </w:tc>
        <w:tc>
          <w:tcPr>
            <w:tcW w:w="652" w:type="dxa"/>
            <w:tcBorders>
              <w:top w:val="nil"/>
              <w:left w:val="nil"/>
              <w:bottom w:val="single" w:sz="4" w:space="0" w:color="auto"/>
              <w:right w:val="single" w:sz="4" w:space="0" w:color="auto"/>
            </w:tcBorders>
            <w:shd w:val="clear" w:color="auto" w:fill="auto"/>
            <w:noWrap/>
            <w:vAlign w:val="center"/>
            <w:hideMark/>
          </w:tcPr>
          <w:p w14:paraId="44793935"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100%</w:t>
            </w:r>
          </w:p>
        </w:tc>
        <w:tc>
          <w:tcPr>
            <w:tcW w:w="1642" w:type="dxa"/>
            <w:tcBorders>
              <w:top w:val="nil"/>
              <w:left w:val="nil"/>
              <w:bottom w:val="single" w:sz="4" w:space="0" w:color="auto"/>
              <w:right w:val="single" w:sz="4" w:space="0" w:color="auto"/>
            </w:tcBorders>
            <w:shd w:val="clear" w:color="auto" w:fill="auto"/>
            <w:noWrap/>
            <w:vAlign w:val="center"/>
            <w:hideMark/>
          </w:tcPr>
          <w:p w14:paraId="79947201"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61.014.389.115</w:t>
            </w:r>
          </w:p>
        </w:tc>
        <w:tc>
          <w:tcPr>
            <w:tcW w:w="541" w:type="dxa"/>
            <w:tcBorders>
              <w:top w:val="nil"/>
              <w:left w:val="nil"/>
              <w:bottom w:val="single" w:sz="4" w:space="0" w:color="auto"/>
              <w:right w:val="single" w:sz="4" w:space="0" w:color="auto"/>
            </w:tcBorders>
            <w:shd w:val="clear" w:color="auto" w:fill="auto"/>
            <w:noWrap/>
            <w:vAlign w:val="center"/>
            <w:hideMark/>
          </w:tcPr>
          <w:p w14:paraId="4EE682B4"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5%</w:t>
            </w:r>
          </w:p>
        </w:tc>
        <w:tc>
          <w:tcPr>
            <w:tcW w:w="5329" w:type="dxa"/>
            <w:tcBorders>
              <w:top w:val="nil"/>
              <w:left w:val="nil"/>
              <w:bottom w:val="single" w:sz="4" w:space="0" w:color="auto"/>
              <w:right w:val="single" w:sz="4" w:space="0" w:color="auto"/>
            </w:tcBorders>
            <w:shd w:val="clear" w:color="auto" w:fill="auto"/>
            <w:vAlign w:val="center"/>
            <w:hideMark/>
          </w:tcPr>
          <w:p w14:paraId="7C31146B"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 xml:space="preserve">De acuerdo con lo manifestado por el responsable, la reserva constituida para la vigencia 2020 corresponde al pago del subsidio a las comisiones del programa Unidos por Colombia del Fondo Nacional de Garantías, el pago del 95% de los compromisos está delimitado por el cumplimiento  de las disposiciones contenidas en el Decreto 1806 de 2020. </w:t>
            </w:r>
          </w:p>
        </w:tc>
      </w:tr>
      <w:tr w:rsidR="009319A9" w:rsidRPr="00EB0C51" w14:paraId="22CAA1F6" w14:textId="77777777" w:rsidTr="009319A9">
        <w:trPr>
          <w:cantSplit/>
          <w:trHeight w:val="3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8934D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w:t>
            </w:r>
          </w:p>
        </w:tc>
        <w:tc>
          <w:tcPr>
            <w:tcW w:w="1748" w:type="dxa"/>
            <w:tcBorders>
              <w:top w:val="nil"/>
              <w:left w:val="nil"/>
              <w:bottom w:val="single" w:sz="4" w:space="0" w:color="auto"/>
              <w:right w:val="single" w:sz="4" w:space="0" w:color="auto"/>
            </w:tcBorders>
            <w:shd w:val="clear" w:color="auto" w:fill="auto"/>
            <w:vAlign w:val="center"/>
            <w:hideMark/>
          </w:tcPr>
          <w:p w14:paraId="7DBD68F5"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Departamento Archipiélago de San Andrés, Providencia y Santa Catalina (ley 1a. de 1972)</w:t>
            </w:r>
          </w:p>
        </w:tc>
        <w:tc>
          <w:tcPr>
            <w:tcW w:w="1497" w:type="dxa"/>
            <w:tcBorders>
              <w:top w:val="nil"/>
              <w:left w:val="nil"/>
              <w:bottom w:val="single" w:sz="4" w:space="0" w:color="auto"/>
              <w:right w:val="single" w:sz="4" w:space="0" w:color="auto"/>
            </w:tcBorders>
            <w:shd w:val="clear" w:color="auto" w:fill="auto"/>
            <w:vAlign w:val="center"/>
            <w:hideMark/>
          </w:tcPr>
          <w:p w14:paraId="66708726"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Subdirección Financiera</w:t>
            </w:r>
          </w:p>
        </w:tc>
        <w:tc>
          <w:tcPr>
            <w:tcW w:w="1809" w:type="dxa"/>
            <w:tcBorders>
              <w:top w:val="nil"/>
              <w:left w:val="nil"/>
              <w:bottom w:val="single" w:sz="4" w:space="0" w:color="auto"/>
              <w:right w:val="single" w:sz="4" w:space="0" w:color="auto"/>
            </w:tcBorders>
            <w:shd w:val="clear" w:color="auto" w:fill="auto"/>
            <w:noWrap/>
            <w:vAlign w:val="center"/>
            <w:hideMark/>
          </w:tcPr>
          <w:p w14:paraId="05FD984C"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45.052.116.886</w:t>
            </w:r>
          </w:p>
        </w:tc>
        <w:tc>
          <w:tcPr>
            <w:tcW w:w="1809" w:type="dxa"/>
            <w:tcBorders>
              <w:top w:val="nil"/>
              <w:left w:val="nil"/>
              <w:bottom w:val="single" w:sz="4" w:space="0" w:color="auto"/>
              <w:right w:val="single" w:sz="4" w:space="0" w:color="auto"/>
            </w:tcBorders>
            <w:shd w:val="clear" w:color="auto" w:fill="auto"/>
            <w:noWrap/>
            <w:vAlign w:val="center"/>
            <w:hideMark/>
          </w:tcPr>
          <w:p w14:paraId="6CC846C4"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10.230.966.432</w:t>
            </w:r>
          </w:p>
        </w:tc>
        <w:tc>
          <w:tcPr>
            <w:tcW w:w="652" w:type="dxa"/>
            <w:tcBorders>
              <w:top w:val="nil"/>
              <w:left w:val="nil"/>
              <w:bottom w:val="single" w:sz="4" w:space="0" w:color="auto"/>
              <w:right w:val="single" w:sz="4" w:space="0" w:color="auto"/>
            </w:tcBorders>
            <w:shd w:val="clear" w:color="auto" w:fill="auto"/>
            <w:noWrap/>
            <w:vAlign w:val="center"/>
            <w:hideMark/>
          </w:tcPr>
          <w:p w14:paraId="5A4FBF05"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23%</w:t>
            </w:r>
          </w:p>
        </w:tc>
        <w:tc>
          <w:tcPr>
            <w:tcW w:w="1642" w:type="dxa"/>
            <w:tcBorders>
              <w:top w:val="nil"/>
              <w:left w:val="nil"/>
              <w:bottom w:val="single" w:sz="4" w:space="0" w:color="auto"/>
              <w:right w:val="single" w:sz="4" w:space="0" w:color="auto"/>
            </w:tcBorders>
            <w:shd w:val="clear" w:color="auto" w:fill="auto"/>
            <w:noWrap/>
            <w:vAlign w:val="center"/>
            <w:hideMark/>
          </w:tcPr>
          <w:p w14:paraId="405FF95C"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10.230.966.432</w:t>
            </w:r>
          </w:p>
        </w:tc>
        <w:tc>
          <w:tcPr>
            <w:tcW w:w="541" w:type="dxa"/>
            <w:tcBorders>
              <w:top w:val="nil"/>
              <w:left w:val="nil"/>
              <w:bottom w:val="single" w:sz="4" w:space="0" w:color="auto"/>
              <w:right w:val="single" w:sz="4" w:space="0" w:color="auto"/>
            </w:tcBorders>
            <w:shd w:val="clear" w:color="auto" w:fill="auto"/>
            <w:noWrap/>
            <w:vAlign w:val="center"/>
            <w:hideMark/>
          </w:tcPr>
          <w:p w14:paraId="3CEE1065"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23%</w:t>
            </w:r>
          </w:p>
        </w:tc>
        <w:tc>
          <w:tcPr>
            <w:tcW w:w="5329" w:type="dxa"/>
            <w:tcBorders>
              <w:top w:val="nil"/>
              <w:left w:val="nil"/>
              <w:bottom w:val="single" w:sz="4" w:space="0" w:color="auto"/>
              <w:right w:val="single" w:sz="4" w:space="0" w:color="auto"/>
            </w:tcBorders>
            <w:shd w:val="clear" w:color="auto" w:fill="auto"/>
            <w:vAlign w:val="center"/>
            <w:hideMark/>
          </w:tcPr>
          <w:p w14:paraId="13F7C198"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 xml:space="preserve">Según lo comentado por el responsable, en aplicación de lo dispuesto en el artículo 23 de la Ley 1 de 1972 y la Ley 1528 de 2012, la ejecución de los recursos asignados a este rubro depende del comportamiento del recaudo de los impuestos de carácter nacional en el Departamento del Archipiélago de San Andrés, Providencia y Santa Catalina, para lo cual la Dirección de Impuestos y Aduanas Nacionales (En adelante DIAN) debe remitir la certificación del recaudo a la Subdirección Financiera del MHCP y conforme con esta se efectúa la transferencia de los recursos a la Gobernación. </w:t>
            </w:r>
            <w:r w:rsidRPr="00EB0C51">
              <w:rPr>
                <w:rFonts w:cs="Arial"/>
                <w:color w:val="000000"/>
                <w:sz w:val="20"/>
                <w:szCs w:val="20"/>
                <w:lang w:eastAsia="es-CO"/>
              </w:rPr>
              <w:br/>
            </w:r>
            <w:r w:rsidRPr="00EB0C51">
              <w:rPr>
                <w:rFonts w:cs="Arial"/>
                <w:color w:val="000000"/>
                <w:sz w:val="20"/>
                <w:szCs w:val="20"/>
                <w:lang w:eastAsia="es-CO"/>
              </w:rPr>
              <w:br/>
              <w:t xml:space="preserve">En este contexto, a 31 de diciembre de 2020, ante la falta de la certificación de los valores definitivos correspondientes a los meses de octubre, noviembre y diciembre, se constituyó la reserva presupuestal por el saldo de la apropiación. En la vigencia 2021, se recibió la certificación de los recaudos por parte de la DIAN y el 4 de marzo se efectuó la transferencia de los recursos a la Gobernación. En consecuencia, el saldo de la reserva no se va a utilizar y en los términos del artículo 2.8.1.7.3.4 del Decreto 1068 de 2015 se elaborará el acta de cancelación de dicho saldo. </w:t>
            </w:r>
          </w:p>
        </w:tc>
      </w:tr>
      <w:tr w:rsidR="009319A9" w:rsidRPr="00EB0C51" w14:paraId="39E41AB0" w14:textId="77777777" w:rsidTr="009319A9">
        <w:trPr>
          <w:cantSplit/>
          <w:trHeight w:val="3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B4279E"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lastRenderedPageBreak/>
              <w:t>3</w:t>
            </w:r>
          </w:p>
        </w:tc>
        <w:tc>
          <w:tcPr>
            <w:tcW w:w="1748" w:type="dxa"/>
            <w:tcBorders>
              <w:top w:val="nil"/>
              <w:left w:val="nil"/>
              <w:bottom w:val="single" w:sz="4" w:space="0" w:color="auto"/>
              <w:right w:val="single" w:sz="4" w:space="0" w:color="auto"/>
            </w:tcBorders>
            <w:shd w:val="clear" w:color="auto" w:fill="auto"/>
            <w:vAlign w:val="center"/>
            <w:hideMark/>
          </w:tcPr>
          <w:p w14:paraId="6460BCA7"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Fondo de Desarrollo para la Guajira - FONDEG, artículo 19 ley 677 de 2001</w:t>
            </w:r>
          </w:p>
        </w:tc>
        <w:tc>
          <w:tcPr>
            <w:tcW w:w="1497" w:type="dxa"/>
            <w:tcBorders>
              <w:top w:val="nil"/>
              <w:left w:val="nil"/>
              <w:bottom w:val="single" w:sz="4" w:space="0" w:color="auto"/>
              <w:right w:val="single" w:sz="4" w:space="0" w:color="auto"/>
            </w:tcBorders>
            <w:shd w:val="clear" w:color="auto" w:fill="auto"/>
            <w:vAlign w:val="center"/>
            <w:hideMark/>
          </w:tcPr>
          <w:p w14:paraId="6E322DD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Subdirección Financiera</w:t>
            </w:r>
          </w:p>
        </w:tc>
        <w:tc>
          <w:tcPr>
            <w:tcW w:w="1809" w:type="dxa"/>
            <w:tcBorders>
              <w:top w:val="nil"/>
              <w:left w:val="nil"/>
              <w:bottom w:val="single" w:sz="4" w:space="0" w:color="auto"/>
              <w:right w:val="single" w:sz="4" w:space="0" w:color="auto"/>
            </w:tcBorders>
            <w:shd w:val="clear" w:color="auto" w:fill="auto"/>
            <w:noWrap/>
            <w:vAlign w:val="center"/>
            <w:hideMark/>
          </w:tcPr>
          <w:p w14:paraId="16160693"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7.930.949.000</w:t>
            </w:r>
          </w:p>
        </w:tc>
        <w:tc>
          <w:tcPr>
            <w:tcW w:w="1809" w:type="dxa"/>
            <w:tcBorders>
              <w:top w:val="nil"/>
              <w:left w:val="nil"/>
              <w:bottom w:val="single" w:sz="4" w:space="0" w:color="auto"/>
              <w:right w:val="single" w:sz="4" w:space="0" w:color="auto"/>
            </w:tcBorders>
            <w:shd w:val="clear" w:color="auto" w:fill="auto"/>
            <w:noWrap/>
            <w:vAlign w:val="center"/>
            <w:hideMark/>
          </w:tcPr>
          <w:p w14:paraId="6606EAF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1.996.117.000</w:t>
            </w:r>
          </w:p>
        </w:tc>
        <w:tc>
          <w:tcPr>
            <w:tcW w:w="652" w:type="dxa"/>
            <w:tcBorders>
              <w:top w:val="nil"/>
              <w:left w:val="nil"/>
              <w:bottom w:val="single" w:sz="4" w:space="0" w:color="auto"/>
              <w:right w:val="single" w:sz="4" w:space="0" w:color="auto"/>
            </w:tcBorders>
            <w:shd w:val="clear" w:color="auto" w:fill="auto"/>
            <w:noWrap/>
            <w:vAlign w:val="center"/>
            <w:hideMark/>
          </w:tcPr>
          <w:p w14:paraId="32714DC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25%</w:t>
            </w:r>
          </w:p>
        </w:tc>
        <w:tc>
          <w:tcPr>
            <w:tcW w:w="1642" w:type="dxa"/>
            <w:tcBorders>
              <w:top w:val="nil"/>
              <w:left w:val="nil"/>
              <w:bottom w:val="single" w:sz="4" w:space="0" w:color="auto"/>
              <w:right w:val="single" w:sz="4" w:space="0" w:color="auto"/>
            </w:tcBorders>
            <w:shd w:val="clear" w:color="auto" w:fill="auto"/>
            <w:noWrap/>
            <w:vAlign w:val="center"/>
            <w:hideMark/>
          </w:tcPr>
          <w:p w14:paraId="3FC2177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1.996.117.000</w:t>
            </w:r>
          </w:p>
        </w:tc>
        <w:tc>
          <w:tcPr>
            <w:tcW w:w="541" w:type="dxa"/>
            <w:tcBorders>
              <w:top w:val="nil"/>
              <w:left w:val="nil"/>
              <w:bottom w:val="single" w:sz="4" w:space="0" w:color="auto"/>
              <w:right w:val="single" w:sz="4" w:space="0" w:color="auto"/>
            </w:tcBorders>
            <w:shd w:val="clear" w:color="auto" w:fill="auto"/>
            <w:noWrap/>
            <w:vAlign w:val="center"/>
            <w:hideMark/>
          </w:tcPr>
          <w:p w14:paraId="140B55AD"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25%</w:t>
            </w:r>
          </w:p>
        </w:tc>
        <w:tc>
          <w:tcPr>
            <w:tcW w:w="5329" w:type="dxa"/>
            <w:tcBorders>
              <w:top w:val="nil"/>
              <w:left w:val="nil"/>
              <w:bottom w:val="single" w:sz="4" w:space="0" w:color="auto"/>
              <w:right w:val="single" w:sz="4" w:space="0" w:color="auto"/>
            </w:tcBorders>
            <w:shd w:val="clear" w:color="auto" w:fill="auto"/>
            <w:vAlign w:val="center"/>
            <w:hideMark/>
          </w:tcPr>
          <w:p w14:paraId="11E283B9"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De acuerdo con lo mencionado por el responsable, en aplicación de lo dispuesto en los artículos 18 y 19 de la Ley 677 de 2001, la ejecución de los recursos asignados a este rubro depende del comportamiento del recaudo del impuesto de ingreso a la mercancía en Maicao, Uribia y Manaure, para lo cual la DIAN remite la certificación del recaudo a la Subdirección Financiera del MHCP y conforme con esta se efectúa la transferencia de los recursos a la Gobernación de la Guajira.</w:t>
            </w:r>
            <w:r w:rsidRPr="00EB0C51">
              <w:rPr>
                <w:rFonts w:cs="Arial"/>
                <w:color w:val="000000"/>
                <w:sz w:val="20"/>
                <w:szCs w:val="20"/>
                <w:lang w:eastAsia="es-CO"/>
              </w:rPr>
              <w:br/>
            </w:r>
            <w:r w:rsidRPr="00EB0C51">
              <w:rPr>
                <w:rFonts w:cs="Arial"/>
                <w:color w:val="000000"/>
                <w:sz w:val="20"/>
                <w:szCs w:val="20"/>
                <w:lang w:eastAsia="es-CO"/>
              </w:rPr>
              <w:br/>
              <w:t>En este contexto, a 31 de diciembre de 2020, ante la falta de la certificación de los valores definitivos correspondientes al segundo semestre de 2020, se constituyó la reserva presupuestal por el saldo de la apropiación. En la vigencia 2021, se recibió la certificación de los recaudos por parte de la DIAN y el 4 de marzo se efectuó la transferencia de los recursos a la Gobernación . En consecuencia, el saldo de la reserva no se va a utilizar y en los términos del artículo 2.8.1.7.3.4 del Decreto 1068 de 2015 se elaborará el acta de cancelación de dicho saldo.</w:t>
            </w:r>
          </w:p>
        </w:tc>
      </w:tr>
      <w:tr w:rsidR="009319A9" w:rsidRPr="00EB0C51" w14:paraId="5623A780" w14:textId="77777777" w:rsidTr="009319A9">
        <w:trPr>
          <w:cantSplit/>
          <w:trHeight w:val="30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E09A8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lastRenderedPageBreak/>
              <w:t>4</w:t>
            </w:r>
          </w:p>
        </w:tc>
        <w:tc>
          <w:tcPr>
            <w:tcW w:w="1748" w:type="dxa"/>
            <w:tcBorders>
              <w:top w:val="nil"/>
              <w:left w:val="nil"/>
              <w:bottom w:val="single" w:sz="4" w:space="0" w:color="auto"/>
              <w:right w:val="single" w:sz="4" w:space="0" w:color="auto"/>
            </w:tcBorders>
            <w:shd w:val="clear" w:color="auto" w:fill="auto"/>
            <w:vAlign w:val="center"/>
            <w:hideMark/>
          </w:tcPr>
          <w:p w14:paraId="0995A0B7"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Fondo de Reserva para la Estabilización de la Cartera Hipotecaria Banco de la República</w:t>
            </w:r>
          </w:p>
        </w:tc>
        <w:tc>
          <w:tcPr>
            <w:tcW w:w="1497" w:type="dxa"/>
            <w:tcBorders>
              <w:top w:val="nil"/>
              <w:left w:val="nil"/>
              <w:bottom w:val="single" w:sz="4" w:space="0" w:color="auto"/>
              <w:right w:val="single" w:sz="4" w:space="0" w:color="auto"/>
            </w:tcBorders>
            <w:shd w:val="clear" w:color="auto" w:fill="auto"/>
            <w:vAlign w:val="center"/>
            <w:hideMark/>
          </w:tcPr>
          <w:p w14:paraId="4C433444"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Subdirección Financiera</w:t>
            </w:r>
          </w:p>
        </w:tc>
        <w:tc>
          <w:tcPr>
            <w:tcW w:w="1809" w:type="dxa"/>
            <w:tcBorders>
              <w:top w:val="nil"/>
              <w:left w:val="nil"/>
              <w:bottom w:val="single" w:sz="4" w:space="0" w:color="auto"/>
              <w:right w:val="single" w:sz="4" w:space="0" w:color="auto"/>
            </w:tcBorders>
            <w:shd w:val="clear" w:color="auto" w:fill="auto"/>
            <w:noWrap/>
            <w:vAlign w:val="center"/>
            <w:hideMark/>
          </w:tcPr>
          <w:p w14:paraId="4938FFD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16.459.000.000</w:t>
            </w:r>
          </w:p>
        </w:tc>
        <w:tc>
          <w:tcPr>
            <w:tcW w:w="1809" w:type="dxa"/>
            <w:tcBorders>
              <w:top w:val="nil"/>
              <w:left w:val="nil"/>
              <w:bottom w:val="single" w:sz="4" w:space="0" w:color="auto"/>
              <w:right w:val="single" w:sz="4" w:space="0" w:color="auto"/>
            </w:tcBorders>
            <w:shd w:val="clear" w:color="auto" w:fill="auto"/>
            <w:noWrap/>
            <w:vAlign w:val="center"/>
            <w:hideMark/>
          </w:tcPr>
          <w:p w14:paraId="2ABC1E4C"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2.682.479.375</w:t>
            </w:r>
          </w:p>
        </w:tc>
        <w:tc>
          <w:tcPr>
            <w:tcW w:w="652" w:type="dxa"/>
            <w:tcBorders>
              <w:top w:val="nil"/>
              <w:left w:val="nil"/>
              <w:bottom w:val="single" w:sz="4" w:space="0" w:color="auto"/>
              <w:right w:val="single" w:sz="4" w:space="0" w:color="auto"/>
            </w:tcBorders>
            <w:shd w:val="clear" w:color="auto" w:fill="auto"/>
            <w:noWrap/>
            <w:vAlign w:val="center"/>
            <w:hideMark/>
          </w:tcPr>
          <w:p w14:paraId="0DE303C2"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16%</w:t>
            </w:r>
          </w:p>
        </w:tc>
        <w:tc>
          <w:tcPr>
            <w:tcW w:w="1642" w:type="dxa"/>
            <w:tcBorders>
              <w:top w:val="nil"/>
              <w:left w:val="nil"/>
              <w:bottom w:val="single" w:sz="4" w:space="0" w:color="auto"/>
              <w:right w:val="single" w:sz="4" w:space="0" w:color="auto"/>
            </w:tcBorders>
            <w:shd w:val="clear" w:color="auto" w:fill="auto"/>
            <w:noWrap/>
            <w:vAlign w:val="center"/>
            <w:hideMark/>
          </w:tcPr>
          <w:p w14:paraId="5913DB27"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2.682.479.375</w:t>
            </w:r>
          </w:p>
        </w:tc>
        <w:tc>
          <w:tcPr>
            <w:tcW w:w="541" w:type="dxa"/>
            <w:tcBorders>
              <w:top w:val="nil"/>
              <w:left w:val="nil"/>
              <w:bottom w:val="single" w:sz="4" w:space="0" w:color="auto"/>
              <w:right w:val="single" w:sz="4" w:space="0" w:color="auto"/>
            </w:tcBorders>
            <w:shd w:val="clear" w:color="auto" w:fill="auto"/>
            <w:noWrap/>
            <w:vAlign w:val="center"/>
            <w:hideMark/>
          </w:tcPr>
          <w:p w14:paraId="69CB516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16%</w:t>
            </w:r>
          </w:p>
        </w:tc>
        <w:tc>
          <w:tcPr>
            <w:tcW w:w="5329" w:type="dxa"/>
            <w:tcBorders>
              <w:top w:val="nil"/>
              <w:left w:val="nil"/>
              <w:bottom w:val="single" w:sz="4" w:space="0" w:color="auto"/>
              <w:right w:val="single" w:sz="4" w:space="0" w:color="auto"/>
            </w:tcBorders>
            <w:shd w:val="clear" w:color="auto" w:fill="auto"/>
            <w:vAlign w:val="center"/>
            <w:hideMark/>
          </w:tcPr>
          <w:p w14:paraId="37FF3F14"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Según lo reportado por el responsable, la ejecución de los recursos asignados a este rubro se da en aplicación de lo dispuesto en el numeral 4 del artículo 48 de la Ley 546 de 1999, por lo cual se requiere que el Banco de la República como administrador del Fondo de Reserva para la Estabilización de la Cartera Hipotecaria - FRECH efectué el cierre contable e informe el monto final de los rendimientos financieros a 31 de diciembre de cada año.</w:t>
            </w:r>
            <w:r w:rsidRPr="00EB0C51">
              <w:rPr>
                <w:rFonts w:cs="Arial"/>
                <w:color w:val="000000"/>
                <w:sz w:val="20"/>
                <w:szCs w:val="20"/>
                <w:lang w:eastAsia="es-CO"/>
              </w:rPr>
              <w:br/>
            </w:r>
            <w:r w:rsidRPr="00EB0C51">
              <w:rPr>
                <w:rFonts w:cs="Arial"/>
                <w:color w:val="000000"/>
                <w:sz w:val="20"/>
                <w:szCs w:val="20"/>
                <w:lang w:eastAsia="es-CO"/>
              </w:rPr>
              <w:br/>
              <w:t xml:space="preserve">Por lo anterior y dado que a 31 de diciembre de 2020 no se conocía el valor final de los rendimientos financieros, se constituyó la reserva presupuestal por el saldo de la apropiación. En la vigencia 2021, una vez recibida la información por parte del Banco de la República, el 12 de marzo se efectuó la ejecución sin situación de fondos. En consecuencia el saldo de la reserva no se va a utilizar y en los términos del artículo 2.8.1.7.3.4 del Decreto 1068 de 2015 se elaborará el acta de cancelación de dicho saldo. </w:t>
            </w:r>
          </w:p>
        </w:tc>
      </w:tr>
      <w:tr w:rsidR="009319A9" w:rsidRPr="00EB0C51" w14:paraId="7DB87638" w14:textId="77777777" w:rsidTr="009319A9">
        <w:trPr>
          <w:cantSplit/>
          <w:trHeight w:val="30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DDAD0C"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lastRenderedPageBreak/>
              <w:t>5</w:t>
            </w:r>
          </w:p>
        </w:tc>
        <w:tc>
          <w:tcPr>
            <w:tcW w:w="1748" w:type="dxa"/>
            <w:tcBorders>
              <w:top w:val="nil"/>
              <w:left w:val="nil"/>
              <w:bottom w:val="single" w:sz="4" w:space="0" w:color="auto"/>
              <w:right w:val="single" w:sz="4" w:space="0" w:color="auto"/>
            </w:tcBorders>
            <w:shd w:val="clear" w:color="auto" w:fill="auto"/>
            <w:vAlign w:val="center"/>
            <w:hideMark/>
          </w:tcPr>
          <w:p w14:paraId="43446D24"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Municipios de la Ribera del Río Magdalena - Asignaciones Especiales</w:t>
            </w:r>
          </w:p>
        </w:tc>
        <w:tc>
          <w:tcPr>
            <w:tcW w:w="1497" w:type="dxa"/>
            <w:tcBorders>
              <w:top w:val="nil"/>
              <w:left w:val="nil"/>
              <w:bottom w:val="single" w:sz="4" w:space="0" w:color="auto"/>
              <w:right w:val="single" w:sz="4" w:space="0" w:color="auto"/>
            </w:tcBorders>
            <w:shd w:val="clear" w:color="auto" w:fill="auto"/>
            <w:vAlign w:val="center"/>
            <w:hideMark/>
          </w:tcPr>
          <w:p w14:paraId="331BD85E"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Subdirección Financiera</w:t>
            </w:r>
          </w:p>
        </w:tc>
        <w:tc>
          <w:tcPr>
            <w:tcW w:w="1809" w:type="dxa"/>
            <w:tcBorders>
              <w:top w:val="nil"/>
              <w:left w:val="nil"/>
              <w:bottom w:val="single" w:sz="4" w:space="0" w:color="auto"/>
              <w:right w:val="single" w:sz="4" w:space="0" w:color="auto"/>
            </w:tcBorders>
            <w:shd w:val="clear" w:color="auto" w:fill="auto"/>
            <w:noWrap/>
            <w:vAlign w:val="center"/>
            <w:hideMark/>
          </w:tcPr>
          <w:p w14:paraId="4E486344"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1.441.809.787</w:t>
            </w:r>
          </w:p>
        </w:tc>
        <w:tc>
          <w:tcPr>
            <w:tcW w:w="1809" w:type="dxa"/>
            <w:tcBorders>
              <w:top w:val="nil"/>
              <w:left w:val="nil"/>
              <w:bottom w:val="single" w:sz="4" w:space="0" w:color="auto"/>
              <w:right w:val="single" w:sz="4" w:space="0" w:color="auto"/>
            </w:tcBorders>
            <w:shd w:val="clear" w:color="auto" w:fill="auto"/>
            <w:noWrap/>
            <w:vAlign w:val="center"/>
            <w:hideMark/>
          </w:tcPr>
          <w:p w14:paraId="4A150EBB"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1.441.809.787</w:t>
            </w:r>
          </w:p>
        </w:tc>
        <w:tc>
          <w:tcPr>
            <w:tcW w:w="652" w:type="dxa"/>
            <w:tcBorders>
              <w:top w:val="nil"/>
              <w:left w:val="nil"/>
              <w:bottom w:val="single" w:sz="4" w:space="0" w:color="auto"/>
              <w:right w:val="single" w:sz="4" w:space="0" w:color="auto"/>
            </w:tcBorders>
            <w:shd w:val="clear" w:color="auto" w:fill="auto"/>
            <w:noWrap/>
            <w:vAlign w:val="center"/>
            <w:hideMark/>
          </w:tcPr>
          <w:p w14:paraId="24E2EC6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100%</w:t>
            </w:r>
          </w:p>
        </w:tc>
        <w:tc>
          <w:tcPr>
            <w:tcW w:w="1642" w:type="dxa"/>
            <w:tcBorders>
              <w:top w:val="nil"/>
              <w:left w:val="nil"/>
              <w:bottom w:val="single" w:sz="4" w:space="0" w:color="auto"/>
              <w:right w:val="single" w:sz="4" w:space="0" w:color="auto"/>
            </w:tcBorders>
            <w:shd w:val="clear" w:color="auto" w:fill="auto"/>
            <w:noWrap/>
            <w:vAlign w:val="center"/>
            <w:hideMark/>
          </w:tcPr>
          <w:p w14:paraId="30942EC5"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492.926.423</w:t>
            </w:r>
          </w:p>
        </w:tc>
        <w:tc>
          <w:tcPr>
            <w:tcW w:w="541" w:type="dxa"/>
            <w:tcBorders>
              <w:top w:val="nil"/>
              <w:left w:val="nil"/>
              <w:bottom w:val="single" w:sz="4" w:space="0" w:color="auto"/>
              <w:right w:val="single" w:sz="4" w:space="0" w:color="auto"/>
            </w:tcBorders>
            <w:shd w:val="clear" w:color="auto" w:fill="auto"/>
            <w:noWrap/>
            <w:vAlign w:val="center"/>
            <w:hideMark/>
          </w:tcPr>
          <w:p w14:paraId="3FD2FF01"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34%</w:t>
            </w:r>
          </w:p>
        </w:tc>
        <w:tc>
          <w:tcPr>
            <w:tcW w:w="5329" w:type="dxa"/>
            <w:tcBorders>
              <w:top w:val="nil"/>
              <w:left w:val="nil"/>
              <w:bottom w:val="single" w:sz="4" w:space="0" w:color="auto"/>
              <w:right w:val="single" w:sz="4" w:space="0" w:color="auto"/>
            </w:tcBorders>
            <w:shd w:val="clear" w:color="auto" w:fill="auto"/>
            <w:vAlign w:val="center"/>
            <w:hideMark/>
          </w:tcPr>
          <w:p w14:paraId="1C8D8F20"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De acuerdo con lo comentado por el responsable, La Dirección de Apoyo Fiscal – DAF del MHCP en el marco de las funciones previstas en el Decreto 028 de 2008, emitió y comunicó a la Subdirección Financiera acerca de las resoluciones mediante las cuales determinó la suspensión de giros a saber: 1) Municipio de Altos del Rosario del Departamento de Bolívar - Resolución 690 de 2019, 2) Municipio de Villavieja del Departamento del Huila - Resolución 2309 de 2019 y 3) Municipio de Guamal del Departamento del Magdalena - Resolución 2832 de 2019.</w:t>
            </w:r>
            <w:r w:rsidRPr="00EB0C51">
              <w:rPr>
                <w:rFonts w:cs="Arial"/>
                <w:color w:val="000000"/>
                <w:sz w:val="20"/>
                <w:szCs w:val="20"/>
                <w:lang w:eastAsia="es-CO"/>
              </w:rPr>
              <w:br/>
            </w:r>
            <w:r w:rsidRPr="00EB0C51">
              <w:rPr>
                <w:rFonts w:cs="Arial"/>
                <w:color w:val="000000"/>
                <w:sz w:val="20"/>
                <w:szCs w:val="20"/>
                <w:lang w:eastAsia="es-CO"/>
              </w:rPr>
              <w:br/>
              <w:t>Considerando que a junio del 2021 las medidas se encontraban vigentes, se encuentran suspendidos los giros de la última doceava de la vigencia 2019 y los giros 1 al 11 de la vigencia 2020 para los municipios en mención. Una vez sean levantadas las medidas de suspensión de giro se procederá con la transferencia de los recursos.</w:t>
            </w:r>
          </w:p>
        </w:tc>
      </w:tr>
      <w:tr w:rsidR="009319A9" w:rsidRPr="00EB0C51" w14:paraId="5EBA1AD6" w14:textId="77777777" w:rsidTr="009319A9">
        <w:trPr>
          <w:trHeight w:val="57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9C3A02"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lastRenderedPageBreak/>
              <w:t>6</w:t>
            </w:r>
          </w:p>
        </w:tc>
        <w:tc>
          <w:tcPr>
            <w:tcW w:w="1748" w:type="dxa"/>
            <w:tcBorders>
              <w:top w:val="nil"/>
              <w:left w:val="nil"/>
              <w:bottom w:val="single" w:sz="4" w:space="0" w:color="auto"/>
              <w:right w:val="single" w:sz="4" w:space="0" w:color="auto"/>
            </w:tcBorders>
            <w:shd w:val="clear" w:color="auto" w:fill="auto"/>
            <w:vAlign w:val="center"/>
            <w:hideMark/>
          </w:tcPr>
          <w:p w14:paraId="0C6A155A"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Resguardos Indígenas - Asignaciones Especiales</w:t>
            </w:r>
          </w:p>
        </w:tc>
        <w:tc>
          <w:tcPr>
            <w:tcW w:w="1497" w:type="dxa"/>
            <w:tcBorders>
              <w:top w:val="nil"/>
              <w:left w:val="nil"/>
              <w:bottom w:val="single" w:sz="4" w:space="0" w:color="auto"/>
              <w:right w:val="single" w:sz="4" w:space="0" w:color="auto"/>
            </w:tcBorders>
            <w:shd w:val="clear" w:color="auto" w:fill="auto"/>
            <w:vAlign w:val="center"/>
            <w:hideMark/>
          </w:tcPr>
          <w:p w14:paraId="5CC1E121"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Subdirección Financiera</w:t>
            </w:r>
          </w:p>
        </w:tc>
        <w:tc>
          <w:tcPr>
            <w:tcW w:w="1809" w:type="dxa"/>
            <w:tcBorders>
              <w:top w:val="nil"/>
              <w:left w:val="nil"/>
              <w:bottom w:val="single" w:sz="4" w:space="0" w:color="auto"/>
              <w:right w:val="single" w:sz="4" w:space="0" w:color="auto"/>
            </w:tcBorders>
            <w:shd w:val="clear" w:color="auto" w:fill="auto"/>
            <w:noWrap/>
            <w:vAlign w:val="center"/>
            <w:hideMark/>
          </w:tcPr>
          <w:p w14:paraId="14E69B1D"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6.746.750.665</w:t>
            </w:r>
          </w:p>
        </w:tc>
        <w:tc>
          <w:tcPr>
            <w:tcW w:w="1809" w:type="dxa"/>
            <w:tcBorders>
              <w:top w:val="nil"/>
              <w:left w:val="nil"/>
              <w:bottom w:val="single" w:sz="4" w:space="0" w:color="auto"/>
              <w:right w:val="single" w:sz="4" w:space="0" w:color="auto"/>
            </w:tcBorders>
            <w:shd w:val="clear" w:color="auto" w:fill="auto"/>
            <w:noWrap/>
            <w:vAlign w:val="center"/>
            <w:hideMark/>
          </w:tcPr>
          <w:p w14:paraId="6DD95F21"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6.746.750.665</w:t>
            </w:r>
          </w:p>
        </w:tc>
        <w:tc>
          <w:tcPr>
            <w:tcW w:w="652" w:type="dxa"/>
            <w:tcBorders>
              <w:top w:val="nil"/>
              <w:left w:val="nil"/>
              <w:bottom w:val="single" w:sz="4" w:space="0" w:color="auto"/>
              <w:right w:val="single" w:sz="4" w:space="0" w:color="auto"/>
            </w:tcBorders>
            <w:shd w:val="clear" w:color="auto" w:fill="auto"/>
            <w:noWrap/>
            <w:vAlign w:val="center"/>
            <w:hideMark/>
          </w:tcPr>
          <w:p w14:paraId="47236CA6"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100%</w:t>
            </w:r>
          </w:p>
        </w:tc>
        <w:tc>
          <w:tcPr>
            <w:tcW w:w="1642" w:type="dxa"/>
            <w:tcBorders>
              <w:top w:val="nil"/>
              <w:left w:val="nil"/>
              <w:bottom w:val="single" w:sz="4" w:space="0" w:color="auto"/>
              <w:right w:val="single" w:sz="4" w:space="0" w:color="auto"/>
            </w:tcBorders>
            <w:shd w:val="clear" w:color="auto" w:fill="auto"/>
            <w:noWrap/>
            <w:vAlign w:val="center"/>
            <w:hideMark/>
          </w:tcPr>
          <w:p w14:paraId="350BF94B"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2.092.788.757</w:t>
            </w:r>
          </w:p>
        </w:tc>
        <w:tc>
          <w:tcPr>
            <w:tcW w:w="541" w:type="dxa"/>
            <w:tcBorders>
              <w:top w:val="nil"/>
              <w:left w:val="nil"/>
              <w:bottom w:val="single" w:sz="4" w:space="0" w:color="auto"/>
              <w:right w:val="single" w:sz="4" w:space="0" w:color="auto"/>
            </w:tcBorders>
            <w:shd w:val="clear" w:color="auto" w:fill="auto"/>
            <w:noWrap/>
            <w:vAlign w:val="center"/>
            <w:hideMark/>
          </w:tcPr>
          <w:p w14:paraId="276775AF"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31%</w:t>
            </w:r>
          </w:p>
        </w:tc>
        <w:tc>
          <w:tcPr>
            <w:tcW w:w="5329" w:type="dxa"/>
            <w:tcBorders>
              <w:top w:val="nil"/>
              <w:left w:val="nil"/>
              <w:bottom w:val="single" w:sz="4" w:space="0" w:color="auto"/>
              <w:right w:val="single" w:sz="4" w:space="0" w:color="auto"/>
            </w:tcBorders>
            <w:shd w:val="clear" w:color="auto" w:fill="auto"/>
            <w:vAlign w:val="center"/>
            <w:hideMark/>
          </w:tcPr>
          <w:p w14:paraId="471A8055"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Conforme lo justificado por el responsable, para el rubro de resguardos Indígenas es necesario tener en consideración tres (3) situaciones que afectan la ejecución de los recursos del rezago: 1) falta de registro de las cuentas maestras, 2) suspensión de giros por parte de la DAF, 3) Caso especial del Pueblo Nukak Maku.</w:t>
            </w:r>
            <w:r w:rsidRPr="00EB0C51">
              <w:rPr>
                <w:rFonts w:cs="Arial"/>
                <w:color w:val="000000"/>
                <w:sz w:val="20"/>
                <w:szCs w:val="20"/>
                <w:lang w:eastAsia="es-CO"/>
              </w:rPr>
              <w:br/>
            </w:r>
            <w:r w:rsidRPr="00EB0C51">
              <w:rPr>
                <w:rFonts w:cs="Arial"/>
                <w:color w:val="000000"/>
                <w:sz w:val="20"/>
                <w:szCs w:val="20"/>
                <w:lang w:eastAsia="es-CO"/>
              </w:rPr>
              <w:br/>
              <w:t>1. Mediante los documentos de distribución SGP-42-2020 y SGP-48 se distribuyeron los recursos del Sistema General de Participaciones SGP de la vigencia 2020, se autorizaron recursos para ochenta y cinco (85)  resguardos nuevos, de estos, con corte a junio del 2021 quedaban pendientes treinta (30) resguardos de registro de cuentas maestras, requisito sin el cual no pueden ser transferidos los recursos.</w:t>
            </w:r>
            <w:r w:rsidRPr="00EB0C51">
              <w:rPr>
                <w:rFonts w:cs="Arial"/>
                <w:color w:val="000000"/>
                <w:sz w:val="20"/>
                <w:szCs w:val="20"/>
                <w:lang w:eastAsia="es-CO"/>
              </w:rPr>
              <w:br/>
            </w:r>
            <w:r w:rsidRPr="00EB0C51">
              <w:rPr>
                <w:rFonts w:cs="Arial"/>
                <w:color w:val="000000"/>
                <w:sz w:val="20"/>
                <w:szCs w:val="20"/>
                <w:lang w:eastAsia="es-CO"/>
              </w:rPr>
              <w:br/>
              <w:t>2. La Dirección de Apoyo Fiscal – DAF del MHCP en el marco de las funciones previstas en el Decreto 028 de 2008, emitió y comunicó a la Subdirección Financiera las resoluciones mediante las cuales determinó la suspensión de giros para: 1) Municipio de Acandí del departamento del Choco - Resolución 2880 de 2018 y 2) Municipio de Argelia del departamento del Valle - Resolución 3341 de 2019.</w:t>
            </w:r>
            <w:r w:rsidRPr="00EB0C51">
              <w:rPr>
                <w:rFonts w:cs="Arial"/>
                <w:color w:val="000000"/>
                <w:sz w:val="20"/>
                <w:szCs w:val="20"/>
                <w:lang w:eastAsia="es-CO"/>
              </w:rPr>
              <w:br/>
            </w:r>
            <w:r w:rsidRPr="00EB0C51">
              <w:rPr>
                <w:rFonts w:cs="Arial"/>
                <w:color w:val="000000"/>
                <w:sz w:val="20"/>
                <w:szCs w:val="20"/>
                <w:lang w:eastAsia="es-CO"/>
              </w:rPr>
              <w:br/>
              <w:t>3. El artículo 35 del Decreto 1953 de 2014 definió un mecanismo excepcional de ejecución de los recursos asignados al Pueblo Nukak Maku, de acuerdo con el cual estos recursos deben ser girados al Ministerio del Interior, para que los ejecute conforme a la priorización que las autoridades de los diferentes clanes de este pueblo realicen en los espacios y bajo procedimientos que ellos definan en el ejercicio de su autonomía. No obstante, a la fecha el Ministerio del Interior no ha aperturado la cuenta maestra para administrar los recursos del SGP, por lo que no se han podido girar recursos.</w:t>
            </w:r>
          </w:p>
        </w:tc>
      </w:tr>
      <w:tr w:rsidR="009319A9" w:rsidRPr="00EB0C51" w14:paraId="3A15D913" w14:textId="77777777" w:rsidTr="009319A9">
        <w:trPr>
          <w:cantSplit/>
          <w:trHeight w:val="13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A47B68"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lastRenderedPageBreak/>
              <w:t>7</w:t>
            </w:r>
          </w:p>
        </w:tc>
        <w:tc>
          <w:tcPr>
            <w:tcW w:w="1748" w:type="dxa"/>
            <w:tcBorders>
              <w:top w:val="nil"/>
              <w:left w:val="nil"/>
              <w:bottom w:val="single" w:sz="4" w:space="0" w:color="auto"/>
              <w:right w:val="single" w:sz="4" w:space="0" w:color="auto"/>
            </w:tcBorders>
            <w:shd w:val="clear" w:color="auto" w:fill="auto"/>
            <w:vAlign w:val="center"/>
            <w:hideMark/>
          </w:tcPr>
          <w:p w14:paraId="551EFB54"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Capitalización del Fondo Nacional de Garantías (FNG)</w:t>
            </w:r>
          </w:p>
        </w:tc>
        <w:tc>
          <w:tcPr>
            <w:tcW w:w="1497" w:type="dxa"/>
            <w:tcBorders>
              <w:top w:val="nil"/>
              <w:left w:val="nil"/>
              <w:bottom w:val="single" w:sz="4" w:space="0" w:color="auto"/>
              <w:right w:val="single" w:sz="4" w:space="0" w:color="auto"/>
            </w:tcBorders>
            <w:shd w:val="clear" w:color="auto" w:fill="auto"/>
            <w:vAlign w:val="center"/>
            <w:hideMark/>
          </w:tcPr>
          <w:p w14:paraId="209CA85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Dirección General de Participaciones Estatales - DGPE</w:t>
            </w:r>
          </w:p>
        </w:tc>
        <w:tc>
          <w:tcPr>
            <w:tcW w:w="1809" w:type="dxa"/>
            <w:tcBorders>
              <w:top w:val="nil"/>
              <w:left w:val="nil"/>
              <w:bottom w:val="single" w:sz="4" w:space="0" w:color="auto"/>
              <w:right w:val="single" w:sz="4" w:space="0" w:color="auto"/>
            </w:tcBorders>
            <w:shd w:val="clear" w:color="auto" w:fill="auto"/>
            <w:noWrap/>
            <w:vAlign w:val="center"/>
            <w:hideMark/>
          </w:tcPr>
          <w:p w14:paraId="34F32836"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1.350.000.003.361</w:t>
            </w:r>
          </w:p>
        </w:tc>
        <w:tc>
          <w:tcPr>
            <w:tcW w:w="1809" w:type="dxa"/>
            <w:tcBorders>
              <w:top w:val="nil"/>
              <w:left w:val="nil"/>
              <w:bottom w:val="single" w:sz="4" w:space="0" w:color="auto"/>
              <w:right w:val="single" w:sz="4" w:space="0" w:color="auto"/>
            </w:tcBorders>
            <w:shd w:val="clear" w:color="auto" w:fill="auto"/>
            <w:noWrap/>
            <w:vAlign w:val="center"/>
            <w:hideMark/>
          </w:tcPr>
          <w:p w14:paraId="6F5A7D33"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1.350.000.003.361</w:t>
            </w:r>
          </w:p>
        </w:tc>
        <w:tc>
          <w:tcPr>
            <w:tcW w:w="652" w:type="dxa"/>
            <w:tcBorders>
              <w:top w:val="nil"/>
              <w:left w:val="nil"/>
              <w:bottom w:val="single" w:sz="4" w:space="0" w:color="auto"/>
              <w:right w:val="single" w:sz="4" w:space="0" w:color="auto"/>
            </w:tcBorders>
            <w:shd w:val="clear" w:color="auto" w:fill="auto"/>
            <w:noWrap/>
            <w:vAlign w:val="center"/>
            <w:hideMark/>
          </w:tcPr>
          <w:p w14:paraId="7D8208B5"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100%</w:t>
            </w:r>
          </w:p>
        </w:tc>
        <w:tc>
          <w:tcPr>
            <w:tcW w:w="1642" w:type="dxa"/>
            <w:tcBorders>
              <w:top w:val="nil"/>
              <w:left w:val="nil"/>
              <w:bottom w:val="single" w:sz="4" w:space="0" w:color="auto"/>
              <w:right w:val="single" w:sz="4" w:space="0" w:color="auto"/>
            </w:tcBorders>
            <w:shd w:val="clear" w:color="auto" w:fill="auto"/>
            <w:noWrap/>
            <w:vAlign w:val="center"/>
            <w:hideMark/>
          </w:tcPr>
          <w:p w14:paraId="0094F946"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450.000.001.120</w:t>
            </w:r>
          </w:p>
        </w:tc>
        <w:tc>
          <w:tcPr>
            <w:tcW w:w="541" w:type="dxa"/>
            <w:tcBorders>
              <w:top w:val="nil"/>
              <w:left w:val="nil"/>
              <w:bottom w:val="single" w:sz="4" w:space="0" w:color="auto"/>
              <w:right w:val="single" w:sz="4" w:space="0" w:color="auto"/>
            </w:tcBorders>
            <w:shd w:val="clear" w:color="auto" w:fill="auto"/>
            <w:noWrap/>
            <w:vAlign w:val="center"/>
            <w:hideMark/>
          </w:tcPr>
          <w:p w14:paraId="6E2BAD1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33%</w:t>
            </w:r>
          </w:p>
        </w:tc>
        <w:tc>
          <w:tcPr>
            <w:tcW w:w="5329" w:type="dxa"/>
            <w:tcBorders>
              <w:top w:val="nil"/>
              <w:left w:val="nil"/>
              <w:bottom w:val="single" w:sz="4" w:space="0" w:color="auto"/>
              <w:right w:val="single" w:sz="4" w:space="0" w:color="auto"/>
            </w:tcBorders>
            <w:shd w:val="clear" w:color="auto" w:fill="auto"/>
            <w:vAlign w:val="center"/>
            <w:hideMark/>
          </w:tcPr>
          <w:p w14:paraId="1C9C7A8B"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Según lo descrito por el responsable, se están revisando con el Fondo nacional de Garantías FNG las proyecciones de nuevas colocaciones y curvas de riesgo, para determinar el monto de los recursos requeridos para completar la capitalización y que dicho fondo pueda seguir operando con los márgenes de solvencia de acuerdo con la normatividad vigente.</w:t>
            </w:r>
          </w:p>
        </w:tc>
      </w:tr>
      <w:tr w:rsidR="009319A9" w:rsidRPr="00EB0C51" w14:paraId="50730643" w14:textId="77777777" w:rsidTr="009319A9">
        <w:trPr>
          <w:cantSplit/>
          <w:trHeight w:val="12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3578AE"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8</w:t>
            </w:r>
          </w:p>
        </w:tc>
        <w:tc>
          <w:tcPr>
            <w:tcW w:w="1748" w:type="dxa"/>
            <w:tcBorders>
              <w:top w:val="nil"/>
              <w:left w:val="nil"/>
              <w:bottom w:val="single" w:sz="4" w:space="0" w:color="auto"/>
              <w:right w:val="single" w:sz="4" w:space="0" w:color="auto"/>
            </w:tcBorders>
            <w:shd w:val="clear" w:color="auto" w:fill="auto"/>
            <w:vAlign w:val="center"/>
            <w:hideMark/>
          </w:tcPr>
          <w:p w14:paraId="65638FB0"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Implementación del Sistema Estratégico de Transporte Público de  Pasto</w:t>
            </w:r>
          </w:p>
        </w:tc>
        <w:tc>
          <w:tcPr>
            <w:tcW w:w="1497" w:type="dxa"/>
            <w:vMerge w:val="restart"/>
            <w:tcBorders>
              <w:top w:val="nil"/>
              <w:left w:val="single" w:sz="4" w:space="0" w:color="auto"/>
              <w:bottom w:val="single" w:sz="4" w:space="0" w:color="auto"/>
              <w:right w:val="single" w:sz="4" w:space="0" w:color="auto"/>
            </w:tcBorders>
            <w:shd w:val="clear" w:color="auto" w:fill="auto"/>
            <w:vAlign w:val="center"/>
            <w:hideMark/>
          </w:tcPr>
          <w:p w14:paraId="378C431B"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Dirección General de Participaciones Estatales - DGPE</w:t>
            </w:r>
          </w:p>
        </w:tc>
        <w:tc>
          <w:tcPr>
            <w:tcW w:w="1809" w:type="dxa"/>
            <w:tcBorders>
              <w:top w:val="nil"/>
              <w:left w:val="nil"/>
              <w:bottom w:val="single" w:sz="4" w:space="0" w:color="auto"/>
              <w:right w:val="single" w:sz="4" w:space="0" w:color="auto"/>
            </w:tcBorders>
            <w:shd w:val="clear" w:color="auto" w:fill="auto"/>
            <w:noWrap/>
            <w:vAlign w:val="center"/>
            <w:hideMark/>
          </w:tcPr>
          <w:p w14:paraId="1AF7396E"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541.209.293</w:t>
            </w:r>
          </w:p>
        </w:tc>
        <w:tc>
          <w:tcPr>
            <w:tcW w:w="1809" w:type="dxa"/>
            <w:tcBorders>
              <w:top w:val="nil"/>
              <w:left w:val="nil"/>
              <w:bottom w:val="single" w:sz="4" w:space="0" w:color="auto"/>
              <w:right w:val="single" w:sz="4" w:space="0" w:color="auto"/>
            </w:tcBorders>
            <w:shd w:val="clear" w:color="auto" w:fill="auto"/>
            <w:noWrap/>
            <w:vAlign w:val="center"/>
            <w:hideMark/>
          </w:tcPr>
          <w:p w14:paraId="1962E38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541.209.293</w:t>
            </w:r>
          </w:p>
        </w:tc>
        <w:tc>
          <w:tcPr>
            <w:tcW w:w="652" w:type="dxa"/>
            <w:tcBorders>
              <w:top w:val="nil"/>
              <w:left w:val="nil"/>
              <w:bottom w:val="single" w:sz="4" w:space="0" w:color="auto"/>
              <w:right w:val="single" w:sz="4" w:space="0" w:color="auto"/>
            </w:tcBorders>
            <w:shd w:val="clear" w:color="auto" w:fill="auto"/>
            <w:noWrap/>
            <w:vAlign w:val="center"/>
            <w:hideMark/>
          </w:tcPr>
          <w:p w14:paraId="01BFEFEA"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100%</w:t>
            </w:r>
          </w:p>
        </w:tc>
        <w:tc>
          <w:tcPr>
            <w:tcW w:w="1642" w:type="dxa"/>
            <w:tcBorders>
              <w:top w:val="nil"/>
              <w:left w:val="nil"/>
              <w:bottom w:val="single" w:sz="4" w:space="0" w:color="auto"/>
              <w:right w:val="single" w:sz="4" w:space="0" w:color="auto"/>
            </w:tcBorders>
            <w:shd w:val="clear" w:color="auto" w:fill="auto"/>
            <w:noWrap/>
            <w:vAlign w:val="center"/>
            <w:hideMark/>
          </w:tcPr>
          <w:p w14:paraId="3B63A220"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w:t>
            </w:r>
          </w:p>
        </w:tc>
        <w:tc>
          <w:tcPr>
            <w:tcW w:w="541" w:type="dxa"/>
            <w:tcBorders>
              <w:top w:val="nil"/>
              <w:left w:val="nil"/>
              <w:bottom w:val="single" w:sz="4" w:space="0" w:color="auto"/>
              <w:right w:val="single" w:sz="4" w:space="0" w:color="auto"/>
            </w:tcBorders>
            <w:shd w:val="clear" w:color="auto" w:fill="auto"/>
            <w:noWrap/>
            <w:vAlign w:val="center"/>
            <w:hideMark/>
          </w:tcPr>
          <w:p w14:paraId="784F6F5B"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0%</w:t>
            </w:r>
          </w:p>
        </w:tc>
        <w:tc>
          <w:tcPr>
            <w:tcW w:w="5329" w:type="dxa"/>
            <w:tcBorders>
              <w:top w:val="nil"/>
              <w:left w:val="nil"/>
              <w:bottom w:val="single" w:sz="4" w:space="0" w:color="auto"/>
              <w:right w:val="single" w:sz="4" w:space="0" w:color="auto"/>
            </w:tcBorders>
            <w:shd w:val="clear" w:color="auto" w:fill="auto"/>
            <w:vAlign w:val="center"/>
            <w:hideMark/>
          </w:tcPr>
          <w:p w14:paraId="1A6FDCB7"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 xml:space="preserve">De acuerdo con lo manifestado por el responsable, no se han ejecutado los pagos debido a que a la fecha no hay dólares en la cuenta, se espera lleguen entre los meses de septiembre y octubre para poder realizar el desembolso. </w:t>
            </w:r>
          </w:p>
        </w:tc>
      </w:tr>
      <w:tr w:rsidR="009319A9" w:rsidRPr="00EB0C51" w14:paraId="296654DC" w14:textId="77777777" w:rsidTr="009319A9">
        <w:trPr>
          <w:cantSplit/>
          <w:trHeight w:val="17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C41181"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9</w:t>
            </w:r>
          </w:p>
        </w:tc>
        <w:tc>
          <w:tcPr>
            <w:tcW w:w="1748" w:type="dxa"/>
            <w:tcBorders>
              <w:top w:val="nil"/>
              <w:left w:val="nil"/>
              <w:bottom w:val="single" w:sz="4" w:space="0" w:color="auto"/>
              <w:right w:val="single" w:sz="4" w:space="0" w:color="auto"/>
            </w:tcBorders>
            <w:shd w:val="clear" w:color="auto" w:fill="auto"/>
            <w:vAlign w:val="center"/>
            <w:hideMark/>
          </w:tcPr>
          <w:p w14:paraId="67E0618B"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Implementación Sistema Estratégico de Transporte Público del Municipio  Montería</w:t>
            </w:r>
          </w:p>
        </w:tc>
        <w:tc>
          <w:tcPr>
            <w:tcW w:w="1497" w:type="dxa"/>
            <w:vMerge/>
            <w:tcBorders>
              <w:top w:val="nil"/>
              <w:left w:val="single" w:sz="4" w:space="0" w:color="auto"/>
              <w:bottom w:val="single" w:sz="4" w:space="0" w:color="auto"/>
              <w:right w:val="single" w:sz="4" w:space="0" w:color="auto"/>
            </w:tcBorders>
            <w:vAlign w:val="center"/>
            <w:hideMark/>
          </w:tcPr>
          <w:p w14:paraId="260B0FFA" w14:textId="77777777" w:rsidR="009319A9" w:rsidRPr="00EB0C51" w:rsidRDefault="009319A9" w:rsidP="009319A9">
            <w:pPr>
              <w:rPr>
                <w:rFonts w:cs="Arial"/>
                <w:color w:val="000000"/>
                <w:sz w:val="20"/>
                <w:szCs w:val="20"/>
                <w:lang w:eastAsia="es-CO"/>
              </w:rPr>
            </w:pPr>
          </w:p>
        </w:tc>
        <w:tc>
          <w:tcPr>
            <w:tcW w:w="1809" w:type="dxa"/>
            <w:tcBorders>
              <w:top w:val="nil"/>
              <w:left w:val="nil"/>
              <w:bottom w:val="single" w:sz="4" w:space="0" w:color="auto"/>
              <w:right w:val="single" w:sz="4" w:space="0" w:color="auto"/>
            </w:tcBorders>
            <w:shd w:val="clear" w:color="auto" w:fill="auto"/>
            <w:noWrap/>
            <w:vAlign w:val="center"/>
            <w:hideMark/>
          </w:tcPr>
          <w:p w14:paraId="1170B4AD"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1.568.312.762</w:t>
            </w:r>
          </w:p>
        </w:tc>
        <w:tc>
          <w:tcPr>
            <w:tcW w:w="1809" w:type="dxa"/>
            <w:tcBorders>
              <w:top w:val="nil"/>
              <w:left w:val="nil"/>
              <w:bottom w:val="single" w:sz="4" w:space="0" w:color="auto"/>
              <w:right w:val="single" w:sz="4" w:space="0" w:color="auto"/>
            </w:tcBorders>
            <w:shd w:val="clear" w:color="auto" w:fill="auto"/>
            <w:noWrap/>
            <w:vAlign w:val="center"/>
            <w:hideMark/>
          </w:tcPr>
          <w:p w14:paraId="2BD015EF"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1.568.312.762</w:t>
            </w:r>
          </w:p>
        </w:tc>
        <w:tc>
          <w:tcPr>
            <w:tcW w:w="652" w:type="dxa"/>
            <w:tcBorders>
              <w:top w:val="nil"/>
              <w:left w:val="nil"/>
              <w:bottom w:val="single" w:sz="4" w:space="0" w:color="auto"/>
              <w:right w:val="single" w:sz="4" w:space="0" w:color="auto"/>
            </w:tcBorders>
            <w:shd w:val="clear" w:color="auto" w:fill="auto"/>
            <w:noWrap/>
            <w:vAlign w:val="center"/>
            <w:hideMark/>
          </w:tcPr>
          <w:p w14:paraId="68E6376E"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100%</w:t>
            </w:r>
          </w:p>
        </w:tc>
        <w:tc>
          <w:tcPr>
            <w:tcW w:w="1642" w:type="dxa"/>
            <w:tcBorders>
              <w:top w:val="nil"/>
              <w:left w:val="nil"/>
              <w:bottom w:val="single" w:sz="4" w:space="0" w:color="auto"/>
              <w:right w:val="single" w:sz="4" w:space="0" w:color="auto"/>
            </w:tcBorders>
            <w:shd w:val="clear" w:color="auto" w:fill="auto"/>
            <w:noWrap/>
            <w:vAlign w:val="center"/>
            <w:hideMark/>
          </w:tcPr>
          <w:p w14:paraId="62E96D59"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w:t>
            </w:r>
          </w:p>
        </w:tc>
        <w:tc>
          <w:tcPr>
            <w:tcW w:w="541" w:type="dxa"/>
            <w:tcBorders>
              <w:top w:val="nil"/>
              <w:left w:val="nil"/>
              <w:bottom w:val="single" w:sz="4" w:space="0" w:color="auto"/>
              <w:right w:val="single" w:sz="4" w:space="0" w:color="auto"/>
            </w:tcBorders>
            <w:shd w:val="clear" w:color="auto" w:fill="auto"/>
            <w:noWrap/>
            <w:vAlign w:val="center"/>
            <w:hideMark/>
          </w:tcPr>
          <w:p w14:paraId="3014C8DF" w14:textId="77777777" w:rsidR="009319A9" w:rsidRPr="00EB0C51" w:rsidRDefault="009319A9" w:rsidP="009319A9">
            <w:pPr>
              <w:jc w:val="center"/>
              <w:rPr>
                <w:rFonts w:cs="Arial"/>
                <w:color w:val="000000"/>
                <w:sz w:val="20"/>
                <w:szCs w:val="20"/>
                <w:lang w:eastAsia="es-CO"/>
              </w:rPr>
            </w:pPr>
            <w:r w:rsidRPr="00EB0C51">
              <w:rPr>
                <w:rFonts w:cs="Arial"/>
                <w:color w:val="000000"/>
                <w:sz w:val="20"/>
                <w:szCs w:val="20"/>
                <w:lang w:eastAsia="es-CO"/>
              </w:rPr>
              <w:t>0%</w:t>
            </w:r>
          </w:p>
        </w:tc>
        <w:tc>
          <w:tcPr>
            <w:tcW w:w="5329" w:type="dxa"/>
            <w:tcBorders>
              <w:top w:val="nil"/>
              <w:left w:val="nil"/>
              <w:bottom w:val="single" w:sz="4" w:space="0" w:color="auto"/>
              <w:right w:val="single" w:sz="4" w:space="0" w:color="auto"/>
            </w:tcBorders>
            <w:shd w:val="clear" w:color="auto" w:fill="auto"/>
            <w:vAlign w:val="center"/>
            <w:hideMark/>
          </w:tcPr>
          <w:p w14:paraId="286AEF2D" w14:textId="77777777" w:rsidR="009319A9" w:rsidRPr="00EB0C51" w:rsidRDefault="009319A9" w:rsidP="009319A9">
            <w:pPr>
              <w:rPr>
                <w:rFonts w:cs="Arial"/>
                <w:color w:val="000000"/>
                <w:sz w:val="20"/>
                <w:szCs w:val="20"/>
                <w:lang w:eastAsia="es-CO"/>
              </w:rPr>
            </w:pPr>
            <w:r w:rsidRPr="00EB0C51">
              <w:rPr>
                <w:rFonts w:cs="Arial"/>
                <w:color w:val="000000"/>
                <w:sz w:val="20"/>
                <w:szCs w:val="20"/>
                <w:lang w:eastAsia="es-CO"/>
              </w:rPr>
              <w:t>Conforme lo justificado por el responsable, no se han ejecutado los pagos debido a que a la fecha no hay dólares en la cuenta, se espera lleguen entre los meses de septiembre y octubre para poder realizar el desembolso.</w:t>
            </w:r>
          </w:p>
        </w:tc>
      </w:tr>
    </w:tbl>
    <w:p w14:paraId="5AD8D65C" w14:textId="1F847327" w:rsidR="0017085B" w:rsidRPr="00EB0C51" w:rsidRDefault="0017085B" w:rsidP="009319A9">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los responsables de la ejecución de los rubros, consolidada por la OAP</w:t>
      </w:r>
    </w:p>
    <w:p w14:paraId="4E8A2C5B" w14:textId="51DE5E69" w:rsidR="00E93D62" w:rsidRPr="00EB0C51" w:rsidRDefault="00E93D62" w:rsidP="009319A9">
      <w:pPr>
        <w:jc w:val="center"/>
        <w:rPr>
          <w:rFonts w:cs="Arial"/>
          <w:sz w:val="16"/>
          <w:szCs w:val="16"/>
        </w:rPr>
      </w:pPr>
    </w:p>
    <w:p w14:paraId="14259F76" w14:textId="77777777" w:rsidR="000B1422" w:rsidRPr="00EB0C51" w:rsidRDefault="000B1422" w:rsidP="00E93D62">
      <w:pPr>
        <w:jc w:val="both"/>
        <w:rPr>
          <w:rFonts w:cs="Arial"/>
          <w:i/>
          <w:iCs/>
          <w:color w:val="FF0000"/>
          <w:sz w:val="16"/>
          <w:szCs w:val="16"/>
        </w:rPr>
        <w:sectPr w:rsidR="000B1422" w:rsidRPr="00EB0C51" w:rsidSect="00F80FDE">
          <w:pgSz w:w="15840" w:h="12240" w:orient="landscape" w:code="1"/>
          <w:pgMar w:top="1418" w:right="1843" w:bottom="1134" w:left="1134" w:header="709" w:footer="346" w:gutter="0"/>
          <w:cols w:space="708"/>
          <w:docGrid w:linePitch="360"/>
        </w:sectPr>
      </w:pPr>
    </w:p>
    <w:p w14:paraId="029142DF" w14:textId="35FEA544" w:rsidR="00221173" w:rsidRPr="00EB0C51" w:rsidRDefault="00E93D62" w:rsidP="00E93D62">
      <w:pPr>
        <w:jc w:val="both"/>
        <w:rPr>
          <w:rFonts w:cs="Arial"/>
          <w:bCs/>
          <w:color w:val="000000" w:themeColor="text1"/>
        </w:rPr>
      </w:pPr>
      <w:r w:rsidRPr="00EB0C51">
        <w:rPr>
          <w:rFonts w:cs="Arial"/>
          <w:bCs/>
          <w:color w:val="000000" w:themeColor="text1"/>
        </w:rPr>
        <w:lastRenderedPageBreak/>
        <w:t>Como se puede apreciar</w:t>
      </w:r>
      <w:r w:rsidR="00033AE1" w:rsidRPr="00EB0C51">
        <w:rPr>
          <w:rFonts w:cs="Arial"/>
          <w:bCs/>
          <w:color w:val="000000" w:themeColor="text1"/>
        </w:rPr>
        <w:t>,</w:t>
      </w:r>
      <w:r w:rsidR="005821F2" w:rsidRPr="00EB0C51">
        <w:rPr>
          <w:rFonts w:cs="Arial"/>
          <w:bCs/>
          <w:color w:val="000000" w:themeColor="text1"/>
        </w:rPr>
        <w:t xml:space="preserve"> de acuerdo con lo manifestado por los responsables, con corte a junio de 2021 los pagos de las </w:t>
      </w:r>
      <w:r w:rsidR="00937D71" w:rsidRPr="00EB0C51">
        <w:rPr>
          <w:rFonts w:cs="Arial"/>
          <w:bCs/>
          <w:color w:val="000000" w:themeColor="text1"/>
        </w:rPr>
        <w:t xml:space="preserve">diferentes compromisos </w:t>
      </w:r>
      <w:r w:rsidR="00033AE1" w:rsidRPr="00EB0C51">
        <w:rPr>
          <w:rFonts w:cs="Arial"/>
          <w:bCs/>
          <w:color w:val="000000" w:themeColor="text1"/>
        </w:rPr>
        <w:t xml:space="preserve">propios de la </w:t>
      </w:r>
      <w:r w:rsidR="00937D71" w:rsidRPr="00EB0C51">
        <w:rPr>
          <w:rFonts w:cs="Arial"/>
          <w:bCs/>
          <w:color w:val="000000" w:themeColor="text1"/>
        </w:rPr>
        <w:t>reserva presupuestal</w:t>
      </w:r>
      <w:r w:rsidR="00033AE1" w:rsidRPr="00EB0C51">
        <w:rPr>
          <w:rFonts w:cs="Arial"/>
          <w:bCs/>
          <w:color w:val="000000" w:themeColor="text1"/>
        </w:rPr>
        <w:t xml:space="preserve"> 2020</w:t>
      </w:r>
      <w:r w:rsidR="004D24B8" w:rsidRPr="00EB0C51">
        <w:rPr>
          <w:rFonts w:cs="Arial"/>
          <w:bCs/>
          <w:color w:val="000000" w:themeColor="text1"/>
        </w:rPr>
        <w:t>,</w:t>
      </w:r>
      <w:r w:rsidR="00937D71" w:rsidRPr="00EB0C51">
        <w:rPr>
          <w:rFonts w:cs="Arial"/>
          <w:bCs/>
          <w:color w:val="000000" w:themeColor="text1"/>
        </w:rPr>
        <w:t xml:space="preserve"> no se realizaron por razones asociadas a </w:t>
      </w:r>
      <w:r w:rsidR="009E22F5" w:rsidRPr="00EB0C51">
        <w:rPr>
          <w:rFonts w:cs="Arial"/>
          <w:bCs/>
          <w:color w:val="000000" w:themeColor="text1"/>
        </w:rPr>
        <w:t>suspensiones</w:t>
      </w:r>
      <w:r w:rsidR="00810D92" w:rsidRPr="00EB0C51">
        <w:rPr>
          <w:rFonts w:cs="Arial"/>
          <w:bCs/>
          <w:color w:val="000000" w:themeColor="text1"/>
        </w:rPr>
        <w:t xml:space="preserve"> de giros</w:t>
      </w:r>
      <w:r w:rsidR="009E22F5" w:rsidRPr="00EB0C51">
        <w:rPr>
          <w:rFonts w:cs="Arial"/>
          <w:bCs/>
          <w:color w:val="000000" w:themeColor="text1"/>
        </w:rPr>
        <w:t>, falta de registro de cuentas, falta de dólares para efectuar</w:t>
      </w:r>
      <w:r w:rsidR="00033AE1" w:rsidRPr="00EB0C51">
        <w:rPr>
          <w:rFonts w:cs="Arial"/>
          <w:bCs/>
          <w:color w:val="000000" w:themeColor="text1"/>
        </w:rPr>
        <w:t>l</w:t>
      </w:r>
      <w:r w:rsidR="009E22F5" w:rsidRPr="00EB0C51">
        <w:rPr>
          <w:rFonts w:cs="Arial"/>
          <w:bCs/>
          <w:color w:val="000000" w:themeColor="text1"/>
        </w:rPr>
        <w:t>os</w:t>
      </w:r>
      <w:r w:rsidR="00033AE1" w:rsidRPr="00EB0C51">
        <w:rPr>
          <w:rFonts w:cs="Arial"/>
          <w:bCs/>
          <w:color w:val="000000" w:themeColor="text1"/>
        </w:rPr>
        <w:t>,</w:t>
      </w:r>
      <w:r w:rsidR="009E22F5" w:rsidRPr="00EB0C51">
        <w:rPr>
          <w:rFonts w:cs="Arial"/>
          <w:bCs/>
          <w:color w:val="000000" w:themeColor="text1"/>
        </w:rPr>
        <w:t xml:space="preserve"> entre otras</w:t>
      </w:r>
      <w:r w:rsidR="004D24B8" w:rsidRPr="00EB0C51">
        <w:rPr>
          <w:rFonts w:cs="Arial"/>
          <w:bCs/>
          <w:color w:val="000000" w:themeColor="text1"/>
        </w:rPr>
        <w:t>,</w:t>
      </w:r>
      <w:r w:rsidR="009E22F5" w:rsidRPr="00EB0C51">
        <w:rPr>
          <w:rFonts w:cs="Arial"/>
          <w:bCs/>
          <w:color w:val="000000" w:themeColor="text1"/>
        </w:rPr>
        <w:t xml:space="preserve"> que se presentaron </w:t>
      </w:r>
      <w:r w:rsidR="000A7A2D" w:rsidRPr="00EB0C51">
        <w:rPr>
          <w:rFonts w:cs="Arial"/>
          <w:bCs/>
          <w:color w:val="000000" w:themeColor="text1"/>
        </w:rPr>
        <w:t xml:space="preserve">en la tabla anterior </w:t>
      </w:r>
      <w:r w:rsidR="009E22F5" w:rsidRPr="00EB0C51">
        <w:rPr>
          <w:rFonts w:cs="Arial"/>
          <w:bCs/>
          <w:color w:val="000000" w:themeColor="text1"/>
        </w:rPr>
        <w:t xml:space="preserve">para cada uno de los </w:t>
      </w:r>
      <w:r w:rsidR="0007115C" w:rsidRPr="00EB0C51">
        <w:rPr>
          <w:rFonts w:cs="Arial"/>
          <w:bCs/>
          <w:color w:val="000000" w:themeColor="text1"/>
        </w:rPr>
        <w:t>nueve</w:t>
      </w:r>
      <w:r w:rsidR="009E22F5" w:rsidRPr="00EB0C51">
        <w:rPr>
          <w:rFonts w:cs="Arial"/>
          <w:bCs/>
          <w:color w:val="000000" w:themeColor="text1"/>
        </w:rPr>
        <w:t xml:space="preserve"> (</w:t>
      </w:r>
      <w:r w:rsidR="0007115C" w:rsidRPr="00EB0C51">
        <w:rPr>
          <w:rFonts w:cs="Arial"/>
          <w:bCs/>
          <w:color w:val="000000" w:themeColor="text1"/>
        </w:rPr>
        <w:t>9</w:t>
      </w:r>
      <w:r w:rsidR="009E22F5" w:rsidRPr="00EB0C51">
        <w:rPr>
          <w:rFonts w:cs="Arial"/>
          <w:bCs/>
          <w:color w:val="000000" w:themeColor="text1"/>
        </w:rPr>
        <w:t xml:space="preserve">) casos de la muestra escogida. </w:t>
      </w:r>
    </w:p>
    <w:p w14:paraId="51E7B2EC" w14:textId="77777777" w:rsidR="00221173" w:rsidRPr="00EB0C51" w:rsidRDefault="00221173" w:rsidP="00E93D62">
      <w:pPr>
        <w:jc w:val="both"/>
        <w:rPr>
          <w:rFonts w:cs="Arial"/>
          <w:bCs/>
          <w:color w:val="000000" w:themeColor="text1"/>
          <w:sz w:val="16"/>
          <w:szCs w:val="16"/>
        </w:rPr>
      </w:pPr>
    </w:p>
    <w:p w14:paraId="262AD702" w14:textId="15BC6A5C" w:rsidR="00013AD5" w:rsidRPr="00EB0C51" w:rsidRDefault="00013AD5" w:rsidP="00013AD5">
      <w:pPr>
        <w:jc w:val="both"/>
        <w:rPr>
          <w:rFonts w:cs="Arial"/>
          <w:b/>
          <w:color w:val="000000" w:themeColor="text1"/>
        </w:rPr>
      </w:pPr>
      <w:r w:rsidRPr="00EB0C51">
        <w:rPr>
          <w:rFonts w:cs="Arial"/>
          <w:b/>
          <w:color w:val="000000" w:themeColor="text1"/>
        </w:rPr>
        <w:t xml:space="preserve">4.2.1.2 </w:t>
      </w:r>
      <w:r w:rsidR="005B5DE8" w:rsidRPr="00EB0C51">
        <w:rPr>
          <w:rFonts w:cs="Arial"/>
          <w:b/>
          <w:color w:val="000000" w:themeColor="text1"/>
        </w:rPr>
        <w:t xml:space="preserve">Revisión gestión realizada </w:t>
      </w:r>
      <w:r w:rsidR="00455C77" w:rsidRPr="00EB0C51">
        <w:rPr>
          <w:rFonts w:cs="Arial"/>
          <w:b/>
          <w:color w:val="000000" w:themeColor="text1"/>
        </w:rPr>
        <w:t xml:space="preserve">frente a las </w:t>
      </w:r>
      <w:r w:rsidRPr="00EB0C51">
        <w:rPr>
          <w:rFonts w:cs="Arial"/>
          <w:b/>
          <w:color w:val="000000" w:themeColor="text1"/>
        </w:rPr>
        <w:t xml:space="preserve">Cuentas por pagar </w:t>
      </w:r>
    </w:p>
    <w:p w14:paraId="60E5F7A3" w14:textId="77777777" w:rsidR="00013AD5" w:rsidRPr="00EB0C51" w:rsidRDefault="00013AD5" w:rsidP="00013AD5">
      <w:pPr>
        <w:jc w:val="both"/>
        <w:rPr>
          <w:rFonts w:cs="Arial"/>
          <w:b/>
          <w:color w:val="000000" w:themeColor="text1"/>
          <w:sz w:val="16"/>
          <w:szCs w:val="16"/>
        </w:rPr>
      </w:pPr>
    </w:p>
    <w:p w14:paraId="4B9FBA68" w14:textId="37B7BC74" w:rsidR="00013AD5" w:rsidRPr="00EB0C51" w:rsidRDefault="00455C77" w:rsidP="00013AD5">
      <w:pPr>
        <w:jc w:val="both"/>
        <w:rPr>
          <w:rFonts w:cs="Arial"/>
          <w:bCs/>
          <w:color w:val="000000" w:themeColor="text1"/>
        </w:rPr>
      </w:pPr>
      <w:r w:rsidRPr="00EB0C51">
        <w:rPr>
          <w:rFonts w:cs="Arial"/>
          <w:bCs/>
          <w:color w:val="000000" w:themeColor="text1"/>
        </w:rPr>
        <w:t xml:space="preserve">Verificado </w:t>
      </w:r>
      <w:r w:rsidR="00E74733" w:rsidRPr="00EB0C51">
        <w:rPr>
          <w:rFonts w:cs="Arial"/>
          <w:bCs/>
          <w:color w:val="000000" w:themeColor="text1"/>
        </w:rPr>
        <w:t xml:space="preserve">el informe de ejecución presupuestal correspondiente a junio de 2021, se evidenció que no se constituyeron cuentas por pagar </w:t>
      </w:r>
      <w:r w:rsidR="00EA2C44" w:rsidRPr="00EB0C51">
        <w:rPr>
          <w:rFonts w:cs="Arial"/>
          <w:bCs/>
          <w:color w:val="000000" w:themeColor="text1"/>
        </w:rPr>
        <w:t>correspondientes a la vigencia 2020</w:t>
      </w:r>
      <w:r w:rsidR="00E54F18" w:rsidRPr="00EB0C51">
        <w:rPr>
          <w:rFonts w:cs="Arial"/>
          <w:bCs/>
          <w:color w:val="000000" w:themeColor="text1"/>
        </w:rPr>
        <w:t>;</w:t>
      </w:r>
      <w:r w:rsidR="00EA2C44" w:rsidRPr="00EB0C51">
        <w:rPr>
          <w:rFonts w:cs="Arial"/>
          <w:bCs/>
          <w:color w:val="000000" w:themeColor="text1"/>
        </w:rPr>
        <w:t xml:space="preserve"> se sol</w:t>
      </w:r>
      <w:r w:rsidR="00E54F18" w:rsidRPr="00EB0C51">
        <w:rPr>
          <w:rFonts w:cs="Arial"/>
          <w:bCs/>
          <w:color w:val="000000" w:themeColor="text1"/>
        </w:rPr>
        <w:t>icitó</w:t>
      </w:r>
      <w:r w:rsidR="00EA2C44" w:rsidRPr="00EB0C51">
        <w:rPr>
          <w:rFonts w:cs="Arial"/>
          <w:bCs/>
          <w:color w:val="000000" w:themeColor="text1"/>
        </w:rPr>
        <w:t xml:space="preserve"> a la OAP detallar los motivos por los cuales se presentó esta situación</w:t>
      </w:r>
      <w:r w:rsidR="00A749F9" w:rsidRPr="00EB0C51">
        <w:rPr>
          <w:rFonts w:cs="Arial"/>
          <w:bCs/>
          <w:color w:val="000000" w:themeColor="text1"/>
        </w:rPr>
        <w:t xml:space="preserve">, por lo que la Subdirección Financiera </w:t>
      </w:r>
      <w:r w:rsidR="00E54F18" w:rsidRPr="00EB0C51">
        <w:rPr>
          <w:rFonts w:cs="Arial"/>
          <w:bCs/>
          <w:color w:val="000000" w:themeColor="text1"/>
        </w:rPr>
        <w:t xml:space="preserve">de la Entidad </w:t>
      </w:r>
      <w:r w:rsidR="00A749F9" w:rsidRPr="00EB0C51">
        <w:rPr>
          <w:rFonts w:cs="Arial"/>
          <w:bCs/>
          <w:color w:val="000000" w:themeColor="text1"/>
        </w:rPr>
        <w:t>manifest</w:t>
      </w:r>
      <w:r w:rsidR="00FD3976" w:rsidRPr="00EB0C51">
        <w:rPr>
          <w:rFonts w:cs="Arial"/>
          <w:bCs/>
          <w:color w:val="000000" w:themeColor="text1"/>
        </w:rPr>
        <w:t>ó</w:t>
      </w:r>
      <w:r w:rsidR="00A749F9" w:rsidRPr="00EB0C51">
        <w:rPr>
          <w:rFonts w:cs="Arial"/>
          <w:bCs/>
          <w:color w:val="000000" w:themeColor="text1"/>
        </w:rPr>
        <w:t xml:space="preserve"> que: </w:t>
      </w:r>
      <w:r w:rsidR="00013AD5" w:rsidRPr="00EB0C51">
        <w:rPr>
          <w:rFonts w:cs="Arial"/>
          <w:bCs/>
          <w:color w:val="000000" w:themeColor="text1"/>
        </w:rPr>
        <w:t xml:space="preserve"> </w:t>
      </w:r>
    </w:p>
    <w:p w14:paraId="1CFDA3FD" w14:textId="77777777" w:rsidR="00221173" w:rsidRPr="00EB0C51" w:rsidRDefault="00221173" w:rsidP="00E93D62">
      <w:pPr>
        <w:jc w:val="both"/>
        <w:rPr>
          <w:rFonts w:cs="Arial"/>
          <w:bCs/>
          <w:color w:val="000000" w:themeColor="text1"/>
          <w:sz w:val="16"/>
          <w:szCs w:val="16"/>
        </w:rPr>
      </w:pPr>
    </w:p>
    <w:p w14:paraId="69756F35" w14:textId="12AC8CDD" w:rsidR="00085176" w:rsidRPr="00EB0C51" w:rsidRDefault="00085176" w:rsidP="00085176">
      <w:pPr>
        <w:jc w:val="both"/>
        <w:rPr>
          <w:rFonts w:cs="Arial"/>
          <w:bCs/>
          <w:i/>
          <w:iCs/>
        </w:rPr>
      </w:pPr>
      <w:r w:rsidRPr="00EB0C51">
        <w:rPr>
          <w:rFonts w:cs="Arial"/>
          <w:bCs/>
          <w:i/>
          <w:iCs/>
          <w:color w:val="000000" w:themeColor="text1"/>
        </w:rPr>
        <w:t>“</w:t>
      </w:r>
      <w:r w:rsidRPr="00EB0C51">
        <w:rPr>
          <w:rFonts w:cs="Arial"/>
          <w:bCs/>
          <w:i/>
          <w:iCs/>
        </w:rPr>
        <w:t>La constitución de cuentas por pagar al cierre de cada vigencia fiscal está sujeta a la recepción del bien y/o servicio o el cumplimiento de los requisitos que hagan exigible su pago. No obstante, aún recibido el bien y/o servicio, o el cumplimiento de los requisitos que hagan exigible el pago, las entidades del ámbito SIIF para constituir las cuentas por pagar deben contar con el correspondiente programa anual mensualizado de caja de la vigencia, de lo contrario debemos constituir como reservas presupuestales los saldos de los compromisos no pagados y que correspondan a la recepción de bienes y/o servicios o al cumplimiento de los requisitos que hagan exigible su pago</w:t>
      </w:r>
      <w:r w:rsidR="00862156" w:rsidRPr="00EB0C51">
        <w:rPr>
          <w:rFonts w:cs="Arial"/>
          <w:bCs/>
          <w:i/>
          <w:iCs/>
        </w:rPr>
        <w:t xml:space="preserve">. </w:t>
      </w:r>
    </w:p>
    <w:p w14:paraId="4EEF3CDE" w14:textId="4AFEE504" w:rsidR="00085176" w:rsidRPr="00EB0C51" w:rsidRDefault="00085176" w:rsidP="00085176">
      <w:pPr>
        <w:jc w:val="both"/>
        <w:rPr>
          <w:rFonts w:cs="Arial"/>
          <w:bCs/>
          <w:i/>
          <w:iCs/>
          <w:sz w:val="16"/>
          <w:szCs w:val="16"/>
        </w:rPr>
      </w:pPr>
    </w:p>
    <w:p w14:paraId="2FA4B886" w14:textId="5B4EC69E" w:rsidR="00085176" w:rsidRPr="00EB0C51" w:rsidRDefault="00085176" w:rsidP="00085176">
      <w:pPr>
        <w:jc w:val="both"/>
        <w:rPr>
          <w:rFonts w:cs="Arial"/>
          <w:bCs/>
          <w:i/>
          <w:iCs/>
        </w:rPr>
      </w:pPr>
      <w:r w:rsidRPr="00EB0C51">
        <w:rPr>
          <w:rFonts w:cs="Arial"/>
          <w:bCs/>
          <w:i/>
          <w:iCs/>
        </w:rPr>
        <w:t xml:space="preserve">Lo anterior, en cumplimiento del </w:t>
      </w:r>
      <w:r w:rsidR="000246E9" w:rsidRPr="00EB0C51">
        <w:rPr>
          <w:rFonts w:cs="Arial"/>
          <w:bCs/>
          <w:i/>
          <w:iCs/>
        </w:rPr>
        <w:t xml:space="preserve">artículo 27 del a Ley </w:t>
      </w:r>
      <w:r w:rsidR="001A293E" w:rsidRPr="00EB0C51">
        <w:rPr>
          <w:rFonts w:cs="Arial"/>
          <w:bCs/>
          <w:i/>
          <w:iCs/>
        </w:rPr>
        <w:t xml:space="preserve">2063 de 2020, por lo que </w:t>
      </w:r>
      <w:r w:rsidR="001F604D" w:rsidRPr="00EB0C51">
        <w:rPr>
          <w:rFonts w:cs="Arial"/>
          <w:bCs/>
          <w:i/>
          <w:iCs/>
        </w:rPr>
        <w:t xml:space="preserve">considerando la ausencia del PAC para constituir las cuentas por pagar se efectuaron los ajustes correspondientes en el SIIF Nación y se constituyeron las reservas presupuestales”. </w:t>
      </w:r>
    </w:p>
    <w:p w14:paraId="2BFBC845" w14:textId="77777777" w:rsidR="00B11A4C" w:rsidRPr="00EB0C51" w:rsidRDefault="00B11A4C" w:rsidP="00E93D62">
      <w:pPr>
        <w:jc w:val="both"/>
        <w:rPr>
          <w:rFonts w:cs="Arial"/>
          <w:bCs/>
          <w:color w:val="000000" w:themeColor="text1"/>
        </w:rPr>
      </w:pPr>
    </w:p>
    <w:p w14:paraId="08726280" w14:textId="200F0724" w:rsidR="00747444" w:rsidRPr="00EB0C51" w:rsidRDefault="00747444" w:rsidP="00747444">
      <w:pPr>
        <w:jc w:val="both"/>
        <w:rPr>
          <w:rFonts w:cs="Arial"/>
          <w:b/>
          <w:color w:val="000000" w:themeColor="text1"/>
        </w:rPr>
      </w:pPr>
      <w:r w:rsidRPr="00EB0C51">
        <w:rPr>
          <w:rFonts w:cs="Arial"/>
          <w:b/>
          <w:color w:val="000000" w:themeColor="text1"/>
        </w:rPr>
        <w:t>4.2.1.3 Apropiación vigente sin comprometer a diciembre de 2020</w:t>
      </w:r>
    </w:p>
    <w:p w14:paraId="510D1D15" w14:textId="77777777" w:rsidR="00747444" w:rsidRPr="00EB0C51" w:rsidRDefault="00747444" w:rsidP="00B11A4C">
      <w:pPr>
        <w:jc w:val="both"/>
        <w:rPr>
          <w:rFonts w:cs="Arial"/>
          <w:bCs/>
          <w:color w:val="000000" w:themeColor="text1"/>
          <w:sz w:val="20"/>
          <w:szCs w:val="20"/>
        </w:rPr>
      </w:pPr>
    </w:p>
    <w:p w14:paraId="753EC0ED" w14:textId="58DE4565" w:rsidR="00B11A4C" w:rsidRPr="00EB0C51" w:rsidRDefault="00B11A4C" w:rsidP="00B11A4C">
      <w:pPr>
        <w:jc w:val="both"/>
        <w:rPr>
          <w:rFonts w:cs="Arial"/>
          <w:bCs/>
          <w:color w:val="000000" w:themeColor="text1"/>
        </w:rPr>
      </w:pPr>
      <w:r w:rsidRPr="00EB0C51">
        <w:rPr>
          <w:rFonts w:cs="Arial"/>
          <w:bCs/>
          <w:color w:val="000000" w:themeColor="text1"/>
        </w:rPr>
        <w:t xml:space="preserve">Se identificó que frente a la apropiación vigente a 31 de diciembre de 2020, se dejaron de comprometer veinte billones ocho mil setecientos siete millones setecientos cuarenta y cinco mil quinientos </w:t>
      </w:r>
      <w:r w:rsidR="001D3E59" w:rsidRPr="00EB0C51">
        <w:rPr>
          <w:rFonts w:cs="Arial"/>
          <w:bCs/>
          <w:color w:val="000000" w:themeColor="text1"/>
        </w:rPr>
        <w:t>veintitrés</w:t>
      </w:r>
      <w:r w:rsidRPr="00EB0C51">
        <w:rPr>
          <w:rFonts w:cs="Arial"/>
          <w:bCs/>
          <w:color w:val="000000" w:themeColor="text1"/>
        </w:rPr>
        <w:t xml:space="preserve"> pesos ($20.008.707.745.52</w:t>
      </w:r>
      <w:r w:rsidR="001D3E59" w:rsidRPr="00EB0C51">
        <w:rPr>
          <w:rFonts w:cs="Arial"/>
          <w:bCs/>
          <w:color w:val="000000" w:themeColor="text1"/>
        </w:rPr>
        <w:t>3</w:t>
      </w:r>
      <w:r w:rsidRPr="00EB0C51">
        <w:rPr>
          <w:rFonts w:cs="Arial"/>
          <w:bCs/>
          <w:color w:val="000000" w:themeColor="text1"/>
        </w:rPr>
        <w:t>), de los cuales el 71% correspondieron al FOME</w:t>
      </w:r>
      <w:r w:rsidR="0033268F" w:rsidRPr="00EB0C51">
        <w:rPr>
          <w:rFonts w:cs="Arial"/>
          <w:bCs/>
          <w:color w:val="000000" w:themeColor="text1"/>
        </w:rPr>
        <w:t xml:space="preserve">; la tabla No. 6 presenta por tipo de apropiación los recursos que se dejaron de comprometer: </w:t>
      </w:r>
    </w:p>
    <w:p w14:paraId="037C3757" w14:textId="77777777" w:rsidR="00B11A4C" w:rsidRPr="00EB0C51" w:rsidRDefault="00B11A4C" w:rsidP="00B11A4C">
      <w:pPr>
        <w:jc w:val="both"/>
        <w:rPr>
          <w:rFonts w:cs="Arial"/>
          <w:bCs/>
          <w:color w:val="000000" w:themeColor="text1"/>
          <w:sz w:val="20"/>
          <w:szCs w:val="20"/>
        </w:rPr>
      </w:pPr>
    </w:p>
    <w:p w14:paraId="4F63C62B" w14:textId="783DF0EC" w:rsidR="00B11A4C" w:rsidRPr="00EB0C51" w:rsidRDefault="00B11A4C" w:rsidP="00B11A4C">
      <w:pPr>
        <w:pStyle w:val="Descripcin"/>
        <w:jc w:val="center"/>
        <w:rPr>
          <w:rFonts w:cs="Arial"/>
          <w:i w:val="0"/>
          <w:iCs w:val="0"/>
          <w:color w:val="000000" w:themeColor="text1"/>
          <w:sz w:val="24"/>
          <w:szCs w:val="24"/>
        </w:rPr>
      </w:pPr>
      <w:r w:rsidRPr="00EB0C51">
        <w:rPr>
          <w:rFonts w:cs="Arial"/>
          <w:color w:val="000000" w:themeColor="text1"/>
          <w:sz w:val="24"/>
          <w:szCs w:val="24"/>
        </w:rPr>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6</w:t>
      </w:r>
      <w:r w:rsidRPr="00EB0C51">
        <w:rPr>
          <w:rFonts w:cs="Arial"/>
          <w:color w:val="000000" w:themeColor="text1"/>
          <w:sz w:val="24"/>
          <w:szCs w:val="24"/>
        </w:rPr>
        <w:fldChar w:fldCharType="end"/>
      </w:r>
      <w:r w:rsidRPr="00EB0C51">
        <w:rPr>
          <w:rFonts w:cs="Arial"/>
          <w:color w:val="000000" w:themeColor="text1"/>
          <w:sz w:val="24"/>
          <w:szCs w:val="24"/>
        </w:rPr>
        <w:t xml:space="preserve">. </w:t>
      </w:r>
      <w:r w:rsidRPr="00EB0C51">
        <w:rPr>
          <w:rFonts w:cs="Arial"/>
          <w:i w:val="0"/>
          <w:iCs w:val="0"/>
          <w:color w:val="000000" w:themeColor="text1"/>
          <w:sz w:val="24"/>
          <w:szCs w:val="24"/>
        </w:rPr>
        <w:t xml:space="preserve">Apropiaciones vigentes </w:t>
      </w:r>
      <w:r w:rsidR="003B6B7D" w:rsidRPr="00EB0C51">
        <w:rPr>
          <w:rFonts w:cs="Arial"/>
          <w:i w:val="0"/>
          <w:iCs w:val="0"/>
          <w:color w:val="000000" w:themeColor="text1"/>
          <w:sz w:val="24"/>
          <w:szCs w:val="24"/>
        </w:rPr>
        <w:t xml:space="preserve">por tipo, </w:t>
      </w:r>
      <w:r w:rsidRPr="00EB0C51">
        <w:rPr>
          <w:rFonts w:cs="Arial"/>
          <w:i w:val="0"/>
          <w:iCs w:val="0"/>
          <w:color w:val="000000" w:themeColor="text1"/>
          <w:sz w:val="24"/>
          <w:szCs w:val="24"/>
        </w:rPr>
        <w:t>sin comprometer a 31 de diciembre de 2021</w:t>
      </w:r>
      <w:r w:rsidR="0033268F" w:rsidRPr="00EB0C51">
        <w:rPr>
          <w:rFonts w:cs="Arial"/>
          <w:i w:val="0"/>
          <w:iCs w:val="0"/>
          <w:color w:val="000000" w:themeColor="text1"/>
          <w:sz w:val="24"/>
          <w:szCs w:val="24"/>
        </w:rPr>
        <w:t xml:space="preserve"> </w:t>
      </w:r>
    </w:p>
    <w:p w14:paraId="066859D0" w14:textId="06B4F4C0" w:rsidR="00B11A4C" w:rsidRPr="00EB0C51" w:rsidRDefault="0033268F" w:rsidP="0033268F">
      <w:pPr>
        <w:pStyle w:val="Descripcin"/>
        <w:rPr>
          <w:rFonts w:cs="Arial"/>
          <w:i w:val="0"/>
          <w:iCs w:val="0"/>
          <w:color w:val="000000" w:themeColor="text1"/>
          <w:sz w:val="20"/>
          <w:szCs w:val="20"/>
        </w:rPr>
      </w:pPr>
      <w:r w:rsidRPr="00EB0C51">
        <w:rPr>
          <w:rFonts w:cs="Arial"/>
          <w:i w:val="0"/>
          <w:iCs w:val="0"/>
          <w:color w:val="000000" w:themeColor="text1"/>
          <w:sz w:val="20"/>
          <w:szCs w:val="20"/>
        </w:rPr>
        <w:t>Cifras expresadas en pesos</w:t>
      </w:r>
    </w:p>
    <w:tbl>
      <w:tblPr>
        <w:tblW w:w="9634" w:type="dxa"/>
        <w:tblCellMar>
          <w:left w:w="70" w:type="dxa"/>
          <w:right w:w="70" w:type="dxa"/>
        </w:tblCellMar>
        <w:tblLook w:val="04A0" w:firstRow="1" w:lastRow="0" w:firstColumn="1" w:lastColumn="0" w:noHBand="0" w:noVBand="1"/>
      </w:tblPr>
      <w:tblGrid>
        <w:gridCol w:w="2547"/>
        <w:gridCol w:w="1984"/>
        <w:gridCol w:w="1985"/>
        <w:gridCol w:w="2268"/>
        <w:gridCol w:w="850"/>
      </w:tblGrid>
      <w:tr w:rsidR="00186B92" w:rsidRPr="00EB0C51" w14:paraId="2C19FFE1" w14:textId="77777777" w:rsidTr="00B2171C">
        <w:trPr>
          <w:trHeight w:val="64"/>
          <w:tblHead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A2221" w14:textId="1B7CDB76" w:rsidR="00186B92" w:rsidRPr="00EB0C51" w:rsidRDefault="00186B92" w:rsidP="002058A0">
            <w:pPr>
              <w:jc w:val="center"/>
              <w:rPr>
                <w:rFonts w:cs="Arial"/>
                <w:i/>
                <w:iCs/>
                <w:color w:val="000000"/>
                <w:sz w:val="20"/>
                <w:szCs w:val="20"/>
                <w:lang w:eastAsia="es-CO"/>
              </w:rPr>
            </w:pPr>
            <w:r w:rsidRPr="00EB0C51">
              <w:rPr>
                <w:rFonts w:cs="Arial"/>
                <w:i/>
                <w:iCs/>
                <w:color w:val="000000"/>
                <w:sz w:val="20"/>
                <w:szCs w:val="20"/>
                <w:lang w:eastAsia="es-CO"/>
              </w:rPr>
              <w:t>Tipo de apropiación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30C3436" w14:textId="77777777" w:rsidR="00186B92" w:rsidRPr="00EB0C51" w:rsidRDefault="00186B92" w:rsidP="002058A0">
            <w:pPr>
              <w:jc w:val="center"/>
              <w:rPr>
                <w:rFonts w:cs="Arial"/>
                <w:i/>
                <w:iCs/>
                <w:color w:val="000000"/>
                <w:sz w:val="20"/>
                <w:szCs w:val="20"/>
                <w:lang w:eastAsia="es-CO"/>
              </w:rPr>
            </w:pPr>
            <w:r w:rsidRPr="00EB0C51">
              <w:rPr>
                <w:rFonts w:cs="Arial"/>
                <w:i/>
                <w:iCs/>
                <w:color w:val="000000"/>
                <w:sz w:val="20"/>
                <w:szCs w:val="20"/>
                <w:lang w:eastAsia="es-CO"/>
              </w:rPr>
              <w:t>Apropiación vigente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63BEEEF" w14:textId="77777777" w:rsidR="00186B92" w:rsidRPr="00EB0C51" w:rsidRDefault="00186B92" w:rsidP="002058A0">
            <w:pPr>
              <w:jc w:val="center"/>
              <w:rPr>
                <w:rFonts w:cs="Arial"/>
                <w:i/>
                <w:iCs/>
                <w:color w:val="000000"/>
                <w:sz w:val="20"/>
                <w:szCs w:val="20"/>
                <w:lang w:eastAsia="es-CO"/>
              </w:rPr>
            </w:pPr>
            <w:r w:rsidRPr="00EB0C51">
              <w:rPr>
                <w:rFonts w:cs="Arial"/>
                <w:i/>
                <w:iCs/>
                <w:color w:val="000000"/>
                <w:sz w:val="20"/>
                <w:szCs w:val="20"/>
                <w:lang w:eastAsia="es-CO"/>
              </w:rPr>
              <w:t>Apropiación comprometida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8390970" w14:textId="0A740768" w:rsidR="00186B92" w:rsidRPr="00EB0C51" w:rsidRDefault="00186B92" w:rsidP="00B2171C">
            <w:pPr>
              <w:jc w:val="center"/>
              <w:rPr>
                <w:rFonts w:cs="Arial"/>
                <w:i/>
                <w:iCs/>
                <w:color w:val="000000"/>
                <w:sz w:val="20"/>
                <w:szCs w:val="20"/>
                <w:lang w:eastAsia="es-CO"/>
              </w:rPr>
            </w:pPr>
            <w:r w:rsidRPr="00EB0C51">
              <w:rPr>
                <w:rFonts w:cs="Arial"/>
                <w:i/>
                <w:iCs/>
                <w:color w:val="000000"/>
                <w:sz w:val="20"/>
                <w:szCs w:val="20"/>
                <w:lang w:eastAsia="es-CO"/>
              </w:rPr>
              <w:t>apropiación vigente - comprometida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2BBDB7"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 xml:space="preserve"> % </w:t>
            </w:r>
          </w:p>
        </w:tc>
      </w:tr>
      <w:tr w:rsidR="00186B92" w:rsidRPr="00EB0C51" w14:paraId="21016415" w14:textId="77777777" w:rsidTr="00186B92">
        <w:trPr>
          <w:trHeight w:val="389"/>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C7A31E0" w14:textId="7D565CEB" w:rsidR="00186B92" w:rsidRPr="00EB0C51" w:rsidRDefault="00186B92" w:rsidP="002058A0">
            <w:pPr>
              <w:jc w:val="both"/>
              <w:rPr>
                <w:rFonts w:cs="Arial"/>
                <w:color w:val="000000"/>
                <w:sz w:val="20"/>
                <w:szCs w:val="20"/>
                <w:lang w:eastAsia="es-CO"/>
              </w:rPr>
            </w:pPr>
            <w:r w:rsidRPr="00EB0C51">
              <w:rPr>
                <w:rFonts w:cs="Arial"/>
                <w:color w:val="000000"/>
                <w:sz w:val="20"/>
                <w:szCs w:val="20"/>
                <w:lang w:eastAsia="es-CO"/>
              </w:rPr>
              <w:t>Recursos a ejecutar por el MHCP</w:t>
            </w:r>
          </w:p>
        </w:tc>
        <w:tc>
          <w:tcPr>
            <w:tcW w:w="1984" w:type="dxa"/>
            <w:tcBorders>
              <w:top w:val="nil"/>
              <w:left w:val="nil"/>
              <w:bottom w:val="single" w:sz="4" w:space="0" w:color="auto"/>
              <w:right w:val="single" w:sz="4" w:space="0" w:color="auto"/>
            </w:tcBorders>
            <w:shd w:val="clear" w:color="auto" w:fill="auto"/>
            <w:noWrap/>
            <w:vAlign w:val="center"/>
            <w:hideMark/>
          </w:tcPr>
          <w:p w14:paraId="76D86817"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11.889.646.572.818</w:t>
            </w:r>
          </w:p>
        </w:tc>
        <w:tc>
          <w:tcPr>
            <w:tcW w:w="1985" w:type="dxa"/>
            <w:tcBorders>
              <w:top w:val="nil"/>
              <w:left w:val="nil"/>
              <w:bottom w:val="single" w:sz="4" w:space="0" w:color="auto"/>
              <w:right w:val="single" w:sz="4" w:space="0" w:color="auto"/>
            </w:tcBorders>
            <w:shd w:val="clear" w:color="auto" w:fill="auto"/>
            <w:noWrap/>
            <w:vAlign w:val="center"/>
            <w:hideMark/>
          </w:tcPr>
          <w:p w14:paraId="671E3529"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11.079.379.627.779</w:t>
            </w:r>
          </w:p>
        </w:tc>
        <w:tc>
          <w:tcPr>
            <w:tcW w:w="2268" w:type="dxa"/>
            <w:tcBorders>
              <w:top w:val="nil"/>
              <w:left w:val="nil"/>
              <w:bottom w:val="single" w:sz="4" w:space="0" w:color="auto"/>
              <w:right w:val="single" w:sz="4" w:space="0" w:color="auto"/>
            </w:tcBorders>
            <w:shd w:val="clear" w:color="auto" w:fill="auto"/>
            <w:noWrap/>
            <w:vAlign w:val="center"/>
            <w:hideMark/>
          </w:tcPr>
          <w:p w14:paraId="15B231E6"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810.266.945.039</w:t>
            </w:r>
          </w:p>
        </w:tc>
        <w:tc>
          <w:tcPr>
            <w:tcW w:w="850" w:type="dxa"/>
            <w:tcBorders>
              <w:top w:val="nil"/>
              <w:left w:val="nil"/>
              <w:bottom w:val="single" w:sz="4" w:space="0" w:color="auto"/>
              <w:right w:val="single" w:sz="4" w:space="0" w:color="auto"/>
            </w:tcBorders>
            <w:shd w:val="clear" w:color="auto" w:fill="auto"/>
            <w:noWrap/>
            <w:vAlign w:val="center"/>
            <w:hideMark/>
          </w:tcPr>
          <w:p w14:paraId="7030F3AF"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7%</w:t>
            </w:r>
          </w:p>
        </w:tc>
      </w:tr>
      <w:tr w:rsidR="00186B92" w:rsidRPr="00EB0C51" w14:paraId="7BD9712E" w14:textId="77777777" w:rsidTr="00186B92">
        <w:trPr>
          <w:trHeight w:val="583"/>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D69357F" w14:textId="418440DE" w:rsidR="00186B92" w:rsidRPr="00EB0C51" w:rsidRDefault="00186B92" w:rsidP="002058A0">
            <w:pPr>
              <w:jc w:val="both"/>
              <w:rPr>
                <w:rFonts w:cs="Arial"/>
                <w:color w:val="000000"/>
                <w:sz w:val="20"/>
                <w:szCs w:val="20"/>
                <w:lang w:eastAsia="es-CO"/>
              </w:rPr>
            </w:pPr>
            <w:r w:rsidRPr="00EB0C51">
              <w:rPr>
                <w:rFonts w:cs="Arial"/>
                <w:color w:val="000000"/>
                <w:sz w:val="20"/>
                <w:szCs w:val="20"/>
                <w:lang w:eastAsia="es-CO"/>
              </w:rPr>
              <w:t>Recursos a distribuir por el MHCP a otras entidades, para su ejecución</w:t>
            </w:r>
          </w:p>
        </w:tc>
        <w:tc>
          <w:tcPr>
            <w:tcW w:w="1984" w:type="dxa"/>
            <w:tcBorders>
              <w:top w:val="nil"/>
              <w:left w:val="nil"/>
              <w:bottom w:val="single" w:sz="4" w:space="0" w:color="auto"/>
              <w:right w:val="single" w:sz="4" w:space="0" w:color="auto"/>
            </w:tcBorders>
            <w:shd w:val="clear" w:color="auto" w:fill="auto"/>
            <w:noWrap/>
            <w:vAlign w:val="center"/>
            <w:hideMark/>
          </w:tcPr>
          <w:p w14:paraId="583627FF"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977.122.397.045</w:t>
            </w:r>
          </w:p>
        </w:tc>
        <w:tc>
          <w:tcPr>
            <w:tcW w:w="1985" w:type="dxa"/>
            <w:tcBorders>
              <w:top w:val="nil"/>
              <w:left w:val="nil"/>
              <w:bottom w:val="single" w:sz="4" w:space="0" w:color="auto"/>
              <w:right w:val="single" w:sz="4" w:space="0" w:color="auto"/>
            </w:tcBorders>
            <w:shd w:val="clear" w:color="auto" w:fill="auto"/>
            <w:noWrap/>
            <w:vAlign w:val="center"/>
            <w:hideMark/>
          </w:tcPr>
          <w:p w14:paraId="30A939D4"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18.256.571</w:t>
            </w:r>
          </w:p>
        </w:tc>
        <w:tc>
          <w:tcPr>
            <w:tcW w:w="2268" w:type="dxa"/>
            <w:tcBorders>
              <w:top w:val="nil"/>
              <w:left w:val="nil"/>
              <w:bottom w:val="single" w:sz="4" w:space="0" w:color="auto"/>
              <w:right w:val="single" w:sz="4" w:space="0" w:color="auto"/>
            </w:tcBorders>
            <w:shd w:val="clear" w:color="auto" w:fill="auto"/>
            <w:noWrap/>
            <w:vAlign w:val="center"/>
            <w:hideMark/>
          </w:tcPr>
          <w:p w14:paraId="43963812" w14:textId="2A011C02"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14:paraId="74F1D085" w14:textId="311528FC"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w:t>
            </w:r>
          </w:p>
        </w:tc>
      </w:tr>
      <w:tr w:rsidR="00186B92" w:rsidRPr="00EB0C51" w14:paraId="42E76011" w14:textId="77777777" w:rsidTr="00186B92">
        <w:trPr>
          <w:trHeight w:val="389"/>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FD7DD15" w14:textId="77777777" w:rsidR="00186B92" w:rsidRPr="00EB0C51" w:rsidRDefault="00186B92" w:rsidP="002058A0">
            <w:pPr>
              <w:jc w:val="both"/>
              <w:rPr>
                <w:rFonts w:cs="Arial"/>
                <w:color w:val="000000"/>
                <w:sz w:val="20"/>
                <w:szCs w:val="20"/>
                <w:lang w:eastAsia="es-CO"/>
              </w:rPr>
            </w:pPr>
            <w:r w:rsidRPr="00EB0C51">
              <w:rPr>
                <w:rFonts w:cs="Arial"/>
                <w:color w:val="000000"/>
                <w:sz w:val="20"/>
                <w:szCs w:val="20"/>
                <w:lang w:eastAsia="es-CO"/>
              </w:rPr>
              <w:t>Fondo de Mitigación de Emergencias - FOME</w:t>
            </w:r>
          </w:p>
        </w:tc>
        <w:tc>
          <w:tcPr>
            <w:tcW w:w="1984" w:type="dxa"/>
            <w:tcBorders>
              <w:top w:val="nil"/>
              <w:left w:val="nil"/>
              <w:bottom w:val="single" w:sz="4" w:space="0" w:color="auto"/>
              <w:right w:val="single" w:sz="4" w:space="0" w:color="auto"/>
            </w:tcBorders>
            <w:shd w:val="clear" w:color="auto" w:fill="auto"/>
            <w:noWrap/>
            <w:vAlign w:val="center"/>
            <w:hideMark/>
          </w:tcPr>
          <w:p w14:paraId="774953B4"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25.694.153.423.519</w:t>
            </w:r>
          </w:p>
        </w:tc>
        <w:tc>
          <w:tcPr>
            <w:tcW w:w="1985" w:type="dxa"/>
            <w:tcBorders>
              <w:top w:val="nil"/>
              <w:left w:val="nil"/>
              <w:bottom w:val="single" w:sz="4" w:space="0" w:color="auto"/>
              <w:right w:val="single" w:sz="4" w:space="0" w:color="auto"/>
            </w:tcBorders>
            <w:shd w:val="clear" w:color="auto" w:fill="auto"/>
            <w:noWrap/>
            <w:vAlign w:val="center"/>
            <w:hideMark/>
          </w:tcPr>
          <w:p w14:paraId="531D21DE"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7.472.816.763.509</w:t>
            </w:r>
          </w:p>
        </w:tc>
        <w:tc>
          <w:tcPr>
            <w:tcW w:w="2268" w:type="dxa"/>
            <w:tcBorders>
              <w:top w:val="nil"/>
              <w:left w:val="nil"/>
              <w:bottom w:val="single" w:sz="4" w:space="0" w:color="auto"/>
              <w:right w:val="single" w:sz="4" w:space="0" w:color="auto"/>
            </w:tcBorders>
            <w:shd w:val="clear" w:color="auto" w:fill="auto"/>
            <w:noWrap/>
            <w:vAlign w:val="center"/>
            <w:hideMark/>
          </w:tcPr>
          <w:p w14:paraId="34D8645C"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18.221.336.660.010</w:t>
            </w:r>
          </w:p>
        </w:tc>
        <w:tc>
          <w:tcPr>
            <w:tcW w:w="850" w:type="dxa"/>
            <w:tcBorders>
              <w:top w:val="nil"/>
              <w:left w:val="nil"/>
              <w:bottom w:val="single" w:sz="4" w:space="0" w:color="auto"/>
              <w:right w:val="single" w:sz="4" w:space="0" w:color="auto"/>
            </w:tcBorders>
            <w:shd w:val="clear" w:color="auto" w:fill="auto"/>
            <w:noWrap/>
            <w:vAlign w:val="center"/>
            <w:hideMark/>
          </w:tcPr>
          <w:p w14:paraId="6C8EF203"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71%</w:t>
            </w:r>
          </w:p>
        </w:tc>
      </w:tr>
      <w:tr w:rsidR="00186B92" w:rsidRPr="00EB0C51" w14:paraId="3E78F7B7" w14:textId="77777777" w:rsidTr="00186B92">
        <w:trPr>
          <w:trHeight w:val="22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15D3322" w14:textId="77777777" w:rsidR="00186B92" w:rsidRPr="00EB0C51" w:rsidRDefault="00186B92" w:rsidP="002058A0">
            <w:pPr>
              <w:jc w:val="both"/>
              <w:rPr>
                <w:rFonts w:cs="Arial"/>
                <w:color w:val="000000"/>
                <w:sz w:val="20"/>
                <w:szCs w:val="20"/>
                <w:lang w:eastAsia="es-CO"/>
              </w:rPr>
            </w:pPr>
            <w:r w:rsidRPr="00EB0C51">
              <w:rPr>
                <w:rFonts w:cs="Arial"/>
                <w:color w:val="000000"/>
                <w:sz w:val="20"/>
                <w:szCs w:val="20"/>
                <w:lang w:eastAsia="es-CO"/>
              </w:rPr>
              <w:t>Total MHCP</w:t>
            </w:r>
          </w:p>
        </w:tc>
        <w:tc>
          <w:tcPr>
            <w:tcW w:w="1984" w:type="dxa"/>
            <w:tcBorders>
              <w:top w:val="nil"/>
              <w:left w:val="nil"/>
              <w:bottom w:val="single" w:sz="4" w:space="0" w:color="auto"/>
              <w:right w:val="single" w:sz="4" w:space="0" w:color="auto"/>
            </w:tcBorders>
            <w:shd w:val="clear" w:color="auto" w:fill="auto"/>
            <w:noWrap/>
            <w:vAlign w:val="center"/>
            <w:hideMark/>
          </w:tcPr>
          <w:p w14:paraId="2F7F79B7"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38.560.922.393.382</w:t>
            </w:r>
          </w:p>
        </w:tc>
        <w:tc>
          <w:tcPr>
            <w:tcW w:w="1985" w:type="dxa"/>
            <w:tcBorders>
              <w:top w:val="nil"/>
              <w:left w:val="nil"/>
              <w:bottom w:val="single" w:sz="4" w:space="0" w:color="auto"/>
              <w:right w:val="single" w:sz="4" w:space="0" w:color="auto"/>
            </w:tcBorders>
            <w:shd w:val="clear" w:color="auto" w:fill="auto"/>
            <w:noWrap/>
            <w:vAlign w:val="center"/>
            <w:hideMark/>
          </w:tcPr>
          <w:p w14:paraId="486D3D91"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18.552.214.647.859</w:t>
            </w:r>
          </w:p>
        </w:tc>
        <w:tc>
          <w:tcPr>
            <w:tcW w:w="2268" w:type="dxa"/>
            <w:tcBorders>
              <w:top w:val="nil"/>
              <w:left w:val="nil"/>
              <w:bottom w:val="single" w:sz="4" w:space="0" w:color="auto"/>
              <w:right w:val="single" w:sz="4" w:space="0" w:color="auto"/>
            </w:tcBorders>
            <w:shd w:val="clear" w:color="auto" w:fill="auto"/>
            <w:noWrap/>
            <w:vAlign w:val="center"/>
            <w:hideMark/>
          </w:tcPr>
          <w:p w14:paraId="20D212FB"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20.008.707.745.523</w:t>
            </w:r>
          </w:p>
        </w:tc>
        <w:tc>
          <w:tcPr>
            <w:tcW w:w="850" w:type="dxa"/>
            <w:tcBorders>
              <w:top w:val="nil"/>
              <w:left w:val="nil"/>
              <w:bottom w:val="single" w:sz="4" w:space="0" w:color="auto"/>
              <w:right w:val="single" w:sz="4" w:space="0" w:color="auto"/>
            </w:tcBorders>
            <w:shd w:val="clear" w:color="auto" w:fill="auto"/>
            <w:noWrap/>
            <w:vAlign w:val="center"/>
            <w:hideMark/>
          </w:tcPr>
          <w:p w14:paraId="362EDA49" w14:textId="77777777" w:rsidR="00186B92" w:rsidRPr="00EB0C51" w:rsidRDefault="00186B92" w:rsidP="002058A0">
            <w:pPr>
              <w:jc w:val="center"/>
              <w:rPr>
                <w:rFonts w:cs="Arial"/>
                <w:color w:val="000000"/>
                <w:sz w:val="20"/>
                <w:szCs w:val="20"/>
                <w:lang w:eastAsia="es-CO"/>
              </w:rPr>
            </w:pPr>
            <w:r w:rsidRPr="00EB0C51">
              <w:rPr>
                <w:rFonts w:cs="Arial"/>
                <w:color w:val="000000"/>
                <w:sz w:val="20"/>
                <w:szCs w:val="20"/>
                <w:lang w:eastAsia="es-CO"/>
              </w:rPr>
              <w:t>52%</w:t>
            </w:r>
          </w:p>
        </w:tc>
      </w:tr>
    </w:tbl>
    <w:p w14:paraId="197AF4D8" w14:textId="59B9C795" w:rsidR="00B2171C" w:rsidRPr="00EB0C51" w:rsidRDefault="00B2171C" w:rsidP="00B2171C">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 y el informe de ejecución presupuestal de junio de 2021 </w:t>
      </w:r>
    </w:p>
    <w:p w14:paraId="126FD876" w14:textId="6A90A583" w:rsidR="00153311" w:rsidRPr="00EB0C51" w:rsidRDefault="00B11A4C" w:rsidP="00153311">
      <w:pPr>
        <w:jc w:val="both"/>
        <w:rPr>
          <w:rFonts w:cs="Arial"/>
          <w:bCs/>
          <w:color w:val="000000" w:themeColor="text1"/>
        </w:rPr>
      </w:pPr>
      <w:r w:rsidRPr="00EB0C51">
        <w:rPr>
          <w:rFonts w:cs="Arial"/>
          <w:bCs/>
          <w:color w:val="000000" w:themeColor="text1"/>
        </w:rPr>
        <w:lastRenderedPageBreak/>
        <w:t xml:space="preserve">Se solicitó a la OAP información acerca de </w:t>
      </w:r>
      <w:r w:rsidR="004F0074" w:rsidRPr="00EB0C51">
        <w:rPr>
          <w:rFonts w:cs="Arial"/>
          <w:bCs/>
          <w:color w:val="000000" w:themeColor="text1"/>
        </w:rPr>
        <w:t xml:space="preserve">los recursos </w:t>
      </w:r>
      <w:r w:rsidR="002E6C2C" w:rsidRPr="00EB0C51">
        <w:rPr>
          <w:rFonts w:cs="Arial"/>
          <w:bCs/>
          <w:color w:val="000000" w:themeColor="text1"/>
        </w:rPr>
        <w:t xml:space="preserve">apropiados </w:t>
      </w:r>
      <w:r w:rsidR="004F0074" w:rsidRPr="00EB0C51">
        <w:rPr>
          <w:rFonts w:cs="Arial"/>
          <w:bCs/>
          <w:color w:val="000000" w:themeColor="text1"/>
        </w:rPr>
        <w:t xml:space="preserve">que no fueron </w:t>
      </w:r>
      <w:r w:rsidR="002E6C2C" w:rsidRPr="00EB0C51">
        <w:rPr>
          <w:rFonts w:cs="Arial"/>
          <w:bCs/>
          <w:color w:val="000000" w:themeColor="text1"/>
        </w:rPr>
        <w:t>comprometidos</w:t>
      </w:r>
      <w:r w:rsidR="004F0074" w:rsidRPr="00EB0C51">
        <w:rPr>
          <w:rFonts w:cs="Arial"/>
          <w:bCs/>
          <w:color w:val="000000" w:themeColor="text1"/>
        </w:rPr>
        <w:t xml:space="preserve"> a diciembre de 2020</w:t>
      </w:r>
      <w:r w:rsidR="004A21BB" w:rsidRPr="00EB0C51">
        <w:rPr>
          <w:rFonts w:cs="Arial"/>
          <w:bCs/>
          <w:color w:val="000000" w:themeColor="text1"/>
        </w:rPr>
        <w:t xml:space="preserve">, </w:t>
      </w:r>
      <w:r w:rsidRPr="00EB0C51">
        <w:rPr>
          <w:rFonts w:cs="Arial"/>
          <w:bCs/>
          <w:color w:val="000000" w:themeColor="text1"/>
        </w:rPr>
        <w:t>la Subdirección Financiera manifes</w:t>
      </w:r>
      <w:r w:rsidR="004A21BB" w:rsidRPr="00EB0C51">
        <w:rPr>
          <w:rFonts w:cs="Arial"/>
          <w:bCs/>
          <w:color w:val="000000" w:themeColor="text1"/>
        </w:rPr>
        <w:t>tó</w:t>
      </w:r>
      <w:r w:rsidRPr="00EB0C51">
        <w:rPr>
          <w:rFonts w:cs="Arial"/>
          <w:bCs/>
          <w:color w:val="000000" w:themeColor="text1"/>
        </w:rPr>
        <w:t xml:space="preserve"> </w:t>
      </w:r>
      <w:r w:rsidR="00D44923" w:rsidRPr="00EB0C51">
        <w:rPr>
          <w:rFonts w:cs="Arial"/>
          <w:bCs/>
          <w:color w:val="000000" w:themeColor="text1"/>
        </w:rPr>
        <w:t xml:space="preserve">que </w:t>
      </w:r>
      <w:r w:rsidRPr="00EB0C51">
        <w:rPr>
          <w:rFonts w:cs="Arial"/>
          <w:bCs/>
          <w:color w:val="000000" w:themeColor="text1"/>
        </w:rPr>
        <w:t>de acuerdo con lo establecido en el artículo 39 de la Ley 2063 de 2020, para garantizar la continuidad de la política integral de solventar las necesidades sociales y económicas y la reactivación de la economía durante la vigencia 2021, se autorizó al Gobierno incorporar los saldos no comprometidos en la vigencia de 2020, financiados con los recursos del FOME</w:t>
      </w:r>
      <w:r w:rsidR="00683C0F" w:rsidRPr="00EB0C51">
        <w:rPr>
          <w:rFonts w:cs="Arial"/>
          <w:bCs/>
          <w:color w:val="000000" w:themeColor="text1"/>
        </w:rPr>
        <w:t xml:space="preserve"> y en </w:t>
      </w:r>
      <w:r w:rsidR="00153311" w:rsidRPr="00EB0C51">
        <w:rPr>
          <w:rFonts w:cs="Arial"/>
        </w:rPr>
        <w:t xml:space="preserve">cumplimiento de </w:t>
      </w:r>
      <w:r w:rsidR="00727E56" w:rsidRPr="00EB0C51">
        <w:rPr>
          <w:rFonts w:cs="Arial"/>
        </w:rPr>
        <w:t xml:space="preserve">citada </w:t>
      </w:r>
      <w:r w:rsidR="00153311" w:rsidRPr="00EB0C51">
        <w:rPr>
          <w:rFonts w:cs="Arial"/>
        </w:rPr>
        <w:t>disposición</w:t>
      </w:r>
      <w:r w:rsidR="00727E56" w:rsidRPr="00EB0C51">
        <w:rPr>
          <w:rFonts w:cs="Arial"/>
        </w:rPr>
        <w:t>,</w:t>
      </w:r>
      <w:r w:rsidR="00153311" w:rsidRPr="00EB0C51">
        <w:rPr>
          <w:rFonts w:cs="Arial"/>
        </w:rPr>
        <w:t xml:space="preserve"> mediante el Decreto 085 de 2021 </w:t>
      </w:r>
      <w:r w:rsidR="004901D1" w:rsidRPr="00EB0C51">
        <w:rPr>
          <w:rFonts w:cs="Arial"/>
        </w:rPr>
        <w:t xml:space="preserve">se </w:t>
      </w:r>
      <w:r w:rsidR="00153311" w:rsidRPr="00EB0C51">
        <w:rPr>
          <w:rFonts w:cs="Arial"/>
        </w:rPr>
        <w:t>adicionó el Presupuesto General de la Nación asignando a la sección presupuestal 13-01-01 Ministerio de Hacienda y Crédito Público – Unidad Gestión General</w:t>
      </w:r>
      <w:r w:rsidR="004901D1" w:rsidRPr="00EB0C51">
        <w:rPr>
          <w:rFonts w:cs="Arial"/>
        </w:rPr>
        <w:t>,</w:t>
      </w:r>
      <w:r w:rsidR="00153311" w:rsidRPr="00EB0C51">
        <w:rPr>
          <w:rFonts w:cs="Arial"/>
        </w:rPr>
        <w:t xml:space="preserve"> </w:t>
      </w:r>
      <w:r w:rsidR="00727E56" w:rsidRPr="00EB0C51">
        <w:rPr>
          <w:rFonts w:cs="Arial"/>
        </w:rPr>
        <w:t xml:space="preserve">la suma de dieciocho billones cuatrocientos noventa y seis mil cuatrocientos ochenta y siete millones cuatrocientos quince mil ochocientos doce pesos </w:t>
      </w:r>
      <w:r w:rsidR="00067C06" w:rsidRPr="00EB0C51">
        <w:rPr>
          <w:rFonts w:cs="Arial"/>
        </w:rPr>
        <w:t>(</w:t>
      </w:r>
      <w:r w:rsidR="00153311" w:rsidRPr="00EB0C51">
        <w:rPr>
          <w:rFonts w:cs="Arial"/>
        </w:rPr>
        <w:t>$18.496.487.415.812</w:t>
      </w:r>
      <w:r w:rsidR="00067C06" w:rsidRPr="00EB0C51">
        <w:rPr>
          <w:rFonts w:cs="Arial"/>
        </w:rPr>
        <w:t xml:space="preserve">). </w:t>
      </w:r>
    </w:p>
    <w:p w14:paraId="67CFED5F" w14:textId="77777777" w:rsidR="00153311" w:rsidRPr="00EB0C51" w:rsidRDefault="00153311" w:rsidP="00153311">
      <w:pPr>
        <w:jc w:val="both"/>
        <w:rPr>
          <w:rFonts w:cs="Arial"/>
        </w:rPr>
      </w:pPr>
    </w:p>
    <w:p w14:paraId="2ED252CB" w14:textId="1762ADCD" w:rsidR="00153311" w:rsidRPr="00EB0C51" w:rsidRDefault="00322E8A" w:rsidP="00153311">
      <w:pPr>
        <w:jc w:val="both"/>
        <w:rPr>
          <w:rFonts w:cs="Arial"/>
          <w:color w:val="000000"/>
          <w:lang w:eastAsia="es-CO"/>
        </w:rPr>
      </w:pPr>
      <w:r w:rsidRPr="00EB0C51">
        <w:rPr>
          <w:rFonts w:cs="Arial"/>
        </w:rPr>
        <w:t>Aunado</w:t>
      </w:r>
      <w:r w:rsidR="007151E7" w:rsidRPr="00EB0C51">
        <w:rPr>
          <w:rFonts w:cs="Arial"/>
        </w:rPr>
        <w:t xml:space="preserve"> </w:t>
      </w:r>
      <w:r w:rsidR="00AD26BF" w:rsidRPr="00EB0C51">
        <w:rPr>
          <w:rFonts w:cs="Arial"/>
        </w:rPr>
        <w:t>a lo anterior, coment</w:t>
      </w:r>
      <w:r w:rsidR="004A21BB" w:rsidRPr="00EB0C51">
        <w:rPr>
          <w:rFonts w:cs="Arial"/>
        </w:rPr>
        <w:t>ó</w:t>
      </w:r>
      <w:r w:rsidR="00AD26BF" w:rsidRPr="00EB0C51">
        <w:rPr>
          <w:rFonts w:cs="Arial"/>
        </w:rPr>
        <w:t xml:space="preserve"> que</w:t>
      </w:r>
      <w:r w:rsidR="007151E7" w:rsidRPr="00EB0C51">
        <w:rPr>
          <w:rFonts w:cs="Arial"/>
        </w:rPr>
        <w:t xml:space="preserve"> </w:t>
      </w:r>
      <w:r w:rsidR="00596B7D" w:rsidRPr="00EB0C51">
        <w:rPr>
          <w:rFonts w:cs="Arial"/>
        </w:rPr>
        <w:t xml:space="preserve">de </w:t>
      </w:r>
      <w:r w:rsidR="00AD26BF" w:rsidRPr="00EB0C51">
        <w:rPr>
          <w:rFonts w:cs="Arial"/>
        </w:rPr>
        <w:t>l</w:t>
      </w:r>
      <w:r w:rsidR="004E00F8" w:rsidRPr="00EB0C51">
        <w:rPr>
          <w:rFonts w:cs="Arial"/>
        </w:rPr>
        <w:t xml:space="preserve">os </w:t>
      </w:r>
      <w:r w:rsidR="00116EA8" w:rsidRPr="00EB0C51">
        <w:rPr>
          <w:rFonts w:cs="Arial"/>
        </w:rPr>
        <w:t xml:space="preserve">recursos </w:t>
      </w:r>
      <w:r w:rsidR="00596B7D" w:rsidRPr="00EB0C51">
        <w:rPr>
          <w:rFonts w:cs="Arial"/>
        </w:rPr>
        <w:t xml:space="preserve">relacionados previamente, </w:t>
      </w:r>
      <w:r w:rsidR="004E00F8" w:rsidRPr="00EB0C51">
        <w:rPr>
          <w:rFonts w:cs="Arial"/>
        </w:rPr>
        <w:t xml:space="preserve">adicionados </w:t>
      </w:r>
      <w:r w:rsidR="00153311" w:rsidRPr="00EB0C51">
        <w:rPr>
          <w:rFonts w:cs="Arial"/>
        </w:rPr>
        <w:t>como saldo</w:t>
      </w:r>
      <w:r w:rsidR="00283D48" w:rsidRPr="00EB0C51">
        <w:rPr>
          <w:rFonts w:cs="Arial"/>
        </w:rPr>
        <w:t>s</w:t>
      </w:r>
      <w:r w:rsidR="00153311" w:rsidRPr="00EB0C51">
        <w:rPr>
          <w:rFonts w:cs="Arial"/>
        </w:rPr>
        <w:t xml:space="preserve"> no comprometidos de la vigencia 2020</w:t>
      </w:r>
      <w:r w:rsidR="00D51DC2" w:rsidRPr="00EB0C51">
        <w:rPr>
          <w:rFonts w:cs="Arial"/>
        </w:rPr>
        <w:t>,</w:t>
      </w:r>
      <w:r w:rsidR="00153311" w:rsidRPr="00EB0C51">
        <w:rPr>
          <w:rFonts w:cs="Arial"/>
        </w:rPr>
        <w:t xml:space="preserve"> financiados con los recursos d</w:t>
      </w:r>
      <w:r w:rsidR="00731905" w:rsidRPr="00EB0C51">
        <w:rPr>
          <w:rFonts w:cs="Arial"/>
        </w:rPr>
        <w:t xml:space="preserve">el </w:t>
      </w:r>
      <w:r w:rsidR="00153311" w:rsidRPr="00EB0C51">
        <w:rPr>
          <w:rFonts w:cs="Arial"/>
        </w:rPr>
        <w:t>FOME (</w:t>
      </w:r>
      <w:r w:rsidR="00D51DC2" w:rsidRPr="00EB0C51">
        <w:rPr>
          <w:rFonts w:cs="Arial"/>
        </w:rPr>
        <w:t>C</w:t>
      </w:r>
      <w:r w:rsidR="00153311" w:rsidRPr="00EB0C51">
        <w:rPr>
          <w:rFonts w:cs="Arial"/>
        </w:rPr>
        <w:t>lasificados como recurso 54 en el informe de ejecución presupuestal)</w:t>
      </w:r>
      <w:r w:rsidR="00D0777E" w:rsidRPr="00EB0C51">
        <w:rPr>
          <w:rFonts w:cs="Arial"/>
        </w:rPr>
        <w:t xml:space="preserve"> </w:t>
      </w:r>
      <w:r w:rsidR="00FA4BC4" w:rsidRPr="00EB0C51">
        <w:rPr>
          <w:rFonts w:cs="Arial"/>
        </w:rPr>
        <w:t xml:space="preserve">corresponden </w:t>
      </w:r>
      <w:r w:rsidR="00D0777E" w:rsidRPr="00EB0C51">
        <w:rPr>
          <w:rFonts w:cs="Arial"/>
        </w:rPr>
        <w:t>a</w:t>
      </w:r>
      <w:r w:rsidR="00153311" w:rsidRPr="00EB0C51">
        <w:rPr>
          <w:rFonts w:cs="Arial"/>
        </w:rPr>
        <w:t xml:space="preserve"> la suma de </w:t>
      </w:r>
      <w:r w:rsidR="00693131" w:rsidRPr="00EB0C51">
        <w:rPr>
          <w:rFonts w:cs="Arial"/>
          <w:bCs/>
          <w:color w:val="000000" w:themeColor="text1"/>
        </w:rPr>
        <w:t xml:space="preserve">dieciocho billones doscientos veintiún </w:t>
      </w:r>
      <w:r w:rsidR="00522A32" w:rsidRPr="00EB0C51">
        <w:rPr>
          <w:rFonts w:cs="Arial"/>
          <w:bCs/>
          <w:color w:val="000000" w:themeColor="text1"/>
        </w:rPr>
        <w:t xml:space="preserve">mil </w:t>
      </w:r>
      <w:r w:rsidR="00693131" w:rsidRPr="00EB0C51">
        <w:rPr>
          <w:rFonts w:cs="Arial"/>
          <w:bCs/>
          <w:color w:val="000000" w:themeColor="text1"/>
        </w:rPr>
        <w:t>trescientos treinta y seis millones seiscientos sesenta mil diez pesos</w:t>
      </w:r>
      <w:r w:rsidR="00693131" w:rsidRPr="00EB0C51">
        <w:rPr>
          <w:rFonts w:cs="Arial"/>
        </w:rPr>
        <w:t xml:space="preserve"> (</w:t>
      </w:r>
      <w:r w:rsidR="00153311" w:rsidRPr="00EB0C51">
        <w:rPr>
          <w:rFonts w:cs="Arial"/>
        </w:rPr>
        <w:t>$</w:t>
      </w:r>
      <w:r w:rsidR="00153311" w:rsidRPr="00EB0C51">
        <w:rPr>
          <w:rFonts w:cs="Arial"/>
          <w:color w:val="000000"/>
          <w:lang w:eastAsia="es-CO"/>
        </w:rPr>
        <w:t>18,221,336,660,010</w:t>
      </w:r>
      <w:r w:rsidR="00693131" w:rsidRPr="00EB0C51">
        <w:rPr>
          <w:rFonts w:cs="Arial"/>
          <w:color w:val="000000"/>
          <w:lang w:eastAsia="es-CO"/>
        </w:rPr>
        <w:t>).</w:t>
      </w:r>
    </w:p>
    <w:p w14:paraId="6674F1FA" w14:textId="77777777" w:rsidR="00B11A4C" w:rsidRPr="00EB0C51" w:rsidRDefault="00B11A4C" w:rsidP="00B11A4C">
      <w:pPr>
        <w:jc w:val="both"/>
        <w:rPr>
          <w:rFonts w:cs="Arial"/>
          <w:bCs/>
          <w:color w:val="000000" w:themeColor="text1"/>
        </w:rPr>
      </w:pPr>
    </w:p>
    <w:p w14:paraId="2F73E3A8" w14:textId="5CBC414A" w:rsidR="00B11A4C" w:rsidRPr="00EB0C51" w:rsidRDefault="00B11A4C" w:rsidP="00B11A4C">
      <w:pPr>
        <w:jc w:val="both"/>
        <w:rPr>
          <w:rFonts w:cs="Arial"/>
          <w:color w:val="000000"/>
          <w:sz w:val="22"/>
          <w:szCs w:val="22"/>
          <w:lang w:eastAsia="es-CO"/>
        </w:rPr>
      </w:pPr>
      <w:r w:rsidRPr="00EB0C51">
        <w:rPr>
          <w:rFonts w:cs="Arial"/>
          <w:bCs/>
          <w:color w:val="000000" w:themeColor="text1"/>
        </w:rPr>
        <w:t>De acuerdo con lo expuesto,  a la luz del artículo 89 del Decreto</w:t>
      </w:r>
      <w:r w:rsidR="00C6593F" w:rsidRPr="00EB0C51">
        <w:rPr>
          <w:rFonts w:cs="Arial"/>
          <w:bCs/>
          <w:color w:val="000000" w:themeColor="text1"/>
        </w:rPr>
        <w:t xml:space="preserve"> </w:t>
      </w:r>
      <w:r w:rsidRPr="00EB0C51">
        <w:rPr>
          <w:rFonts w:cs="Arial"/>
          <w:bCs/>
          <w:color w:val="000000" w:themeColor="text1"/>
        </w:rPr>
        <w:t xml:space="preserve">111 de 1996, un  billón </w:t>
      </w:r>
      <w:r w:rsidR="005F042B" w:rsidRPr="00EB0C51">
        <w:rPr>
          <w:rFonts w:cs="Arial"/>
          <w:bCs/>
          <w:color w:val="000000" w:themeColor="text1"/>
        </w:rPr>
        <w:t xml:space="preserve">quinientos doce mil </w:t>
      </w:r>
      <w:r w:rsidR="000D7AAB" w:rsidRPr="00EB0C51">
        <w:rPr>
          <w:rFonts w:cs="Arial"/>
          <w:bCs/>
          <w:color w:val="000000" w:themeColor="text1"/>
        </w:rPr>
        <w:t xml:space="preserve">doscientos veinte millones trecientos veintinueve mil setecientos once pesos </w:t>
      </w:r>
      <w:r w:rsidRPr="00EB0C51">
        <w:rPr>
          <w:rFonts w:cs="Arial"/>
          <w:bCs/>
          <w:color w:val="000000" w:themeColor="text1"/>
        </w:rPr>
        <w:t>($</w:t>
      </w:r>
      <w:r w:rsidR="00C6593F" w:rsidRPr="00EB0C51">
        <w:rPr>
          <w:rFonts w:cs="Arial"/>
          <w:bCs/>
          <w:color w:val="000000" w:themeColor="text1"/>
        </w:rPr>
        <w:t>1.512.220.329.711</w:t>
      </w:r>
      <w:r w:rsidRPr="00EB0C51">
        <w:rPr>
          <w:rFonts w:cs="Arial"/>
          <w:bCs/>
          <w:color w:val="000000" w:themeColor="text1"/>
        </w:rPr>
        <w:t xml:space="preserve">) resultado de restar a los recursos sin comprometer el valor </w:t>
      </w:r>
      <w:r w:rsidR="007A2ABF" w:rsidRPr="00EB0C51">
        <w:rPr>
          <w:rFonts w:cs="Arial"/>
          <w:bCs/>
          <w:color w:val="000000" w:themeColor="text1"/>
        </w:rPr>
        <w:t>adicionado al presupuesto del MHCP</w:t>
      </w:r>
      <w:r w:rsidRPr="00EB0C51">
        <w:rPr>
          <w:rFonts w:cs="Arial"/>
          <w:bCs/>
          <w:color w:val="000000" w:themeColor="text1"/>
        </w:rPr>
        <w:t xml:space="preserve"> </w:t>
      </w:r>
      <w:r w:rsidR="007A2ABF" w:rsidRPr="00EB0C51">
        <w:rPr>
          <w:rFonts w:cs="Arial"/>
          <w:bCs/>
          <w:color w:val="000000" w:themeColor="text1"/>
        </w:rPr>
        <w:t xml:space="preserve">para </w:t>
      </w:r>
      <w:r w:rsidRPr="00EB0C51">
        <w:rPr>
          <w:rFonts w:cs="Arial"/>
          <w:bCs/>
          <w:color w:val="000000" w:themeColor="text1"/>
        </w:rPr>
        <w:t>2021</w:t>
      </w:r>
      <w:r w:rsidR="00CD54ED" w:rsidRPr="00EB0C51">
        <w:rPr>
          <w:rFonts w:cs="Arial"/>
          <w:bCs/>
          <w:color w:val="000000" w:themeColor="text1"/>
        </w:rPr>
        <w:t>,</w:t>
      </w:r>
      <w:r w:rsidR="0029044F" w:rsidRPr="00EB0C51">
        <w:rPr>
          <w:rFonts w:cs="Arial"/>
          <w:bCs/>
          <w:color w:val="000000" w:themeColor="text1"/>
        </w:rPr>
        <w:t xml:space="preserve"> conforme lo establecido en la norma</w:t>
      </w:r>
      <w:r w:rsidR="004E75A7" w:rsidRPr="00EB0C51">
        <w:rPr>
          <w:rFonts w:cs="Arial"/>
          <w:bCs/>
          <w:color w:val="000000" w:themeColor="text1"/>
        </w:rPr>
        <w:t>;</w:t>
      </w:r>
      <w:r w:rsidRPr="00EB0C51">
        <w:rPr>
          <w:rFonts w:cs="Arial"/>
          <w:bCs/>
          <w:color w:val="000000" w:themeColor="text1"/>
        </w:rPr>
        <w:t xml:space="preserve"> expiraron</w:t>
      </w:r>
      <w:r w:rsidR="008D0DAB" w:rsidRPr="00EB0C51">
        <w:rPr>
          <w:rFonts w:cs="Arial"/>
          <w:bCs/>
          <w:color w:val="000000" w:themeColor="text1"/>
        </w:rPr>
        <w:t>,</w:t>
      </w:r>
      <w:r w:rsidRPr="00EB0C51">
        <w:rPr>
          <w:rFonts w:cs="Arial"/>
          <w:bCs/>
          <w:color w:val="000000" w:themeColor="text1"/>
        </w:rPr>
        <w:t xml:space="preserve"> toda vez que al término de cada vigencia</w:t>
      </w:r>
      <w:r w:rsidR="008D0DAB" w:rsidRPr="00EB0C51">
        <w:rPr>
          <w:rFonts w:cs="Arial"/>
          <w:bCs/>
          <w:color w:val="000000" w:themeColor="text1"/>
        </w:rPr>
        <w:t xml:space="preserve"> fiscal </w:t>
      </w:r>
      <w:r w:rsidRPr="00EB0C51">
        <w:rPr>
          <w:rFonts w:cs="Arial"/>
          <w:bCs/>
          <w:color w:val="000000" w:themeColor="text1"/>
        </w:rPr>
        <w:t>los saldos no comprometidos</w:t>
      </w:r>
      <w:r w:rsidR="00ED1DF9" w:rsidRPr="00EB0C51">
        <w:rPr>
          <w:rFonts w:cs="Arial"/>
          <w:bCs/>
          <w:color w:val="000000" w:themeColor="text1"/>
        </w:rPr>
        <w:t xml:space="preserve"> no </w:t>
      </w:r>
      <w:r w:rsidRPr="00EB0C51">
        <w:rPr>
          <w:rFonts w:cs="Arial"/>
          <w:bCs/>
          <w:color w:val="000000" w:themeColor="text1"/>
        </w:rPr>
        <w:t xml:space="preserve">pueden </w:t>
      </w:r>
      <w:r w:rsidRPr="00EB0C51">
        <w:rPr>
          <w:rFonts w:cs="Arial"/>
        </w:rPr>
        <w:t>comprometerse, adicionarse, transferirse, ni contracreditarse.</w:t>
      </w:r>
    </w:p>
    <w:p w14:paraId="235B0309" w14:textId="77777777" w:rsidR="0047671F" w:rsidRPr="00EB0C51" w:rsidRDefault="0047671F" w:rsidP="0047671F">
      <w:pPr>
        <w:jc w:val="both"/>
        <w:rPr>
          <w:rFonts w:cs="Arial"/>
          <w:bCs/>
          <w:color w:val="000000" w:themeColor="text1"/>
        </w:rPr>
      </w:pPr>
    </w:p>
    <w:p w14:paraId="759034C0" w14:textId="77777777" w:rsidR="0047671F" w:rsidRPr="00EB0C51" w:rsidRDefault="0047671F" w:rsidP="0047671F">
      <w:pPr>
        <w:jc w:val="both"/>
        <w:rPr>
          <w:rFonts w:cs="Arial"/>
          <w:b/>
          <w:color w:val="000000" w:themeColor="text1"/>
        </w:rPr>
      </w:pPr>
      <w:r w:rsidRPr="00EB0C51">
        <w:rPr>
          <w:rFonts w:cs="Arial"/>
          <w:b/>
          <w:color w:val="000000" w:themeColor="text1"/>
        </w:rPr>
        <w:t xml:space="preserve">4.2.2 Verificación gestión ejecución presupuestal 2021 del MHCP </w:t>
      </w:r>
    </w:p>
    <w:p w14:paraId="517AEC00" w14:textId="77777777" w:rsidR="0047671F" w:rsidRPr="00EB0C51" w:rsidRDefault="0047671F" w:rsidP="00E93D62">
      <w:pPr>
        <w:jc w:val="both"/>
        <w:rPr>
          <w:rFonts w:cs="Arial"/>
          <w:bCs/>
          <w:color w:val="000000" w:themeColor="text1"/>
        </w:rPr>
      </w:pPr>
    </w:p>
    <w:p w14:paraId="4E13F253" w14:textId="20F1D90E" w:rsidR="00B614D4" w:rsidRPr="00EB0C51" w:rsidRDefault="0047671F" w:rsidP="0047671F">
      <w:pPr>
        <w:jc w:val="both"/>
        <w:rPr>
          <w:rFonts w:cs="Arial"/>
          <w:color w:val="000000"/>
          <w:lang w:eastAsia="es-CO"/>
        </w:rPr>
      </w:pPr>
      <w:r w:rsidRPr="00EB0C51">
        <w:rPr>
          <w:rFonts w:cs="Arial"/>
          <w:bCs/>
          <w:color w:val="000000" w:themeColor="text1"/>
        </w:rPr>
        <w:t xml:space="preserve">Se evidenció que con corte a junio de 2021 la ejecución presupuestal de la Entidad corresponde al 27% de la apropiación vigente </w:t>
      </w:r>
      <w:r w:rsidR="00D10CAC" w:rsidRPr="00EB0C51">
        <w:rPr>
          <w:rFonts w:cs="Arial"/>
          <w:bCs/>
          <w:color w:val="000000" w:themeColor="text1"/>
        </w:rPr>
        <w:t xml:space="preserve">la cual asciende a </w:t>
      </w:r>
      <w:r w:rsidR="00D10CAC" w:rsidRPr="00EB0C51">
        <w:rPr>
          <w:rFonts w:cs="Arial"/>
        </w:rPr>
        <w:t>veintiséis billones seiscientos treinta y cuatro mil ciento cincuenta millones quinientos ochenta y cuatro mil trescientos setenta y seis pesos ($ 26.634.150.584.376)</w:t>
      </w:r>
      <w:r w:rsidR="0061425B" w:rsidRPr="00EB0C51">
        <w:rPr>
          <w:rFonts w:cs="Arial"/>
          <w:color w:val="000000"/>
          <w:lang w:eastAsia="es-CO"/>
        </w:rPr>
        <w:t xml:space="preserve"> de esta, se precisa que la apropiación que se distribuye para ejec</w:t>
      </w:r>
      <w:r w:rsidR="007A1420" w:rsidRPr="00EB0C51">
        <w:rPr>
          <w:rFonts w:cs="Arial"/>
          <w:color w:val="000000"/>
          <w:lang w:eastAsia="es-CO"/>
        </w:rPr>
        <w:t>uc</w:t>
      </w:r>
      <w:r w:rsidR="0061425B" w:rsidRPr="00EB0C51">
        <w:rPr>
          <w:rFonts w:cs="Arial"/>
          <w:color w:val="000000"/>
          <w:lang w:eastAsia="es-CO"/>
        </w:rPr>
        <w:t>ión de otras Entidades y empresas esta</w:t>
      </w:r>
      <w:r w:rsidR="007A1420" w:rsidRPr="00EB0C51">
        <w:rPr>
          <w:rFonts w:cs="Arial"/>
          <w:color w:val="000000"/>
          <w:lang w:eastAsia="es-CO"/>
        </w:rPr>
        <w:t>tales no genera compromisos para el MHCP</w:t>
      </w:r>
      <w:r w:rsidR="00F13FC9" w:rsidRPr="00EB0C51">
        <w:rPr>
          <w:rFonts w:cs="Arial"/>
          <w:color w:val="000000"/>
          <w:lang w:eastAsia="es-CO"/>
        </w:rPr>
        <w:t>,</w:t>
      </w:r>
      <w:r w:rsidR="007A1420" w:rsidRPr="00EB0C51">
        <w:rPr>
          <w:rFonts w:cs="Arial"/>
          <w:color w:val="000000"/>
          <w:lang w:eastAsia="es-CO"/>
        </w:rPr>
        <w:t xml:space="preserve"> en razón a que estos se ven reflejados en la ejecución presupuestal de cada entidad a la que fueron asignados. </w:t>
      </w:r>
      <w:r w:rsidR="00B614D4" w:rsidRPr="00EB0C51">
        <w:rPr>
          <w:rFonts w:cs="Arial"/>
          <w:color w:val="000000"/>
          <w:lang w:eastAsia="es-CO"/>
        </w:rPr>
        <w:t xml:space="preserve">La tabla No. 7 detalla lo descrito previamente: </w:t>
      </w:r>
    </w:p>
    <w:p w14:paraId="28506753" w14:textId="7BDB170C" w:rsidR="001163C3" w:rsidRPr="00EB0C51" w:rsidRDefault="001163C3" w:rsidP="0047671F">
      <w:pPr>
        <w:jc w:val="both"/>
        <w:rPr>
          <w:rFonts w:cs="Arial"/>
          <w:bCs/>
          <w:i/>
          <w:iCs/>
          <w:color w:val="000000" w:themeColor="text1"/>
        </w:rPr>
      </w:pPr>
    </w:p>
    <w:p w14:paraId="2173BCEC" w14:textId="3810D680" w:rsidR="00515D08" w:rsidRPr="00EB0C51" w:rsidRDefault="001163C3" w:rsidP="00B614D4">
      <w:pPr>
        <w:pStyle w:val="Descripcin"/>
        <w:jc w:val="center"/>
        <w:rPr>
          <w:rFonts w:cs="Arial"/>
          <w:i w:val="0"/>
          <w:iCs w:val="0"/>
          <w:color w:val="000000" w:themeColor="text1"/>
          <w:sz w:val="24"/>
          <w:szCs w:val="24"/>
        </w:rPr>
      </w:pPr>
      <w:r w:rsidRPr="00EB0C51">
        <w:rPr>
          <w:rFonts w:cs="Arial"/>
          <w:color w:val="000000" w:themeColor="text1"/>
          <w:sz w:val="24"/>
          <w:szCs w:val="24"/>
        </w:rPr>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7</w:t>
      </w:r>
      <w:r w:rsidRPr="00EB0C51">
        <w:rPr>
          <w:rFonts w:cs="Arial"/>
          <w:color w:val="000000" w:themeColor="text1"/>
          <w:sz w:val="24"/>
          <w:szCs w:val="24"/>
        </w:rPr>
        <w:fldChar w:fldCharType="end"/>
      </w:r>
      <w:r w:rsidR="002B1C40" w:rsidRPr="00EB0C51">
        <w:rPr>
          <w:rFonts w:cs="Arial"/>
          <w:i w:val="0"/>
          <w:iCs w:val="0"/>
          <w:color w:val="000000" w:themeColor="text1"/>
          <w:sz w:val="24"/>
          <w:szCs w:val="24"/>
        </w:rPr>
        <w:t>. Apropiaci</w:t>
      </w:r>
      <w:r w:rsidR="00D54957" w:rsidRPr="00EB0C51">
        <w:rPr>
          <w:rFonts w:cs="Arial"/>
          <w:i w:val="0"/>
          <w:iCs w:val="0"/>
          <w:color w:val="000000" w:themeColor="text1"/>
          <w:sz w:val="24"/>
          <w:szCs w:val="24"/>
        </w:rPr>
        <w:t>ón</w:t>
      </w:r>
      <w:r w:rsidR="002B1C40" w:rsidRPr="00EB0C51">
        <w:rPr>
          <w:rFonts w:cs="Arial"/>
          <w:i w:val="0"/>
          <w:iCs w:val="0"/>
          <w:color w:val="000000" w:themeColor="text1"/>
          <w:sz w:val="24"/>
          <w:szCs w:val="24"/>
        </w:rPr>
        <w:t xml:space="preserve"> comprometida</w:t>
      </w:r>
      <w:r w:rsidR="00A1591A" w:rsidRPr="00EB0C51">
        <w:rPr>
          <w:rFonts w:cs="Arial"/>
          <w:i w:val="0"/>
          <w:iCs w:val="0"/>
          <w:color w:val="000000" w:themeColor="text1"/>
          <w:sz w:val="24"/>
          <w:szCs w:val="24"/>
        </w:rPr>
        <w:t xml:space="preserve"> sobre la vigente por tipo</w:t>
      </w:r>
      <w:r w:rsidR="00D54957" w:rsidRPr="00EB0C51">
        <w:rPr>
          <w:rFonts w:cs="Arial"/>
          <w:i w:val="0"/>
          <w:iCs w:val="0"/>
          <w:color w:val="000000" w:themeColor="text1"/>
          <w:sz w:val="24"/>
          <w:szCs w:val="24"/>
        </w:rPr>
        <w:t>,</w:t>
      </w:r>
      <w:r w:rsidR="002B1C40" w:rsidRPr="00EB0C51">
        <w:rPr>
          <w:rFonts w:cs="Arial"/>
          <w:i w:val="0"/>
          <w:iCs w:val="0"/>
          <w:color w:val="000000" w:themeColor="text1"/>
          <w:sz w:val="24"/>
          <w:szCs w:val="24"/>
        </w:rPr>
        <w:t xml:space="preserve"> con corte a junio de 2021 </w:t>
      </w:r>
    </w:p>
    <w:p w14:paraId="566C21B4" w14:textId="73DD4C5C" w:rsidR="00053077" w:rsidRPr="00EB0C51" w:rsidRDefault="00053077" w:rsidP="00053077">
      <w:pPr>
        <w:pStyle w:val="Descripcin"/>
        <w:rPr>
          <w:rFonts w:cs="Arial"/>
          <w:i w:val="0"/>
          <w:iCs w:val="0"/>
          <w:color w:val="000000" w:themeColor="text1"/>
          <w:sz w:val="20"/>
          <w:szCs w:val="20"/>
        </w:rPr>
      </w:pPr>
      <w:r w:rsidRPr="00EB0C51">
        <w:rPr>
          <w:rFonts w:cs="Arial"/>
          <w:i w:val="0"/>
          <w:iCs w:val="0"/>
          <w:color w:val="000000" w:themeColor="text1"/>
          <w:sz w:val="20"/>
          <w:szCs w:val="20"/>
        </w:rPr>
        <w:t>Cifras expresadas en pesos</w:t>
      </w:r>
    </w:p>
    <w:tbl>
      <w:tblPr>
        <w:tblW w:w="9678" w:type="dxa"/>
        <w:tblCellMar>
          <w:left w:w="70" w:type="dxa"/>
          <w:right w:w="70" w:type="dxa"/>
        </w:tblCellMar>
        <w:tblLook w:val="04A0" w:firstRow="1" w:lastRow="0" w:firstColumn="1" w:lastColumn="0" w:noHBand="0" w:noVBand="1"/>
      </w:tblPr>
      <w:tblGrid>
        <w:gridCol w:w="2671"/>
        <w:gridCol w:w="2002"/>
        <w:gridCol w:w="2124"/>
        <w:gridCol w:w="2881"/>
      </w:tblGrid>
      <w:tr w:rsidR="00742528" w:rsidRPr="00EB0C51" w14:paraId="5E7E7E2D" w14:textId="77777777" w:rsidTr="0037609D">
        <w:trPr>
          <w:trHeight w:val="64"/>
          <w:tblHeader/>
        </w:trPr>
        <w:tc>
          <w:tcPr>
            <w:tcW w:w="2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AE08" w14:textId="77777777" w:rsidR="00742528" w:rsidRPr="00EB0C51" w:rsidRDefault="00742528" w:rsidP="00742528">
            <w:pPr>
              <w:jc w:val="center"/>
              <w:rPr>
                <w:rFonts w:cs="Arial"/>
                <w:i/>
                <w:iCs/>
                <w:color w:val="000000"/>
                <w:sz w:val="20"/>
                <w:szCs w:val="20"/>
                <w:lang w:eastAsia="es-CO"/>
              </w:rPr>
            </w:pPr>
            <w:r w:rsidRPr="00EB0C51">
              <w:rPr>
                <w:rFonts w:cs="Arial"/>
                <w:i/>
                <w:iCs/>
                <w:color w:val="000000"/>
                <w:sz w:val="20"/>
                <w:szCs w:val="20"/>
                <w:lang w:eastAsia="es-CO"/>
              </w:rPr>
              <w:t xml:space="preserve">Tipo de apropiación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1A275F25" w14:textId="77777777" w:rsidR="00742528" w:rsidRPr="00EB0C51" w:rsidRDefault="00742528" w:rsidP="00742528">
            <w:pPr>
              <w:jc w:val="center"/>
              <w:rPr>
                <w:rFonts w:cs="Arial"/>
                <w:i/>
                <w:iCs/>
                <w:color w:val="000000"/>
                <w:sz w:val="20"/>
                <w:szCs w:val="20"/>
                <w:lang w:eastAsia="es-CO"/>
              </w:rPr>
            </w:pPr>
            <w:r w:rsidRPr="00EB0C51">
              <w:rPr>
                <w:rFonts w:cs="Arial"/>
                <w:i/>
                <w:iCs/>
                <w:color w:val="000000"/>
                <w:sz w:val="20"/>
                <w:szCs w:val="20"/>
                <w:lang w:eastAsia="es-CO"/>
              </w:rPr>
              <w:t xml:space="preserve"> Apropiación vigente  </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14:paraId="7379DA0B" w14:textId="77777777" w:rsidR="00742528" w:rsidRPr="00EB0C51" w:rsidRDefault="00742528" w:rsidP="00742528">
            <w:pPr>
              <w:jc w:val="center"/>
              <w:rPr>
                <w:rFonts w:cs="Arial"/>
                <w:i/>
                <w:iCs/>
                <w:color w:val="000000"/>
                <w:sz w:val="20"/>
                <w:szCs w:val="20"/>
                <w:lang w:eastAsia="es-CO"/>
              </w:rPr>
            </w:pPr>
            <w:r w:rsidRPr="00EB0C51">
              <w:rPr>
                <w:rFonts w:cs="Arial"/>
                <w:i/>
                <w:iCs/>
                <w:color w:val="000000"/>
                <w:sz w:val="20"/>
                <w:szCs w:val="20"/>
                <w:lang w:eastAsia="es-CO"/>
              </w:rPr>
              <w:t xml:space="preserve"> Apropiación comprometida  </w:t>
            </w:r>
          </w:p>
        </w:tc>
        <w:tc>
          <w:tcPr>
            <w:tcW w:w="2881" w:type="dxa"/>
            <w:tcBorders>
              <w:top w:val="single" w:sz="4" w:space="0" w:color="auto"/>
              <w:left w:val="nil"/>
              <w:bottom w:val="single" w:sz="4" w:space="0" w:color="auto"/>
              <w:right w:val="single" w:sz="4" w:space="0" w:color="auto"/>
            </w:tcBorders>
            <w:shd w:val="clear" w:color="auto" w:fill="auto"/>
            <w:vAlign w:val="center"/>
            <w:hideMark/>
          </w:tcPr>
          <w:p w14:paraId="1A0C8C97" w14:textId="77777777" w:rsidR="00742528" w:rsidRPr="00EB0C51" w:rsidRDefault="00742528" w:rsidP="00742528">
            <w:pPr>
              <w:jc w:val="center"/>
              <w:rPr>
                <w:rFonts w:cs="Arial"/>
                <w:i/>
                <w:iCs/>
                <w:color w:val="000000"/>
                <w:sz w:val="20"/>
                <w:szCs w:val="20"/>
                <w:lang w:eastAsia="es-CO"/>
              </w:rPr>
            </w:pPr>
            <w:r w:rsidRPr="00EB0C51">
              <w:rPr>
                <w:rFonts w:cs="Arial"/>
                <w:i/>
                <w:iCs/>
                <w:color w:val="000000"/>
                <w:sz w:val="20"/>
                <w:szCs w:val="20"/>
                <w:lang w:eastAsia="es-CO"/>
              </w:rPr>
              <w:t xml:space="preserve">% apropiación  comprometida/ </w:t>
            </w:r>
          </w:p>
          <w:p w14:paraId="24AEBC67" w14:textId="4D142CEE" w:rsidR="00742528" w:rsidRPr="00EB0C51" w:rsidRDefault="00742528" w:rsidP="00742528">
            <w:pPr>
              <w:jc w:val="center"/>
              <w:rPr>
                <w:rFonts w:cs="Arial"/>
                <w:i/>
                <w:iCs/>
                <w:color w:val="000000"/>
                <w:sz w:val="20"/>
                <w:szCs w:val="20"/>
                <w:lang w:eastAsia="es-CO"/>
              </w:rPr>
            </w:pPr>
            <w:r w:rsidRPr="00EB0C51">
              <w:rPr>
                <w:rFonts w:cs="Arial"/>
                <w:i/>
                <w:iCs/>
                <w:color w:val="000000"/>
                <w:sz w:val="20"/>
                <w:szCs w:val="20"/>
                <w:lang w:eastAsia="es-CO"/>
              </w:rPr>
              <w:t xml:space="preserve">vigente </w:t>
            </w:r>
          </w:p>
        </w:tc>
      </w:tr>
      <w:tr w:rsidR="00742528" w:rsidRPr="00EB0C51" w14:paraId="67FC1BEC" w14:textId="77777777" w:rsidTr="00B40F72">
        <w:trPr>
          <w:trHeight w:val="64"/>
        </w:trPr>
        <w:tc>
          <w:tcPr>
            <w:tcW w:w="2671" w:type="dxa"/>
            <w:tcBorders>
              <w:top w:val="nil"/>
              <w:left w:val="single" w:sz="4" w:space="0" w:color="auto"/>
              <w:bottom w:val="single" w:sz="4" w:space="0" w:color="auto"/>
              <w:right w:val="single" w:sz="4" w:space="0" w:color="auto"/>
            </w:tcBorders>
            <w:shd w:val="clear" w:color="auto" w:fill="auto"/>
            <w:noWrap/>
            <w:vAlign w:val="center"/>
            <w:hideMark/>
          </w:tcPr>
          <w:p w14:paraId="35BB7E7B" w14:textId="03D4763C" w:rsidR="00742528" w:rsidRPr="00EB0C51" w:rsidRDefault="00742528" w:rsidP="00DF1B62">
            <w:pPr>
              <w:jc w:val="both"/>
              <w:rPr>
                <w:rFonts w:cs="Arial"/>
                <w:color w:val="000000"/>
                <w:sz w:val="20"/>
                <w:szCs w:val="20"/>
                <w:lang w:eastAsia="es-CO"/>
              </w:rPr>
            </w:pPr>
            <w:r w:rsidRPr="00EB0C51">
              <w:rPr>
                <w:rFonts w:cs="Arial"/>
                <w:color w:val="000000"/>
                <w:sz w:val="20"/>
                <w:szCs w:val="20"/>
                <w:lang w:eastAsia="es-CO"/>
              </w:rPr>
              <w:t xml:space="preserve">Recursos </w:t>
            </w:r>
            <w:r w:rsidR="0086120E" w:rsidRPr="00EB0C51">
              <w:rPr>
                <w:rFonts w:cs="Arial"/>
                <w:color w:val="000000"/>
                <w:sz w:val="20"/>
                <w:szCs w:val="20"/>
                <w:lang w:eastAsia="es-CO"/>
              </w:rPr>
              <w:t>a ejecutar</w:t>
            </w:r>
            <w:r w:rsidRPr="00EB0C51">
              <w:rPr>
                <w:rFonts w:cs="Arial"/>
                <w:color w:val="000000"/>
                <w:sz w:val="20"/>
                <w:szCs w:val="20"/>
                <w:lang w:eastAsia="es-CO"/>
              </w:rPr>
              <w:t xml:space="preserve"> por el MHCP </w:t>
            </w:r>
          </w:p>
        </w:tc>
        <w:tc>
          <w:tcPr>
            <w:tcW w:w="2002" w:type="dxa"/>
            <w:tcBorders>
              <w:top w:val="nil"/>
              <w:left w:val="nil"/>
              <w:bottom w:val="single" w:sz="4" w:space="0" w:color="auto"/>
              <w:right w:val="single" w:sz="4" w:space="0" w:color="auto"/>
            </w:tcBorders>
            <w:shd w:val="clear" w:color="auto" w:fill="auto"/>
            <w:noWrap/>
            <w:vAlign w:val="center"/>
            <w:hideMark/>
          </w:tcPr>
          <w:p w14:paraId="74F0115E" w14:textId="2F8F3932"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10.939.378.786.544</w:t>
            </w:r>
          </w:p>
        </w:tc>
        <w:tc>
          <w:tcPr>
            <w:tcW w:w="2124" w:type="dxa"/>
            <w:tcBorders>
              <w:top w:val="nil"/>
              <w:left w:val="nil"/>
              <w:bottom w:val="single" w:sz="4" w:space="0" w:color="auto"/>
              <w:right w:val="single" w:sz="4" w:space="0" w:color="auto"/>
            </w:tcBorders>
            <w:shd w:val="clear" w:color="auto" w:fill="auto"/>
            <w:noWrap/>
            <w:vAlign w:val="center"/>
            <w:hideMark/>
          </w:tcPr>
          <w:p w14:paraId="38D73770" w14:textId="2492061D"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5.212.081.971.617</w:t>
            </w:r>
          </w:p>
        </w:tc>
        <w:tc>
          <w:tcPr>
            <w:tcW w:w="2881" w:type="dxa"/>
            <w:tcBorders>
              <w:top w:val="nil"/>
              <w:left w:val="nil"/>
              <w:bottom w:val="single" w:sz="4" w:space="0" w:color="auto"/>
              <w:right w:val="single" w:sz="4" w:space="0" w:color="auto"/>
            </w:tcBorders>
            <w:shd w:val="clear" w:color="auto" w:fill="auto"/>
            <w:noWrap/>
            <w:vAlign w:val="center"/>
            <w:hideMark/>
          </w:tcPr>
          <w:p w14:paraId="337699EE" w14:textId="77777777"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48%</w:t>
            </w:r>
          </w:p>
        </w:tc>
      </w:tr>
      <w:tr w:rsidR="00742528" w:rsidRPr="00EB0C51" w14:paraId="69A51303" w14:textId="77777777" w:rsidTr="00B40F72">
        <w:trPr>
          <w:trHeight w:val="300"/>
        </w:trPr>
        <w:tc>
          <w:tcPr>
            <w:tcW w:w="2671" w:type="dxa"/>
            <w:tcBorders>
              <w:top w:val="nil"/>
              <w:left w:val="single" w:sz="4" w:space="0" w:color="auto"/>
              <w:bottom w:val="single" w:sz="4" w:space="0" w:color="auto"/>
              <w:right w:val="single" w:sz="4" w:space="0" w:color="auto"/>
            </w:tcBorders>
            <w:shd w:val="clear" w:color="auto" w:fill="auto"/>
            <w:noWrap/>
            <w:vAlign w:val="center"/>
            <w:hideMark/>
          </w:tcPr>
          <w:p w14:paraId="4DC80C1E" w14:textId="7900DB39" w:rsidR="00742528" w:rsidRPr="00EB0C51" w:rsidRDefault="00742528" w:rsidP="00DF1B62">
            <w:pPr>
              <w:jc w:val="both"/>
              <w:rPr>
                <w:rFonts w:cs="Arial"/>
                <w:color w:val="000000"/>
                <w:sz w:val="20"/>
                <w:szCs w:val="20"/>
                <w:lang w:eastAsia="es-CO"/>
              </w:rPr>
            </w:pPr>
            <w:r w:rsidRPr="00EB0C51">
              <w:rPr>
                <w:rFonts w:cs="Arial"/>
                <w:color w:val="000000"/>
                <w:sz w:val="20"/>
                <w:szCs w:val="20"/>
                <w:lang w:eastAsia="es-CO"/>
              </w:rPr>
              <w:t xml:space="preserve">Recursos </w:t>
            </w:r>
            <w:r w:rsidR="0086120E" w:rsidRPr="00EB0C51">
              <w:rPr>
                <w:rFonts w:cs="Arial"/>
                <w:color w:val="000000"/>
                <w:sz w:val="20"/>
                <w:szCs w:val="20"/>
                <w:lang w:eastAsia="es-CO"/>
              </w:rPr>
              <w:t xml:space="preserve">a distribuir </w:t>
            </w:r>
            <w:r w:rsidRPr="00EB0C51">
              <w:rPr>
                <w:rFonts w:cs="Arial"/>
                <w:color w:val="000000"/>
                <w:sz w:val="20"/>
                <w:szCs w:val="20"/>
                <w:lang w:eastAsia="es-CO"/>
              </w:rPr>
              <w:t>por el MHCP a otras entidades, para su ejecución</w:t>
            </w:r>
          </w:p>
        </w:tc>
        <w:tc>
          <w:tcPr>
            <w:tcW w:w="2002" w:type="dxa"/>
            <w:tcBorders>
              <w:top w:val="nil"/>
              <w:left w:val="nil"/>
              <w:bottom w:val="single" w:sz="4" w:space="0" w:color="auto"/>
              <w:right w:val="single" w:sz="4" w:space="0" w:color="auto"/>
            </w:tcBorders>
            <w:shd w:val="clear" w:color="auto" w:fill="auto"/>
            <w:noWrap/>
            <w:vAlign w:val="center"/>
            <w:hideMark/>
          </w:tcPr>
          <w:p w14:paraId="0E85BD82" w14:textId="6D5376B0"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4.986.098.462.995</w:t>
            </w:r>
          </w:p>
        </w:tc>
        <w:tc>
          <w:tcPr>
            <w:tcW w:w="2124" w:type="dxa"/>
            <w:tcBorders>
              <w:top w:val="nil"/>
              <w:left w:val="nil"/>
              <w:bottom w:val="single" w:sz="4" w:space="0" w:color="auto"/>
              <w:right w:val="single" w:sz="4" w:space="0" w:color="auto"/>
            </w:tcBorders>
            <w:shd w:val="clear" w:color="auto" w:fill="auto"/>
            <w:noWrap/>
            <w:vAlign w:val="center"/>
            <w:hideMark/>
          </w:tcPr>
          <w:p w14:paraId="3BC3D934" w14:textId="778B71B7"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w:t>
            </w:r>
          </w:p>
        </w:tc>
        <w:tc>
          <w:tcPr>
            <w:tcW w:w="2881" w:type="dxa"/>
            <w:tcBorders>
              <w:top w:val="nil"/>
              <w:left w:val="nil"/>
              <w:bottom w:val="single" w:sz="4" w:space="0" w:color="auto"/>
              <w:right w:val="single" w:sz="4" w:space="0" w:color="auto"/>
            </w:tcBorders>
            <w:shd w:val="clear" w:color="auto" w:fill="auto"/>
            <w:noWrap/>
            <w:vAlign w:val="center"/>
            <w:hideMark/>
          </w:tcPr>
          <w:p w14:paraId="63706379" w14:textId="4DC9D7FE" w:rsidR="00742528" w:rsidRPr="00EB0C51" w:rsidRDefault="0037609D" w:rsidP="00EA52DA">
            <w:pPr>
              <w:jc w:val="center"/>
              <w:rPr>
                <w:rFonts w:cs="Arial"/>
                <w:color w:val="000000"/>
                <w:sz w:val="20"/>
                <w:szCs w:val="20"/>
                <w:lang w:eastAsia="es-CO"/>
              </w:rPr>
            </w:pPr>
            <w:r w:rsidRPr="00EB0C51">
              <w:rPr>
                <w:rFonts w:cs="Arial"/>
                <w:color w:val="000000"/>
                <w:sz w:val="20"/>
                <w:szCs w:val="20"/>
                <w:lang w:eastAsia="es-CO"/>
              </w:rPr>
              <w:t>-</w:t>
            </w:r>
          </w:p>
        </w:tc>
      </w:tr>
      <w:tr w:rsidR="00742528" w:rsidRPr="00EB0C51" w14:paraId="2A143779" w14:textId="77777777" w:rsidTr="00B40F72">
        <w:trPr>
          <w:trHeight w:val="300"/>
        </w:trPr>
        <w:tc>
          <w:tcPr>
            <w:tcW w:w="2671" w:type="dxa"/>
            <w:tcBorders>
              <w:top w:val="nil"/>
              <w:left w:val="single" w:sz="4" w:space="0" w:color="auto"/>
              <w:bottom w:val="single" w:sz="4" w:space="0" w:color="auto"/>
              <w:right w:val="single" w:sz="4" w:space="0" w:color="auto"/>
            </w:tcBorders>
            <w:shd w:val="clear" w:color="auto" w:fill="auto"/>
            <w:noWrap/>
            <w:vAlign w:val="center"/>
            <w:hideMark/>
          </w:tcPr>
          <w:p w14:paraId="7CD7562B" w14:textId="77777777" w:rsidR="00742528" w:rsidRPr="00EB0C51" w:rsidRDefault="00742528" w:rsidP="00DF1B62">
            <w:pPr>
              <w:jc w:val="both"/>
              <w:rPr>
                <w:rFonts w:cs="Arial"/>
                <w:color w:val="000000"/>
                <w:sz w:val="20"/>
                <w:szCs w:val="20"/>
                <w:lang w:eastAsia="es-CO"/>
              </w:rPr>
            </w:pPr>
            <w:r w:rsidRPr="00EB0C51">
              <w:rPr>
                <w:rFonts w:cs="Arial"/>
                <w:color w:val="000000"/>
                <w:sz w:val="20"/>
                <w:szCs w:val="20"/>
                <w:lang w:eastAsia="es-CO"/>
              </w:rPr>
              <w:lastRenderedPageBreak/>
              <w:t xml:space="preserve">Fondo de Mitigación de Emergencias - FOME </w:t>
            </w:r>
          </w:p>
        </w:tc>
        <w:tc>
          <w:tcPr>
            <w:tcW w:w="2002" w:type="dxa"/>
            <w:tcBorders>
              <w:top w:val="nil"/>
              <w:left w:val="nil"/>
              <w:bottom w:val="single" w:sz="4" w:space="0" w:color="auto"/>
              <w:right w:val="single" w:sz="4" w:space="0" w:color="auto"/>
            </w:tcBorders>
            <w:shd w:val="clear" w:color="auto" w:fill="auto"/>
            <w:noWrap/>
            <w:vAlign w:val="center"/>
            <w:hideMark/>
          </w:tcPr>
          <w:p w14:paraId="6C11A807" w14:textId="633C12D5"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10.708.673.334.837</w:t>
            </w:r>
          </w:p>
        </w:tc>
        <w:tc>
          <w:tcPr>
            <w:tcW w:w="2124" w:type="dxa"/>
            <w:tcBorders>
              <w:top w:val="nil"/>
              <w:left w:val="nil"/>
              <w:bottom w:val="single" w:sz="4" w:space="0" w:color="auto"/>
              <w:right w:val="single" w:sz="4" w:space="0" w:color="auto"/>
            </w:tcBorders>
            <w:shd w:val="clear" w:color="auto" w:fill="auto"/>
            <w:noWrap/>
            <w:vAlign w:val="center"/>
            <w:hideMark/>
          </w:tcPr>
          <w:p w14:paraId="7C6810D8" w14:textId="11194ABF"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2.031.316.514.854</w:t>
            </w:r>
          </w:p>
        </w:tc>
        <w:tc>
          <w:tcPr>
            <w:tcW w:w="2881" w:type="dxa"/>
            <w:tcBorders>
              <w:top w:val="nil"/>
              <w:left w:val="nil"/>
              <w:bottom w:val="single" w:sz="4" w:space="0" w:color="auto"/>
              <w:right w:val="single" w:sz="4" w:space="0" w:color="auto"/>
            </w:tcBorders>
            <w:shd w:val="clear" w:color="auto" w:fill="auto"/>
            <w:noWrap/>
            <w:vAlign w:val="center"/>
            <w:hideMark/>
          </w:tcPr>
          <w:p w14:paraId="3F5B3BDC" w14:textId="77777777"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19%</w:t>
            </w:r>
          </w:p>
        </w:tc>
      </w:tr>
      <w:tr w:rsidR="00742528" w:rsidRPr="00EB0C51" w14:paraId="27ACB523" w14:textId="77777777" w:rsidTr="00B40F72">
        <w:trPr>
          <w:trHeight w:val="300"/>
        </w:trPr>
        <w:tc>
          <w:tcPr>
            <w:tcW w:w="2671" w:type="dxa"/>
            <w:tcBorders>
              <w:top w:val="nil"/>
              <w:left w:val="single" w:sz="4" w:space="0" w:color="auto"/>
              <w:bottom w:val="single" w:sz="4" w:space="0" w:color="auto"/>
              <w:right w:val="single" w:sz="4" w:space="0" w:color="auto"/>
            </w:tcBorders>
            <w:shd w:val="clear" w:color="auto" w:fill="auto"/>
            <w:noWrap/>
            <w:vAlign w:val="center"/>
            <w:hideMark/>
          </w:tcPr>
          <w:p w14:paraId="64A0DA8C" w14:textId="5C7DB2DA" w:rsidR="00742528" w:rsidRPr="00EB0C51" w:rsidRDefault="00742528" w:rsidP="00DF1B62">
            <w:pPr>
              <w:jc w:val="both"/>
              <w:rPr>
                <w:rFonts w:cs="Arial"/>
                <w:color w:val="000000"/>
                <w:sz w:val="20"/>
                <w:szCs w:val="20"/>
                <w:lang w:eastAsia="es-CO"/>
              </w:rPr>
            </w:pPr>
            <w:r w:rsidRPr="00EB0C51">
              <w:rPr>
                <w:rFonts w:cs="Arial"/>
                <w:color w:val="000000"/>
                <w:sz w:val="20"/>
                <w:szCs w:val="20"/>
                <w:lang w:eastAsia="es-CO"/>
              </w:rPr>
              <w:t xml:space="preserve">Total MHCP </w:t>
            </w:r>
          </w:p>
        </w:tc>
        <w:tc>
          <w:tcPr>
            <w:tcW w:w="2002" w:type="dxa"/>
            <w:tcBorders>
              <w:top w:val="nil"/>
              <w:left w:val="nil"/>
              <w:bottom w:val="single" w:sz="4" w:space="0" w:color="auto"/>
              <w:right w:val="single" w:sz="4" w:space="0" w:color="auto"/>
            </w:tcBorders>
            <w:shd w:val="clear" w:color="auto" w:fill="auto"/>
            <w:noWrap/>
            <w:vAlign w:val="center"/>
            <w:hideMark/>
          </w:tcPr>
          <w:p w14:paraId="09ED128A" w14:textId="3B9671F7"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26.634.150.584.376</w:t>
            </w:r>
          </w:p>
        </w:tc>
        <w:tc>
          <w:tcPr>
            <w:tcW w:w="2124" w:type="dxa"/>
            <w:tcBorders>
              <w:top w:val="nil"/>
              <w:left w:val="nil"/>
              <w:bottom w:val="single" w:sz="4" w:space="0" w:color="auto"/>
              <w:right w:val="single" w:sz="4" w:space="0" w:color="auto"/>
            </w:tcBorders>
            <w:shd w:val="clear" w:color="auto" w:fill="auto"/>
            <w:noWrap/>
            <w:vAlign w:val="center"/>
            <w:hideMark/>
          </w:tcPr>
          <w:p w14:paraId="66ECFE43" w14:textId="159EED92"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7.243.398.486.471</w:t>
            </w:r>
          </w:p>
        </w:tc>
        <w:tc>
          <w:tcPr>
            <w:tcW w:w="2881" w:type="dxa"/>
            <w:tcBorders>
              <w:top w:val="nil"/>
              <w:left w:val="nil"/>
              <w:bottom w:val="single" w:sz="4" w:space="0" w:color="auto"/>
              <w:right w:val="single" w:sz="4" w:space="0" w:color="auto"/>
            </w:tcBorders>
            <w:shd w:val="clear" w:color="auto" w:fill="auto"/>
            <w:noWrap/>
            <w:vAlign w:val="center"/>
            <w:hideMark/>
          </w:tcPr>
          <w:p w14:paraId="2CE35125" w14:textId="77777777" w:rsidR="00742528" w:rsidRPr="00EB0C51" w:rsidRDefault="00742528" w:rsidP="00EA52DA">
            <w:pPr>
              <w:jc w:val="center"/>
              <w:rPr>
                <w:rFonts w:cs="Arial"/>
                <w:color w:val="000000"/>
                <w:sz w:val="20"/>
                <w:szCs w:val="20"/>
                <w:lang w:eastAsia="es-CO"/>
              </w:rPr>
            </w:pPr>
            <w:r w:rsidRPr="00EB0C51">
              <w:rPr>
                <w:rFonts w:cs="Arial"/>
                <w:color w:val="000000"/>
                <w:sz w:val="20"/>
                <w:szCs w:val="20"/>
                <w:lang w:eastAsia="es-CO"/>
              </w:rPr>
              <w:t>27%</w:t>
            </w:r>
          </w:p>
        </w:tc>
      </w:tr>
    </w:tbl>
    <w:p w14:paraId="17BEB630" w14:textId="5D247A20" w:rsidR="008E5D43" w:rsidRPr="00EB0C51" w:rsidRDefault="008E5D43" w:rsidP="008E5D43">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 y el informe de ejecución presupuestal de </w:t>
      </w:r>
      <w:r w:rsidR="0099382B" w:rsidRPr="00EB0C51">
        <w:rPr>
          <w:rFonts w:cs="Arial"/>
          <w:sz w:val="16"/>
          <w:szCs w:val="16"/>
        </w:rPr>
        <w:t>junio</w:t>
      </w:r>
      <w:r w:rsidRPr="00EB0C51">
        <w:rPr>
          <w:rFonts w:cs="Arial"/>
          <w:sz w:val="16"/>
          <w:szCs w:val="16"/>
        </w:rPr>
        <w:t xml:space="preserve"> de 202</w:t>
      </w:r>
      <w:r w:rsidR="0099382B" w:rsidRPr="00EB0C51">
        <w:rPr>
          <w:rFonts w:cs="Arial"/>
          <w:sz w:val="16"/>
          <w:szCs w:val="16"/>
        </w:rPr>
        <w:t>1</w:t>
      </w:r>
    </w:p>
    <w:p w14:paraId="7A1CCDAE" w14:textId="5B6E027A" w:rsidR="00053077" w:rsidRPr="00EB0C51" w:rsidRDefault="00053077" w:rsidP="0099382B">
      <w:pPr>
        <w:rPr>
          <w:rFonts w:cs="Arial"/>
        </w:rPr>
      </w:pPr>
    </w:p>
    <w:p w14:paraId="2E246298" w14:textId="77175D6C" w:rsidR="00515D08" w:rsidRPr="00EB0C51" w:rsidRDefault="0099382B" w:rsidP="00173CFA">
      <w:pPr>
        <w:jc w:val="both"/>
        <w:rPr>
          <w:rFonts w:cs="Arial"/>
        </w:rPr>
      </w:pPr>
      <w:r w:rsidRPr="00EB0C51">
        <w:rPr>
          <w:rFonts w:cs="Arial"/>
        </w:rPr>
        <w:t xml:space="preserve">De igual manera se analizó la </w:t>
      </w:r>
      <w:r w:rsidR="00330D43" w:rsidRPr="00EB0C51">
        <w:rPr>
          <w:rFonts w:cs="Arial"/>
        </w:rPr>
        <w:t xml:space="preserve">apropiación obligada </w:t>
      </w:r>
      <w:r w:rsidR="00695A75" w:rsidRPr="00EB0C51">
        <w:rPr>
          <w:rFonts w:cs="Arial"/>
        </w:rPr>
        <w:t>sobre</w:t>
      </w:r>
      <w:r w:rsidR="00330D43" w:rsidRPr="00EB0C51">
        <w:rPr>
          <w:rFonts w:cs="Arial"/>
        </w:rPr>
        <w:t xml:space="preserve"> la comprometida por tipo</w:t>
      </w:r>
      <w:r w:rsidR="00695A75" w:rsidRPr="00EB0C51">
        <w:rPr>
          <w:rFonts w:cs="Arial"/>
        </w:rPr>
        <w:t>,</w:t>
      </w:r>
      <w:r w:rsidR="00330D43" w:rsidRPr="00EB0C51">
        <w:rPr>
          <w:rFonts w:cs="Arial"/>
        </w:rPr>
        <w:t xml:space="preserve"> </w:t>
      </w:r>
      <w:r w:rsidR="00173CFA" w:rsidRPr="00EB0C51">
        <w:rPr>
          <w:rFonts w:cs="Arial"/>
        </w:rPr>
        <w:t>con corte a junio de 2021, identificando que</w:t>
      </w:r>
      <w:r w:rsidR="00124D24" w:rsidRPr="00EB0C51">
        <w:rPr>
          <w:rFonts w:cs="Arial"/>
        </w:rPr>
        <w:t xml:space="preserve"> </w:t>
      </w:r>
      <w:r w:rsidR="00FB7C4F" w:rsidRPr="00EB0C51">
        <w:rPr>
          <w:rFonts w:cs="Arial"/>
        </w:rPr>
        <w:t xml:space="preserve">se obligaron el 81% </w:t>
      </w:r>
      <w:r w:rsidR="00124D24" w:rsidRPr="00EB0C51">
        <w:rPr>
          <w:rFonts w:cs="Arial"/>
        </w:rPr>
        <w:t xml:space="preserve">los recursos a ejecutar por el MHCP </w:t>
      </w:r>
      <w:r w:rsidR="00BE2938" w:rsidRPr="00EB0C51">
        <w:rPr>
          <w:rFonts w:cs="Arial"/>
        </w:rPr>
        <w:t xml:space="preserve">y </w:t>
      </w:r>
      <w:r w:rsidR="00074AB4" w:rsidRPr="00EB0C51">
        <w:rPr>
          <w:rFonts w:cs="Arial"/>
        </w:rPr>
        <w:t xml:space="preserve">el </w:t>
      </w:r>
      <w:r w:rsidR="00BE2938" w:rsidRPr="00EB0C51">
        <w:rPr>
          <w:rFonts w:cs="Arial"/>
        </w:rPr>
        <w:t xml:space="preserve">99% </w:t>
      </w:r>
      <w:r w:rsidR="00074AB4" w:rsidRPr="00EB0C51">
        <w:rPr>
          <w:rFonts w:cs="Arial"/>
        </w:rPr>
        <w:t xml:space="preserve">de </w:t>
      </w:r>
      <w:r w:rsidR="00BE2938" w:rsidRPr="00EB0C51">
        <w:rPr>
          <w:rFonts w:cs="Arial"/>
        </w:rPr>
        <w:t>los</w:t>
      </w:r>
      <w:r w:rsidR="00074AB4" w:rsidRPr="00EB0C51">
        <w:rPr>
          <w:rFonts w:cs="Arial"/>
        </w:rPr>
        <w:t xml:space="preserve"> </w:t>
      </w:r>
      <w:r w:rsidR="00BE2938" w:rsidRPr="00EB0C51">
        <w:rPr>
          <w:rFonts w:cs="Arial"/>
        </w:rPr>
        <w:t xml:space="preserve">asignados al FOME, para una </w:t>
      </w:r>
      <w:r w:rsidR="008244DC" w:rsidRPr="00EB0C51">
        <w:rPr>
          <w:rFonts w:cs="Arial"/>
        </w:rPr>
        <w:t>obligación</w:t>
      </w:r>
      <w:r w:rsidR="00BE2938" w:rsidRPr="00EB0C51">
        <w:rPr>
          <w:rFonts w:cs="Arial"/>
        </w:rPr>
        <w:t xml:space="preserve"> </w:t>
      </w:r>
      <w:r w:rsidR="008244DC" w:rsidRPr="00EB0C51">
        <w:rPr>
          <w:rFonts w:cs="Arial"/>
        </w:rPr>
        <w:t>total de</w:t>
      </w:r>
      <w:r w:rsidR="00FE34DC" w:rsidRPr="00EB0C51">
        <w:rPr>
          <w:rFonts w:cs="Arial"/>
        </w:rPr>
        <w:t xml:space="preserve"> lo comprometido por la Entidad equivalente </w:t>
      </w:r>
      <w:r w:rsidR="008244DC" w:rsidRPr="00EB0C51">
        <w:rPr>
          <w:rFonts w:cs="Arial"/>
        </w:rPr>
        <w:t>al 86%</w:t>
      </w:r>
      <w:r w:rsidR="00E641F3" w:rsidRPr="00EB0C51">
        <w:rPr>
          <w:rFonts w:cs="Arial"/>
        </w:rPr>
        <w:t>, en seguida se detalla lo descrito</w:t>
      </w:r>
      <w:r w:rsidR="00B32C52" w:rsidRPr="00EB0C51">
        <w:rPr>
          <w:rFonts w:cs="Arial"/>
        </w:rPr>
        <w:t>,</w:t>
      </w:r>
      <w:r w:rsidR="00685DB4" w:rsidRPr="00EB0C51">
        <w:rPr>
          <w:rFonts w:cs="Arial"/>
        </w:rPr>
        <w:t xml:space="preserve"> en la tabla No. 8: </w:t>
      </w:r>
    </w:p>
    <w:p w14:paraId="75CEA03F" w14:textId="77777777" w:rsidR="0086120E" w:rsidRPr="00EB0C51" w:rsidRDefault="0086120E" w:rsidP="00173CFA">
      <w:pPr>
        <w:jc w:val="both"/>
        <w:rPr>
          <w:rFonts w:cs="Arial"/>
        </w:rPr>
      </w:pPr>
    </w:p>
    <w:p w14:paraId="219862FD" w14:textId="23D6D99F" w:rsidR="0086120E" w:rsidRPr="00EB0C51" w:rsidRDefault="00D54957" w:rsidP="00E641F3">
      <w:pPr>
        <w:pStyle w:val="Descripcin"/>
        <w:jc w:val="center"/>
        <w:rPr>
          <w:rFonts w:cs="Arial"/>
          <w:i w:val="0"/>
          <w:iCs w:val="0"/>
          <w:color w:val="000000" w:themeColor="text1"/>
          <w:sz w:val="24"/>
          <w:szCs w:val="24"/>
        </w:rPr>
      </w:pPr>
      <w:r w:rsidRPr="00EB0C51">
        <w:rPr>
          <w:rFonts w:cs="Arial"/>
          <w:color w:val="000000" w:themeColor="text1"/>
          <w:sz w:val="24"/>
          <w:szCs w:val="24"/>
        </w:rPr>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8</w:t>
      </w:r>
      <w:r w:rsidRPr="00EB0C51">
        <w:rPr>
          <w:rFonts w:cs="Arial"/>
          <w:color w:val="000000" w:themeColor="text1"/>
          <w:sz w:val="24"/>
          <w:szCs w:val="24"/>
        </w:rPr>
        <w:fldChar w:fldCharType="end"/>
      </w:r>
      <w:r w:rsidRPr="00EB0C51">
        <w:rPr>
          <w:rFonts w:cs="Arial"/>
          <w:color w:val="000000" w:themeColor="text1"/>
          <w:sz w:val="24"/>
          <w:szCs w:val="24"/>
        </w:rPr>
        <w:t>.</w:t>
      </w:r>
      <w:r w:rsidRPr="00EB0C51">
        <w:rPr>
          <w:rFonts w:cs="Arial"/>
        </w:rPr>
        <w:t xml:space="preserve"> </w:t>
      </w:r>
      <w:r w:rsidRPr="00EB0C51">
        <w:rPr>
          <w:rFonts w:cs="Arial"/>
          <w:i w:val="0"/>
          <w:iCs w:val="0"/>
          <w:color w:val="000000" w:themeColor="text1"/>
          <w:sz w:val="24"/>
          <w:szCs w:val="24"/>
        </w:rPr>
        <w:t xml:space="preserve">Apropiación </w:t>
      </w:r>
      <w:r w:rsidR="00B32C52" w:rsidRPr="00EB0C51">
        <w:rPr>
          <w:rFonts w:cs="Arial"/>
          <w:i w:val="0"/>
          <w:iCs w:val="0"/>
          <w:color w:val="000000" w:themeColor="text1"/>
          <w:sz w:val="24"/>
          <w:szCs w:val="24"/>
        </w:rPr>
        <w:t>obligada</w:t>
      </w:r>
      <w:r w:rsidRPr="00EB0C51">
        <w:rPr>
          <w:rFonts w:cs="Arial"/>
          <w:i w:val="0"/>
          <w:iCs w:val="0"/>
          <w:color w:val="000000" w:themeColor="text1"/>
          <w:sz w:val="24"/>
          <w:szCs w:val="24"/>
        </w:rPr>
        <w:t xml:space="preserve"> por tipo </w:t>
      </w:r>
      <w:r w:rsidR="00B32C52" w:rsidRPr="00EB0C51">
        <w:rPr>
          <w:rFonts w:cs="Arial"/>
          <w:i w:val="0"/>
          <w:iCs w:val="0"/>
          <w:color w:val="000000" w:themeColor="text1"/>
          <w:sz w:val="24"/>
          <w:szCs w:val="24"/>
        </w:rPr>
        <w:t>sobre la comprometida</w:t>
      </w:r>
      <w:r w:rsidRPr="00EB0C51">
        <w:rPr>
          <w:rFonts w:cs="Arial"/>
          <w:i w:val="0"/>
          <w:iCs w:val="0"/>
          <w:color w:val="000000" w:themeColor="text1"/>
          <w:sz w:val="24"/>
          <w:szCs w:val="24"/>
        </w:rPr>
        <w:t>, con corte a junio de 2021</w:t>
      </w:r>
    </w:p>
    <w:p w14:paraId="0C82B354" w14:textId="59186384" w:rsidR="00A91C81" w:rsidRPr="00EB0C51" w:rsidRDefault="00A91C81" w:rsidP="00A91C81">
      <w:pPr>
        <w:pStyle w:val="Descripcin"/>
        <w:rPr>
          <w:rFonts w:cs="Arial"/>
          <w:i w:val="0"/>
          <w:iCs w:val="0"/>
          <w:color w:val="000000" w:themeColor="text1"/>
          <w:sz w:val="20"/>
          <w:szCs w:val="20"/>
        </w:rPr>
      </w:pPr>
      <w:r w:rsidRPr="00EB0C51">
        <w:rPr>
          <w:rFonts w:cs="Arial"/>
          <w:i w:val="0"/>
          <w:iCs w:val="0"/>
          <w:color w:val="000000" w:themeColor="text1"/>
          <w:sz w:val="20"/>
          <w:szCs w:val="20"/>
        </w:rPr>
        <w:t>Cifras expresadas en pesos</w:t>
      </w:r>
    </w:p>
    <w:tbl>
      <w:tblPr>
        <w:tblW w:w="9634" w:type="dxa"/>
        <w:tblCellMar>
          <w:left w:w="70" w:type="dxa"/>
          <w:right w:w="70" w:type="dxa"/>
        </w:tblCellMar>
        <w:tblLook w:val="04A0" w:firstRow="1" w:lastRow="0" w:firstColumn="1" w:lastColumn="0" w:noHBand="0" w:noVBand="1"/>
      </w:tblPr>
      <w:tblGrid>
        <w:gridCol w:w="4248"/>
        <w:gridCol w:w="1984"/>
        <w:gridCol w:w="1985"/>
        <w:gridCol w:w="1417"/>
      </w:tblGrid>
      <w:tr w:rsidR="00DF1B62" w:rsidRPr="00EB0C51" w14:paraId="6B466F56" w14:textId="77777777" w:rsidTr="00DF1B62">
        <w:trPr>
          <w:trHeight w:val="51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0B988" w14:textId="77777777" w:rsidR="00DF1B62" w:rsidRPr="00EB0C51" w:rsidRDefault="00DF1B62" w:rsidP="00DF1B62">
            <w:pPr>
              <w:jc w:val="center"/>
              <w:rPr>
                <w:rFonts w:cs="Arial"/>
                <w:i/>
                <w:iCs/>
                <w:color w:val="000000"/>
                <w:sz w:val="20"/>
                <w:szCs w:val="20"/>
                <w:lang w:eastAsia="es-CO"/>
              </w:rPr>
            </w:pPr>
            <w:r w:rsidRPr="00EB0C51">
              <w:rPr>
                <w:rFonts w:cs="Arial"/>
                <w:i/>
                <w:iCs/>
                <w:color w:val="000000"/>
                <w:sz w:val="20"/>
                <w:szCs w:val="20"/>
                <w:lang w:eastAsia="es-CO"/>
              </w:rPr>
              <w:t xml:space="preserve">Tipo de apropiación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D6A684D" w14:textId="77777777" w:rsidR="00DF1B62" w:rsidRPr="00EB0C51" w:rsidRDefault="00DF1B62" w:rsidP="00DF1B62">
            <w:pPr>
              <w:jc w:val="center"/>
              <w:rPr>
                <w:rFonts w:cs="Arial"/>
                <w:i/>
                <w:iCs/>
                <w:color w:val="000000"/>
                <w:sz w:val="20"/>
                <w:szCs w:val="20"/>
                <w:lang w:eastAsia="es-CO"/>
              </w:rPr>
            </w:pPr>
            <w:r w:rsidRPr="00EB0C51">
              <w:rPr>
                <w:rFonts w:cs="Arial"/>
                <w:i/>
                <w:iCs/>
                <w:color w:val="000000"/>
                <w:sz w:val="20"/>
                <w:szCs w:val="20"/>
                <w:lang w:eastAsia="es-CO"/>
              </w:rPr>
              <w:t xml:space="preserve">Apropiación comprometida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6304044" w14:textId="77777777" w:rsidR="00DF1B62" w:rsidRPr="00EB0C51" w:rsidRDefault="00DF1B62" w:rsidP="00DF1B62">
            <w:pPr>
              <w:jc w:val="center"/>
              <w:rPr>
                <w:rFonts w:cs="Arial"/>
                <w:i/>
                <w:iCs/>
                <w:color w:val="000000"/>
                <w:sz w:val="20"/>
                <w:szCs w:val="20"/>
                <w:lang w:eastAsia="es-CO"/>
              </w:rPr>
            </w:pPr>
            <w:r w:rsidRPr="00EB0C51">
              <w:rPr>
                <w:rFonts w:cs="Arial"/>
                <w:i/>
                <w:iCs/>
                <w:color w:val="000000"/>
                <w:sz w:val="20"/>
                <w:szCs w:val="20"/>
                <w:lang w:eastAsia="es-CO"/>
              </w:rPr>
              <w:t>Obligación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1E58EE" w14:textId="77777777" w:rsidR="00DF1B62" w:rsidRPr="00EB0C51" w:rsidRDefault="00DF1B62" w:rsidP="00DF1B62">
            <w:pPr>
              <w:jc w:val="center"/>
              <w:rPr>
                <w:rFonts w:cs="Arial"/>
                <w:i/>
                <w:iCs/>
                <w:color w:val="000000"/>
                <w:sz w:val="20"/>
                <w:szCs w:val="20"/>
                <w:lang w:eastAsia="es-CO"/>
              </w:rPr>
            </w:pPr>
            <w:r w:rsidRPr="00EB0C51">
              <w:rPr>
                <w:rFonts w:cs="Arial"/>
                <w:i/>
                <w:iCs/>
                <w:color w:val="000000"/>
                <w:sz w:val="20"/>
                <w:szCs w:val="20"/>
                <w:lang w:eastAsia="es-CO"/>
              </w:rPr>
              <w:t>% Obligación/</w:t>
            </w:r>
            <w:r w:rsidRPr="00EB0C51">
              <w:rPr>
                <w:rFonts w:cs="Arial"/>
                <w:i/>
                <w:iCs/>
                <w:color w:val="000000"/>
                <w:sz w:val="20"/>
                <w:szCs w:val="20"/>
                <w:lang w:eastAsia="es-CO"/>
              </w:rPr>
              <w:br/>
              <w:t>compromiso</w:t>
            </w:r>
          </w:p>
        </w:tc>
      </w:tr>
      <w:tr w:rsidR="00DF1B62" w:rsidRPr="00EB0C51" w14:paraId="106CADAE" w14:textId="77777777" w:rsidTr="00DF1B62">
        <w:trPr>
          <w:trHeight w:val="6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82A1E06" w14:textId="77777777" w:rsidR="00DF1B62" w:rsidRPr="00EB0C51" w:rsidRDefault="00DF1B62" w:rsidP="00DF1B62">
            <w:pPr>
              <w:jc w:val="both"/>
              <w:rPr>
                <w:rFonts w:cs="Arial"/>
                <w:color w:val="000000"/>
                <w:sz w:val="20"/>
                <w:szCs w:val="20"/>
                <w:lang w:eastAsia="es-CO"/>
              </w:rPr>
            </w:pPr>
            <w:r w:rsidRPr="00EB0C51">
              <w:rPr>
                <w:rFonts w:cs="Arial"/>
                <w:color w:val="000000"/>
                <w:sz w:val="20"/>
                <w:szCs w:val="20"/>
                <w:lang w:eastAsia="es-CO"/>
              </w:rPr>
              <w:t xml:space="preserve">Recursos ejecutados por el MHCP </w:t>
            </w:r>
          </w:p>
        </w:tc>
        <w:tc>
          <w:tcPr>
            <w:tcW w:w="1984" w:type="dxa"/>
            <w:tcBorders>
              <w:top w:val="nil"/>
              <w:left w:val="nil"/>
              <w:bottom w:val="single" w:sz="4" w:space="0" w:color="auto"/>
              <w:right w:val="single" w:sz="4" w:space="0" w:color="auto"/>
            </w:tcBorders>
            <w:shd w:val="clear" w:color="auto" w:fill="auto"/>
            <w:noWrap/>
            <w:vAlign w:val="center"/>
            <w:hideMark/>
          </w:tcPr>
          <w:p w14:paraId="52CE6F52" w14:textId="775FBA1C"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 xml:space="preserve"> 5.212.081.971.617 </w:t>
            </w:r>
          </w:p>
        </w:tc>
        <w:tc>
          <w:tcPr>
            <w:tcW w:w="1985" w:type="dxa"/>
            <w:tcBorders>
              <w:top w:val="nil"/>
              <w:left w:val="nil"/>
              <w:bottom w:val="single" w:sz="4" w:space="0" w:color="auto"/>
              <w:right w:val="single" w:sz="4" w:space="0" w:color="auto"/>
            </w:tcBorders>
            <w:shd w:val="clear" w:color="auto" w:fill="auto"/>
            <w:noWrap/>
            <w:vAlign w:val="center"/>
            <w:hideMark/>
          </w:tcPr>
          <w:p w14:paraId="54917DE5" w14:textId="2A1E23CF"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 xml:space="preserve">4.232.138.114.605 </w:t>
            </w:r>
          </w:p>
        </w:tc>
        <w:tc>
          <w:tcPr>
            <w:tcW w:w="1417" w:type="dxa"/>
            <w:tcBorders>
              <w:top w:val="nil"/>
              <w:left w:val="nil"/>
              <w:bottom w:val="single" w:sz="4" w:space="0" w:color="auto"/>
              <w:right w:val="single" w:sz="4" w:space="0" w:color="auto"/>
            </w:tcBorders>
            <w:shd w:val="clear" w:color="auto" w:fill="auto"/>
            <w:noWrap/>
            <w:vAlign w:val="center"/>
            <w:hideMark/>
          </w:tcPr>
          <w:p w14:paraId="6C97A39D" w14:textId="77777777" w:rsidR="00DF1B62" w:rsidRPr="00EB0C51" w:rsidRDefault="00DF1B62" w:rsidP="00DF1B62">
            <w:pPr>
              <w:jc w:val="center"/>
              <w:rPr>
                <w:rFonts w:cs="Arial"/>
                <w:color w:val="000000"/>
                <w:sz w:val="20"/>
                <w:szCs w:val="20"/>
                <w:lang w:eastAsia="es-CO"/>
              </w:rPr>
            </w:pPr>
            <w:r w:rsidRPr="00EB0C51">
              <w:rPr>
                <w:rFonts w:cs="Arial"/>
                <w:color w:val="000000"/>
                <w:sz w:val="20"/>
                <w:szCs w:val="20"/>
                <w:lang w:eastAsia="es-CO"/>
              </w:rPr>
              <w:t>81%</w:t>
            </w:r>
          </w:p>
        </w:tc>
      </w:tr>
      <w:tr w:rsidR="00DF1B62" w:rsidRPr="00EB0C51" w14:paraId="452FABC3" w14:textId="77777777" w:rsidTr="00DF1B62">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44FB890" w14:textId="77777777" w:rsidR="00DF1B62" w:rsidRPr="00EB0C51" w:rsidRDefault="00DF1B62" w:rsidP="00DF1B62">
            <w:pPr>
              <w:jc w:val="both"/>
              <w:rPr>
                <w:rFonts w:cs="Arial"/>
                <w:color w:val="000000"/>
                <w:sz w:val="20"/>
                <w:szCs w:val="20"/>
                <w:lang w:eastAsia="es-CO"/>
              </w:rPr>
            </w:pPr>
            <w:r w:rsidRPr="00EB0C51">
              <w:rPr>
                <w:rFonts w:cs="Arial"/>
                <w:color w:val="000000"/>
                <w:sz w:val="20"/>
                <w:szCs w:val="20"/>
                <w:lang w:eastAsia="es-CO"/>
              </w:rPr>
              <w:t>Recursos distribuidos por el MHCP a otras entidades, para su ejecución</w:t>
            </w:r>
          </w:p>
        </w:tc>
        <w:tc>
          <w:tcPr>
            <w:tcW w:w="1984" w:type="dxa"/>
            <w:tcBorders>
              <w:top w:val="nil"/>
              <w:left w:val="nil"/>
              <w:bottom w:val="single" w:sz="4" w:space="0" w:color="auto"/>
              <w:right w:val="single" w:sz="4" w:space="0" w:color="auto"/>
            </w:tcBorders>
            <w:shd w:val="clear" w:color="auto" w:fill="auto"/>
            <w:noWrap/>
            <w:vAlign w:val="center"/>
            <w:hideMark/>
          </w:tcPr>
          <w:p w14:paraId="716849AC" w14:textId="23FD8485"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 xml:space="preserve">                      -   </w:t>
            </w:r>
          </w:p>
        </w:tc>
        <w:tc>
          <w:tcPr>
            <w:tcW w:w="1985" w:type="dxa"/>
            <w:tcBorders>
              <w:top w:val="nil"/>
              <w:left w:val="nil"/>
              <w:bottom w:val="single" w:sz="4" w:space="0" w:color="auto"/>
              <w:right w:val="single" w:sz="4" w:space="0" w:color="auto"/>
            </w:tcBorders>
            <w:shd w:val="clear" w:color="auto" w:fill="auto"/>
            <w:noWrap/>
            <w:vAlign w:val="center"/>
            <w:hideMark/>
          </w:tcPr>
          <w:p w14:paraId="48DF31C3" w14:textId="320889ED"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3584DD6F" w14:textId="77777777" w:rsidR="00DF1B62" w:rsidRPr="00EB0C51" w:rsidRDefault="00DF1B62" w:rsidP="00DF1B62">
            <w:pPr>
              <w:jc w:val="center"/>
              <w:rPr>
                <w:rFonts w:cs="Arial"/>
                <w:color w:val="000000"/>
                <w:sz w:val="20"/>
                <w:szCs w:val="20"/>
                <w:lang w:eastAsia="es-CO"/>
              </w:rPr>
            </w:pPr>
            <w:r w:rsidRPr="00EB0C51">
              <w:rPr>
                <w:rFonts w:cs="Arial"/>
                <w:color w:val="000000"/>
                <w:sz w:val="20"/>
                <w:szCs w:val="20"/>
                <w:lang w:eastAsia="es-CO"/>
              </w:rPr>
              <w:t>-</w:t>
            </w:r>
          </w:p>
        </w:tc>
      </w:tr>
      <w:tr w:rsidR="00DF1B62" w:rsidRPr="00EB0C51" w14:paraId="4C81BB9B" w14:textId="77777777" w:rsidTr="00DF1B62">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0DD39C5" w14:textId="77777777" w:rsidR="00DF1B62" w:rsidRPr="00EB0C51" w:rsidRDefault="00DF1B62" w:rsidP="00DF1B62">
            <w:pPr>
              <w:jc w:val="both"/>
              <w:rPr>
                <w:rFonts w:cs="Arial"/>
                <w:color w:val="000000"/>
                <w:sz w:val="20"/>
                <w:szCs w:val="20"/>
                <w:lang w:eastAsia="es-CO"/>
              </w:rPr>
            </w:pPr>
            <w:r w:rsidRPr="00EB0C51">
              <w:rPr>
                <w:rFonts w:cs="Arial"/>
                <w:color w:val="000000"/>
                <w:sz w:val="20"/>
                <w:szCs w:val="20"/>
                <w:lang w:eastAsia="es-CO"/>
              </w:rPr>
              <w:t xml:space="preserve">Fondo de Mitigación de Emergencias - FOME </w:t>
            </w:r>
          </w:p>
        </w:tc>
        <w:tc>
          <w:tcPr>
            <w:tcW w:w="1984" w:type="dxa"/>
            <w:tcBorders>
              <w:top w:val="nil"/>
              <w:left w:val="nil"/>
              <w:bottom w:val="single" w:sz="4" w:space="0" w:color="auto"/>
              <w:right w:val="single" w:sz="4" w:space="0" w:color="auto"/>
            </w:tcBorders>
            <w:shd w:val="clear" w:color="auto" w:fill="auto"/>
            <w:noWrap/>
            <w:vAlign w:val="center"/>
            <w:hideMark/>
          </w:tcPr>
          <w:p w14:paraId="51FE23EA" w14:textId="5A2CE993"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 xml:space="preserve"> 2.031.316.514.854</w:t>
            </w:r>
          </w:p>
        </w:tc>
        <w:tc>
          <w:tcPr>
            <w:tcW w:w="1985" w:type="dxa"/>
            <w:tcBorders>
              <w:top w:val="nil"/>
              <w:left w:val="nil"/>
              <w:bottom w:val="single" w:sz="4" w:space="0" w:color="auto"/>
              <w:right w:val="single" w:sz="4" w:space="0" w:color="auto"/>
            </w:tcBorders>
            <w:shd w:val="clear" w:color="auto" w:fill="auto"/>
            <w:noWrap/>
            <w:vAlign w:val="center"/>
            <w:hideMark/>
          </w:tcPr>
          <w:p w14:paraId="1DB4B0AF" w14:textId="6A373F36"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2.015.325.801.854</w:t>
            </w:r>
          </w:p>
        </w:tc>
        <w:tc>
          <w:tcPr>
            <w:tcW w:w="1417" w:type="dxa"/>
            <w:tcBorders>
              <w:top w:val="nil"/>
              <w:left w:val="nil"/>
              <w:bottom w:val="single" w:sz="4" w:space="0" w:color="auto"/>
              <w:right w:val="single" w:sz="4" w:space="0" w:color="auto"/>
            </w:tcBorders>
            <w:shd w:val="clear" w:color="auto" w:fill="auto"/>
            <w:noWrap/>
            <w:vAlign w:val="center"/>
            <w:hideMark/>
          </w:tcPr>
          <w:p w14:paraId="37EAF9E6" w14:textId="77777777" w:rsidR="00DF1B62" w:rsidRPr="00EB0C51" w:rsidRDefault="00DF1B62" w:rsidP="00DF1B62">
            <w:pPr>
              <w:jc w:val="center"/>
              <w:rPr>
                <w:rFonts w:cs="Arial"/>
                <w:color w:val="000000"/>
                <w:sz w:val="20"/>
                <w:szCs w:val="20"/>
                <w:lang w:eastAsia="es-CO"/>
              </w:rPr>
            </w:pPr>
            <w:r w:rsidRPr="00EB0C51">
              <w:rPr>
                <w:rFonts w:cs="Arial"/>
                <w:color w:val="000000"/>
                <w:sz w:val="20"/>
                <w:szCs w:val="20"/>
                <w:lang w:eastAsia="es-CO"/>
              </w:rPr>
              <w:t>99%</w:t>
            </w:r>
          </w:p>
        </w:tc>
      </w:tr>
      <w:tr w:rsidR="00DF1B62" w:rsidRPr="00EB0C51" w14:paraId="435329FB" w14:textId="77777777" w:rsidTr="00DF1B62">
        <w:trPr>
          <w:trHeight w:val="3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806F4FD" w14:textId="5D433FF7" w:rsidR="00DF1B62" w:rsidRPr="00EB0C51" w:rsidRDefault="00DF1B62" w:rsidP="00DF1B62">
            <w:pPr>
              <w:jc w:val="both"/>
              <w:rPr>
                <w:rFonts w:cs="Arial"/>
                <w:color w:val="000000"/>
                <w:sz w:val="20"/>
                <w:szCs w:val="20"/>
                <w:lang w:eastAsia="es-CO"/>
              </w:rPr>
            </w:pPr>
            <w:r w:rsidRPr="00EB0C51">
              <w:rPr>
                <w:rFonts w:cs="Arial"/>
                <w:color w:val="000000"/>
                <w:sz w:val="20"/>
                <w:szCs w:val="20"/>
                <w:lang w:eastAsia="es-CO"/>
              </w:rPr>
              <w:t xml:space="preserve">Total MHCP </w:t>
            </w:r>
          </w:p>
        </w:tc>
        <w:tc>
          <w:tcPr>
            <w:tcW w:w="1984" w:type="dxa"/>
            <w:tcBorders>
              <w:top w:val="nil"/>
              <w:left w:val="nil"/>
              <w:bottom w:val="single" w:sz="4" w:space="0" w:color="auto"/>
              <w:right w:val="single" w:sz="4" w:space="0" w:color="auto"/>
            </w:tcBorders>
            <w:shd w:val="clear" w:color="auto" w:fill="auto"/>
            <w:noWrap/>
            <w:vAlign w:val="center"/>
            <w:hideMark/>
          </w:tcPr>
          <w:p w14:paraId="2DF152EC" w14:textId="38641FE1"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 xml:space="preserve"> 7.243.398.486.471</w:t>
            </w:r>
          </w:p>
        </w:tc>
        <w:tc>
          <w:tcPr>
            <w:tcW w:w="1985" w:type="dxa"/>
            <w:tcBorders>
              <w:top w:val="nil"/>
              <w:left w:val="nil"/>
              <w:bottom w:val="single" w:sz="4" w:space="0" w:color="auto"/>
              <w:right w:val="single" w:sz="4" w:space="0" w:color="auto"/>
            </w:tcBorders>
            <w:shd w:val="clear" w:color="auto" w:fill="auto"/>
            <w:noWrap/>
            <w:vAlign w:val="center"/>
            <w:hideMark/>
          </w:tcPr>
          <w:p w14:paraId="1E06E660" w14:textId="3E8B70DB" w:rsidR="00DF1B62" w:rsidRPr="00EB0C51" w:rsidRDefault="00DF1B62" w:rsidP="00DF1B62">
            <w:pPr>
              <w:rPr>
                <w:rFonts w:cs="Arial"/>
                <w:color w:val="000000"/>
                <w:sz w:val="20"/>
                <w:szCs w:val="20"/>
                <w:lang w:eastAsia="es-CO"/>
              </w:rPr>
            </w:pPr>
            <w:r w:rsidRPr="00EB0C51">
              <w:rPr>
                <w:rFonts w:cs="Arial"/>
                <w:color w:val="000000"/>
                <w:sz w:val="20"/>
                <w:szCs w:val="20"/>
                <w:lang w:eastAsia="es-CO"/>
              </w:rPr>
              <w:t>6.247.463.916.459</w:t>
            </w:r>
          </w:p>
        </w:tc>
        <w:tc>
          <w:tcPr>
            <w:tcW w:w="1417" w:type="dxa"/>
            <w:tcBorders>
              <w:top w:val="nil"/>
              <w:left w:val="nil"/>
              <w:bottom w:val="single" w:sz="4" w:space="0" w:color="auto"/>
              <w:right w:val="single" w:sz="4" w:space="0" w:color="auto"/>
            </w:tcBorders>
            <w:shd w:val="clear" w:color="auto" w:fill="auto"/>
            <w:noWrap/>
            <w:vAlign w:val="center"/>
            <w:hideMark/>
          </w:tcPr>
          <w:p w14:paraId="09C0C506" w14:textId="77777777" w:rsidR="00DF1B62" w:rsidRPr="00EB0C51" w:rsidRDefault="00DF1B62" w:rsidP="00DF1B62">
            <w:pPr>
              <w:jc w:val="center"/>
              <w:rPr>
                <w:rFonts w:cs="Arial"/>
                <w:color w:val="000000"/>
                <w:sz w:val="20"/>
                <w:szCs w:val="20"/>
                <w:lang w:eastAsia="es-CO"/>
              </w:rPr>
            </w:pPr>
            <w:r w:rsidRPr="00EB0C51">
              <w:rPr>
                <w:rFonts w:cs="Arial"/>
                <w:color w:val="000000"/>
                <w:sz w:val="20"/>
                <w:szCs w:val="20"/>
                <w:lang w:eastAsia="es-CO"/>
              </w:rPr>
              <w:t>86%</w:t>
            </w:r>
          </w:p>
        </w:tc>
      </w:tr>
    </w:tbl>
    <w:p w14:paraId="1FC89892" w14:textId="0ECFA513" w:rsidR="00E641F3" w:rsidRPr="00EB0C51" w:rsidRDefault="00E641F3" w:rsidP="007A0A83">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 y el informe de ejecución presupuestal de junio de 2021</w:t>
      </w:r>
    </w:p>
    <w:p w14:paraId="353E2542" w14:textId="6D91D61A" w:rsidR="0086120E" w:rsidRPr="00EB0C51" w:rsidRDefault="0086120E" w:rsidP="00527F6D">
      <w:pPr>
        <w:tabs>
          <w:tab w:val="left" w:pos="4295"/>
        </w:tabs>
        <w:jc w:val="both"/>
        <w:rPr>
          <w:rFonts w:cs="Arial"/>
        </w:rPr>
      </w:pPr>
    </w:p>
    <w:p w14:paraId="72120A67" w14:textId="1700357D" w:rsidR="00E641F3" w:rsidRPr="00EB0C51" w:rsidRDefault="001D1EF9" w:rsidP="00527F6D">
      <w:pPr>
        <w:tabs>
          <w:tab w:val="left" w:pos="4295"/>
        </w:tabs>
        <w:jc w:val="both"/>
        <w:rPr>
          <w:rFonts w:cs="Arial"/>
        </w:rPr>
      </w:pPr>
      <w:r w:rsidRPr="00EB0C51">
        <w:rPr>
          <w:rFonts w:cs="Arial"/>
        </w:rPr>
        <w:t xml:space="preserve">Revisado el informe de ejecución presupuestal </w:t>
      </w:r>
      <w:r w:rsidR="00085DBC" w:rsidRPr="00EB0C51">
        <w:rPr>
          <w:rFonts w:cs="Arial"/>
        </w:rPr>
        <w:t xml:space="preserve">correspondiente a junio de 2021, se identificó que cuarenta y siete </w:t>
      </w:r>
      <w:r w:rsidR="000321C9" w:rsidRPr="00EB0C51">
        <w:rPr>
          <w:rFonts w:cs="Arial"/>
        </w:rPr>
        <w:t>(47)</w:t>
      </w:r>
      <w:r w:rsidR="005962C8" w:rsidRPr="00EB0C51">
        <w:rPr>
          <w:rFonts w:cs="Arial"/>
        </w:rPr>
        <w:t xml:space="preserve"> </w:t>
      </w:r>
      <w:r w:rsidR="00085DBC" w:rsidRPr="00EB0C51">
        <w:rPr>
          <w:rFonts w:cs="Arial"/>
        </w:rPr>
        <w:t xml:space="preserve">rubros presentaron </w:t>
      </w:r>
      <w:r w:rsidR="005F73B9" w:rsidRPr="00EB0C51">
        <w:rPr>
          <w:rFonts w:cs="Arial"/>
        </w:rPr>
        <w:t xml:space="preserve">una ejecución </w:t>
      </w:r>
      <w:r w:rsidR="006F12FE" w:rsidRPr="00EB0C51">
        <w:rPr>
          <w:rFonts w:cs="Arial"/>
        </w:rPr>
        <w:t xml:space="preserve">de pagos </w:t>
      </w:r>
      <w:r w:rsidR="005F73B9" w:rsidRPr="00EB0C51">
        <w:rPr>
          <w:rFonts w:cs="Arial"/>
        </w:rPr>
        <w:t>inferior al 10% por lo que se solicitó a la OAP suministrar información acerca de</w:t>
      </w:r>
      <w:r w:rsidR="004D3452" w:rsidRPr="00EB0C51">
        <w:rPr>
          <w:rFonts w:cs="Arial"/>
        </w:rPr>
        <w:t>l</w:t>
      </w:r>
      <w:r w:rsidR="005F73B9" w:rsidRPr="00EB0C51">
        <w:rPr>
          <w:rFonts w:cs="Arial"/>
        </w:rPr>
        <w:t xml:space="preserve"> comportamiento de</w:t>
      </w:r>
      <w:r w:rsidR="000321C9" w:rsidRPr="00EB0C51">
        <w:rPr>
          <w:rFonts w:cs="Arial"/>
        </w:rPr>
        <w:t xml:space="preserve"> estos, la tabla No. 9 muestra las justificaciones dadas por los responsables de la ejecución de dichos </w:t>
      </w:r>
      <w:r w:rsidR="00856706" w:rsidRPr="00EB0C51">
        <w:rPr>
          <w:rFonts w:cs="Arial"/>
        </w:rPr>
        <w:t xml:space="preserve"> rubros las cuales fueron consolidadas por</w:t>
      </w:r>
      <w:r w:rsidR="00453581" w:rsidRPr="00EB0C51">
        <w:rPr>
          <w:rFonts w:cs="Arial"/>
        </w:rPr>
        <w:t xml:space="preserve"> </w:t>
      </w:r>
      <w:r w:rsidR="00856706" w:rsidRPr="00EB0C51">
        <w:rPr>
          <w:rFonts w:cs="Arial"/>
        </w:rPr>
        <w:t>mencionada oficina y enviadas a la OCI en el marco de la aplicación de pruebas de auditorí</w:t>
      </w:r>
      <w:r w:rsidR="00A91C81" w:rsidRPr="00EB0C51">
        <w:rPr>
          <w:rFonts w:cs="Arial"/>
        </w:rPr>
        <w:t>a.</w:t>
      </w:r>
    </w:p>
    <w:p w14:paraId="02038F2B" w14:textId="77777777" w:rsidR="006F12FE" w:rsidRPr="00EB0C51" w:rsidRDefault="006F12FE" w:rsidP="00527F6D">
      <w:pPr>
        <w:tabs>
          <w:tab w:val="left" w:pos="4295"/>
        </w:tabs>
        <w:jc w:val="both"/>
        <w:rPr>
          <w:rFonts w:cs="Arial"/>
        </w:rPr>
      </w:pPr>
    </w:p>
    <w:p w14:paraId="2F6862AE" w14:textId="77777777" w:rsidR="006F12FE" w:rsidRPr="00EB0C51" w:rsidRDefault="006F12FE" w:rsidP="00527F6D">
      <w:pPr>
        <w:tabs>
          <w:tab w:val="left" w:pos="4295"/>
        </w:tabs>
        <w:jc w:val="both"/>
        <w:rPr>
          <w:rFonts w:cs="Arial"/>
        </w:rPr>
      </w:pPr>
    </w:p>
    <w:p w14:paraId="2E251701" w14:textId="77777777" w:rsidR="006F12FE" w:rsidRPr="00EB0C51" w:rsidRDefault="006F12FE" w:rsidP="00527F6D">
      <w:pPr>
        <w:tabs>
          <w:tab w:val="left" w:pos="4295"/>
        </w:tabs>
        <w:jc w:val="both"/>
        <w:rPr>
          <w:rFonts w:cs="Arial"/>
        </w:rPr>
        <w:sectPr w:rsidR="006F12FE" w:rsidRPr="00EB0C51" w:rsidSect="000B1422">
          <w:pgSz w:w="12240" w:h="15840" w:code="1"/>
          <w:pgMar w:top="1843" w:right="1134" w:bottom="1134" w:left="1418" w:header="709" w:footer="346" w:gutter="0"/>
          <w:cols w:space="708"/>
          <w:docGrid w:linePitch="360"/>
        </w:sectPr>
      </w:pPr>
    </w:p>
    <w:p w14:paraId="45D6A618" w14:textId="7A42A692" w:rsidR="006F12FE" w:rsidRPr="00EB0C51" w:rsidRDefault="006F12FE" w:rsidP="00AE1BDF">
      <w:pPr>
        <w:pStyle w:val="Descripcin"/>
        <w:jc w:val="center"/>
        <w:rPr>
          <w:rFonts w:cs="Arial"/>
          <w:bCs/>
          <w:color w:val="000000" w:themeColor="text1"/>
        </w:rPr>
      </w:pPr>
      <w:r w:rsidRPr="00EB0C51">
        <w:rPr>
          <w:rFonts w:cs="Arial"/>
          <w:color w:val="000000" w:themeColor="text1"/>
          <w:sz w:val="24"/>
          <w:szCs w:val="24"/>
        </w:rPr>
        <w:lastRenderedPageBreak/>
        <w:t xml:space="preserve">Tabla </w:t>
      </w:r>
      <w:r w:rsidRPr="00EB0C51">
        <w:rPr>
          <w:rFonts w:cs="Arial"/>
          <w:color w:val="000000" w:themeColor="text1"/>
          <w:sz w:val="24"/>
          <w:szCs w:val="24"/>
        </w:rPr>
        <w:fldChar w:fldCharType="begin"/>
      </w:r>
      <w:r w:rsidRPr="00EB0C51">
        <w:rPr>
          <w:rFonts w:cs="Arial"/>
          <w:color w:val="000000" w:themeColor="text1"/>
          <w:sz w:val="24"/>
          <w:szCs w:val="24"/>
        </w:rPr>
        <w:instrText xml:space="preserve"> SEQ Tabla \* ARABIC </w:instrText>
      </w:r>
      <w:r w:rsidRPr="00EB0C51">
        <w:rPr>
          <w:rFonts w:cs="Arial"/>
          <w:color w:val="000000" w:themeColor="text1"/>
          <w:sz w:val="24"/>
          <w:szCs w:val="24"/>
        </w:rPr>
        <w:fldChar w:fldCharType="separate"/>
      </w:r>
      <w:r w:rsidR="000E52FD" w:rsidRPr="00EB0C51">
        <w:rPr>
          <w:rFonts w:cs="Arial"/>
          <w:noProof/>
          <w:color w:val="000000" w:themeColor="text1"/>
          <w:sz w:val="24"/>
          <w:szCs w:val="24"/>
        </w:rPr>
        <w:t>9</w:t>
      </w:r>
      <w:r w:rsidRPr="00EB0C51">
        <w:rPr>
          <w:rFonts w:cs="Arial"/>
          <w:color w:val="000000" w:themeColor="text1"/>
          <w:sz w:val="24"/>
          <w:szCs w:val="24"/>
        </w:rPr>
        <w:fldChar w:fldCharType="end"/>
      </w:r>
      <w:r w:rsidRPr="00EB0C51">
        <w:rPr>
          <w:rFonts w:cs="Arial"/>
          <w:color w:val="000000" w:themeColor="text1"/>
          <w:sz w:val="24"/>
          <w:szCs w:val="24"/>
        </w:rPr>
        <w:t>.</w:t>
      </w:r>
      <w:r w:rsidRPr="00EB0C51">
        <w:t xml:space="preserve"> </w:t>
      </w:r>
      <w:r w:rsidRPr="00EB0C51">
        <w:rPr>
          <w:rFonts w:cs="Arial"/>
          <w:i w:val="0"/>
          <w:iCs w:val="0"/>
          <w:color w:val="000000" w:themeColor="text1"/>
          <w:sz w:val="24"/>
          <w:szCs w:val="24"/>
        </w:rPr>
        <w:t>Justificación grado de ejecución del pago de rubros</w:t>
      </w:r>
      <w:r w:rsidR="00861B56" w:rsidRPr="00EB0C51">
        <w:rPr>
          <w:rFonts w:cs="Arial"/>
          <w:i w:val="0"/>
          <w:iCs w:val="0"/>
          <w:color w:val="000000" w:themeColor="text1"/>
          <w:sz w:val="24"/>
          <w:szCs w:val="24"/>
        </w:rPr>
        <w:t xml:space="preserve"> del presupuesto del MHCP,</w:t>
      </w:r>
      <w:r w:rsidRPr="00EB0C51">
        <w:rPr>
          <w:rFonts w:cs="Arial"/>
          <w:i w:val="0"/>
          <w:iCs w:val="0"/>
          <w:color w:val="000000" w:themeColor="text1"/>
          <w:sz w:val="24"/>
          <w:szCs w:val="24"/>
        </w:rPr>
        <w:t xml:space="preserve"> con corte a junio de 2021</w:t>
      </w:r>
    </w:p>
    <w:p w14:paraId="56AECA5F" w14:textId="77777777" w:rsidR="006F12FE" w:rsidRPr="00EB0C51" w:rsidRDefault="006F12FE" w:rsidP="006F12FE">
      <w:pPr>
        <w:pStyle w:val="Descripcin"/>
        <w:ind w:left="-993"/>
        <w:rPr>
          <w:rFonts w:cs="Arial"/>
          <w:i w:val="0"/>
          <w:iCs w:val="0"/>
          <w:color w:val="000000" w:themeColor="text1"/>
          <w:sz w:val="20"/>
          <w:szCs w:val="20"/>
        </w:rPr>
      </w:pPr>
      <w:r w:rsidRPr="00EB0C51">
        <w:rPr>
          <w:rFonts w:cs="Arial"/>
          <w:i w:val="0"/>
          <w:iCs w:val="0"/>
          <w:color w:val="000000" w:themeColor="text1"/>
          <w:sz w:val="20"/>
          <w:szCs w:val="20"/>
        </w:rPr>
        <w:t>Cifras expresadas en pesos</w:t>
      </w:r>
    </w:p>
    <w:tbl>
      <w:tblPr>
        <w:tblW w:w="15594" w:type="dxa"/>
        <w:tblInd w:w="-998" w:type="dxa"/>
        <w:tblCellMar>
          <w:left w:w="70" w:type="dxa"/>
          <w:right w:w="70" w:type="dxa"/>
        </w:tblCellMar>
        <w:tblLook w:val="04A0" w:firstRow="1" w:lastRow="0" w:firstColumn="1" w:lastColumn="0" w:noHBand="0" w:noVBand="1"/>
      </w:tblPr>
      <w:tblGrid>
        <w:gridCol w:w="532"/>
        <w:gridCol w:w="2588"/>
        <w:gridCol w:w="2153"/>
        <w:gridCol w:w="1847"/>
        <w:gridCol w:w="1452"/>
        <w:gridCol w:w="1086"/>
        <w:gridCol w:w="608"/>
        <w:gridCol w:w="5328"/>
      </w:tblGrid>
      <w:tr w:rsidR="006F12FE" w:rsidRPr="00EB0C51" w14:paraId="25A5E4EE" w14:textId="77777777" w:rsidTr="001F72EB">
        <w:trPr>
          <w:trHeight w:val="510"/>
          <w:tblHeader/>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68EAF"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 xml:space="preserve">Ítem </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4CEC7FD4"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Nombre del rubro</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27F0C0F5"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Dependencia responsable</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14:paraId="5A2741C8"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Apropiación Vigente</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2F137A23"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Apropiación Comprometida</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9415A72"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Obligación</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7B37970F"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Pago</w:t>
            </w:r>
          </w:p>
        </w:tc>
        <w:tc>
          <w:tcPr>
            <w:tcW w:w="5328" w:type="dxa"/>
            <w:tcBorders>
              <w:top w:val="single" w:sz="4" w:space="0" w:color="auto"/>
              <w:left w:val="nil"/>
              <w:bottom w:val="single" w:sz="4" w:space="0" w:color="auto"/>
              <w:right w:val="single" w:sz="4" w:space="0" w:color="auto"/>
            </w:tcBorders>
            <w:shd w:val="clear" w:color="auto" w:fill="auto"/>
            <w:vAlign w:val="center"/>
            <w:hideMark/>
          </w:tcPr>
          <w:p w14:paraId="1EAB1DE0" w14:textId="77777777" w:rsidR="006F12FE" w:rsidRPr="00EB0C51" w:rsidRDefault="006F12FE" w:rsidP="002058A0">
            <w:pPr>
              <w:jc w:val="center"/>
              <w:rPr>
                <w:rFonts w:cs="Arial"/>
                <w:i/>
                <w:iCs/>
                <w:color w:val="000000"/>
                <w:sz w:val="20"/>
                <w:szCs w:val="20"/>
                <w:lang w:eastAsia="es-CO"/>
              </w:rPr>
            </w:pPr>
            <w:r w:rsidRPr="00EB0C51">
              <w:rPr>
                <w:rFonts w:cs="Arial"/>
                <w:i/>
                <w:iCs/>
                <w:color w:val="000000"/>
                <w:sz w:val="20"/>
                <w:szCs w:val="20"/>
                <w:lang w:eastAsia="es-CO"/>
              </w:rPr>
              <w:t>Comentario frente a la ejecución del rubro a junio de 2021</w:t>
            </w:r>
          </w:p>
        </w:tc>
      </w:tr>
      <w:tr w:rsidR="006F12FE" w:rsidRPr="00EB0C51" w14:paraId="733E21EA" w14:textId="77777777" w:rsidTr="001F72EB">
        <w:trPr>
          <w:trHeight w:val="6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84C4E0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w:t>
            </w:r>
          </w:p>
        </w:tc>
        <w:tc>
          <w:tcPr>
            <w:tcW w:w="2588" w:type="dxa"/>
            <w:tcBorders>
              <w:top w:val="nil"/>
              <w:left w:val="nil"/>
              <w:bottom w:val="single" w:sz="4" w:space="0" w:color="auto"/>
              <w:right w:val="single" w:sz="4" w:space="0" w:color="auto"/>
            </w:tcBorders>
            <w:shd w:val="clear" w:color="auto" w:fill="auto"/>
            <w:vAlign w:val="center"/>
            <w:hideMark/>
          </w:tcPr>
          <w:p w14:paraId="525A855D"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Otros Gastos de Personal - Distribución Previo Concepto DGPPN</w:t>
            </w:r>
          </w:p>
        </w:tc>
        <w:tc>
          <w:tcPr>
            <w:tcW w:w="2153" w:type="dxa"/>
            <w:tcBorders>
              <w:top w:val="nil"/>
              <w:left w:val="nil"/>
              <w:bottom w:val="single" w:sz="4" w:space="0" w:color="auto"/>
              <w:right w:val="single" w:sz="4" w:space="0" w:color="auto"/>
            </w:tcBorders>
            <w:shd w:val="clear" w:color="auto" w:fill="auto"/>
            <w:vAlign w:val="center"/>
            <w:hideMark/>
          </w:tcPr>
          <w:p w14:paraId="75BB0F4F"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24473154"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1.500.126.756.096</w:t>
            </w:r>
          </w:p>
        </w:tc>
        <w:tc>
          <w:tcPr>
            <w:tcW w:w="1452" w:type="dxa"/>
            <w:tcBorders>
              <w:top w:val="nil"/>
              <w:left w:val="nil"/>
              <w:bottom w:val="single" w:sz="4" w:space="0" w:color="auto"/>
              <w:right w:val="single" w:sz="4" w:space="0" w:color="auto"/>
            </w:tcBorders>
            <w:shd w:val="clear" w:color="auto" w:fill="auto"/>
            <w:noWrap/>
            <w:vAlign w:val="center"/>
            <w:hideMark/>
          </w:tcPr>
          <w:p w14:paraId="5A3C1F1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4F8151FA"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2F32CC7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val="restart"/>
            <w:tcBorders>
              <w:top w:val="nil"/>
              <w:left w:val="single" w:sz="4" w:space="0" w:color="auto"/>
              <w:bottom w:val="single" w:sz="4" w:space="0" w:color="000000"/>
              <w:right w:val="single" w:sz="4" w:space="0" w:color="auto"/>
            </w:tcBorders>
            <w:shd w:val="clear" w:color="auto" w:fill="auto"/>
            <w:vAlign w:val="center"/>
            <w:hideMark/>
          </w:tcPr>
          <w:p w14:paraId="4ADBF476" w14:textId="0406D828" w:rsidR="006F12FE" w:rsidRPr="00EB0C51" w:rsidRDefault="004971C9" w:rsidP="002058A0">
            <w:pPr>
              <w:jc w:val="both"/>
              <w:rPr>
                <w:rFonts w:cs="Arial"/>
                <w:color w:val="000000"/>
                <w:sz w:val="20"/>
                <w:szCs w:val="20"/>
                <w:lang w:eastAsia="es-CO"/>
              </w:rPr>
            </w:pPr>
            <w:r w:rsidRPr="00EB0C51">
              <w:rPr>
                <w:rFonts w:cs="Arial"/>
                <w:color w:val="000000"/>
                <w:sz w:val="20"/>
                <w:szCs w:val="20"/>
                <w:lang w:eastAsia="es-CO"/>
              </w:rPr>
              <w:t>De acuerdo con lo manifestado por el responsable, c</w:t>
            </w:r>
            <w:r w:rsidR="006F12FE" w:rsidRPr="00EB0C51">
              <w:rPr>
                <w:rFonts w:cs="Arial"/>
                <w:color w:val="000000"/>
                <w:sz w:val="20"/>
                <w:szCs w:val="20"/>
                <w:lang w:eastAsia="es-CO"/>
              </w:rPr>
              <w:t>orresponde a una provisión para atender las necesidades de gastos de personal de las entidades que se financian con aportes de la Nación, los cuales por la dinámica propia de las nóminas hace que se requirieran recursos al final de la vigencia fiscal.</w:t>
            </w:r>
          </w:p>
        </w:tc>
      </w:tr>
      <w:tr w:rsidR="006F12FE" w:rsidRPr="00EB0C51" w14:paraId="0908F672" w14:textId="77777777" w:rsidTr="001F72EB">
        <w:trPr>
          <w:trHeight w:val="323"/>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1A8000D"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w:t>
            </w:r>
          </w:p>
        </w:tc>
        <w:tc>
          <w:tcPr>
            <w:tcW w:w="2588" w:type="dxa"/>
            <w:tcBorders>
              <w:top w:val="nil"/>
              <w:left w:val="nil"/>
              <w:bottom w:val="single" w:sz="4" w:space="0" w:color="auto"/>
              <w:right w:val="single" w:sz="4" w:space="0" w:color="auto"/>
            </w:tcBorders>
            <w:shd w:val="clear" w:color="auto" w:fill="auto"/>
            <w:vAlign w:val="center"/>
            <w:hideMark/>
          </w:tcPr>
          <w:p w14:paraId="1516B7E2"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otros gastos de personal - distribución previo concepto DGPPN</w:t>
            </w:r>
          </w:p>
        </w:tc>
        <w:tc>
          <w:tcPr>
            <w:tcW w:w="2153" w:type="dxa"/>
            <w:tcBorders>
              <w:top w:val="nil"/>
              <w:left w:val="nil"/>
              <w:bottom w:val="single" w:sz="4" w:space="0" w:color="auto"/>
              <w:right w:val="single" w:sz="4" w:space="0" w:color="auto"/>
            </w:tcBorders>
            <w:shd w:val="clear" w:color="auto" w:fill="auto"/>
            <w:vAlign w:val="center"/>
            <w:hideMark/>
          </w:tcPr>
          <w:p w14:paraId="239925AE"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4547501D"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663.331.454 </w:t>
            </w:r>
          </w:p>
        </w:tc>
        <w:tc>
          <w:tcPr>
            <w:tcW w:w="1452" w:type="dxa"/>
            <w:tcBorders>
              <w:top w:val="nil"/>
              <w:left w:val="nil"/>
              <w:bottom w:val="single" w:sz="4" w:space="0" w:color="auto"/>
              <w:right w:val="single" w:sz="4" w:space="0" w:color="auto"/>
            </w:tcBorders>
            <w:shd w:val="clear" w:color="auto" w:fill="auto"/>
            <w:noWrap/>
            <w:vAlign w:val="center"/>
            <w:hideMark/>
          </w:tcPr>
          <w:p w14:paraId="5BD9427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38D70E6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2D50F42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15B2D7AE" w14:textId="77777777" w:rsidR="006F12FE" w:rsidRPr="00EB0C51" w:rsidRDefault="006F12FE" w:rsidP="002058A0">
            <w:pPr>
              <w:jc w:val="both"/>
              <w:rPr>
                <w:rFonts w:cs="Arial"/>
                <w:color w:val="000000"/>
                <w:sz w:val="20"/>
                <w:szCs w:val="20"/>
                <w:lang w:eastAsia="es-CO"/>
              </w:rPr>
            </w:pPr>
          </w:p>
        </w:tc>
      </w:tr>
      <w:tr w:rsidR="006F12FE" w:rsidRPr="00EB0C51" w14:paraId="50DC272C" w14:textId="77777777" w:rsidTr="001F72EB">
        <w:trPr>
          <w:trHeight w:val="191"/>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7E32AC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3</w:t>
            </w:r>
          </w:p>
        </w:tc>
        <w:tc>
          <w:tcPr>
            <w:tcW w:w="2588" w:type="dxa"/>
            <w:tcBorders>
              <w:top w:val="nil"/>
              <w:left w:val="nil"/>
              <w:bottom w:val="single" w:sz="4" w:space="0" w:color="auto"/>
              <w:right w:val="single" w:sz="4" w:space="0" w:color="auto"/>
            </w:tcBorders>
            <w:shd w:val="clear" w:color="auto" w:fill="auto"/>
            <w:vAlign w:val="center"/>
            <w:hideMark/>
          </w:tcPr>
          <w:p w14:paraId="20ED43C7"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Programa de Seguros para el Sector Exportador</w:t>
            </w:r>
          </w:p>
        </w:tc>
        <w:tc>
          <w:tcPr>
            <w:tcW w:w="2153" w:type="dxa"/>
            <w:tcBorders>
              <w:top w:val="nil"/>
              <w:left w:val="nil"/>
              <w:bottom w:val="single" w:sz="4" w:space="0" w:color="auto"/>
              <w:right w:val="single" w:sz="4" w:space="0" w:color="auto"/>
            </w:tcBorders>
            <w:shd w:val="clear" w:color="auto" w:fill="auto"/>
            <w:vAlign w:val="center"/>
            <w:hideMark/>
          </w:tcPr>
          <w:p w14:paraId="494DEC34" w14:textId="77777777" w:rsidR="006F12FE" w:rsidRPr="00EB0C51" w:rsidRDefault="006F12FE" w:rsidP="00EB2660">
            <w:pPr>
              <w:jc w:val="both"/>
              <w:rPr>
                <w:rFonts w:cs="Arial"/>
                <w:color w:val="000000"/>
                <w:sz w:val="20"/>
                <w:szCs w:val="20"/>
                <w:lang w:eastAsia="es-CO"/>
              </w:rPr>
            </w:pPr>
            <w:r w:rsidRPr="00EB0C51">
              <w:rPr>
                <w:rFonts w:cs="Arial"/>
                <w:color w:val="000000"/>
                <w:sz w:val="20"/>
                <w:szCs w:val="20"/>
                <w:lang w:eastAsia="es-CO"/>
              </w:rPr>
              <w:t>Subdirección Financiera</w:t>
            </w:r>
          </w:p>
        </w:tc>
        <w:tc>
          <w:tcPr>
            <w:tcW w:w="1847" w:type="dxa"/>
            <w:tcBorders>
              <w:top w:val="nil"/>
              <w:left w:val="nil"/>
              <w:bottom w:val="single" w:sz="4" w:space="0" w:color="auto"/>
              <w:right w:val="single" w:sz="4" w:space="0" w:color="auto"/>
            </w:tcBorders>
            <w:shd w:val="clear" w:color="auto" w:fill="auto"/>
            <w:noWrap/>
            <w:vAlign w:val="center"/>
            <w:hideMark/>
          </w:tcPr>
          <w:p w14:paraId="4D6B6899"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5.884.000.000</w:t>
            </w:r>
          </w:p>
        </w:tc>
        <w:tc>
          <w:tcPr>
            <w:tcW w:w="1452" w:type="dxa"/>
            <w:tcBorders>
              <w:top w:val="nil"/>
              <w:left w:val="nil"/>
              <w:bottom w:val="single" w:sz="4" w:space="0" w:color="auto"/>
              <w:right w:val="single" w:sz="4" w:space="0" w:color="auto"/>
            </w:tcBorders>
            <w:shd w:val="clear" w:color="auto" w:fill="auto"/>
            <w:noWrap/>
            <w:vAlign w:val="center"/>
            <w:hideMark/>
          </w:tcPr>
          <w:p w14:paraId="2C988A0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72F3FD3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5461C8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3DC1DA30" w14:textId="45556145" w:rsidR="006F12FE" w:rsidRPr="00EB0C51" w:rsidRDefault="00E86EEF" w:rsidP="002058A0">
            <w:pPr>
              <w:jc w:val="both"/>
              <w:rPr>
                <w:rFonts w:cs="Arial"/>
                <w:color w:val="000000"/>
                <w:sz w:val="20"/>
                <w:szCs w:val="20"/>
                <w:lang w:eastAsia="es-CO"/>
              </w:rPr>
            </w:pPr>
            <w:r w:rsidRPr="00EB0C51">
              <w:rPr>
                <w:rFonts w:cs="Arial"/>
                <w:color w:val="000000"/>
                <w:sz w:val="20"/>
                <w:szCs w:val="20"/>
                <w:lang w:eastAsia="es-CO"/>
              </w:rPr>
              <w:t>Conforme lo reportado por el responsable, l</w:t>
            </w:r>
            <w:r w:rsidR="006F12FE" w:rsidRPr="00EB0C51">
              <w:rPr>
                <w:rFonts w:cs="Arial"/>
                <w:color w:val="000000"/>
                <w:sz w:val="20"/>
                <w:szCs w:val="20"/>
                <w:lang w:eastAsia="es-CO"/>
              </w:rPr>
              <w:t>a ejecución de este rubro depende de la presentación de la cuenta de cobro por parte del Ministerio de Comercio, Industria y Turismo y el cumplimiento de las condiciones establecidas en el Decreto 2569 de 1993 y las normas que lo modifiquen o lo sustituyan.</w:t>
            </w:r>
          </w:p>
        </w:tc>
      </w:tr>
      <w:tr w:rsidR="006F12FE" w:rsidRPr="00EB0C51" w14:paraId="3EF93941" w14:textId="77777777" w:rsidTr="001F72EB">
        <w:trPr>
          <w:trHeight w:val="5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8D7A49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4</w:t>
            </w:r>
          </w:p>
        </w:tc>
        <w:tc>
          <w:tcPr>
            <w:tcW w:w="2588" w:type="dxa"/>
            <w:tcBorders>
              <w:top w:val="nil"/>
              <w:left w:val="nil"/>
              <w:bottom w:val="single" w:sz="4" w:space="0" w:color="auto"/>
              <w:right w:val="single" w:sz="4" w:space="0" w:color="auto"/>
            </w:tcBorders>
            <w:shd w:val="clear" w:color="auto" w:fill="auto"/>
            <w:vAlign w:val="center"/>
            <w:hideMark/>
          </w:tcPr>
          <w:p w14:paraId="73D30EDF"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Incentivo a las Inversiones en Hidrocarburos y Minería - Certificado de Reembolso Tributario - CERT. artículo 365 de la ley 1819 de 2016.</w:t>
            </w:r>
          </w:p>
        </w:tc>
        <w:tc>
          <w:tcPr>
            <w:tcW w:w="2153" w:type="dxa"/>
            <w:tcBorders>
              <w:top w:val="nil"/>
              <w:left w:val="nil"/>
              <w:bottom w:val="single" w:sz="4" w:space="0" w:color="auto"/>
              <w:right w:val="single" w:sz="4" w:space="0" w:color="auto"/>
            </w:tcBorders>
            <w:shd w:val="clear" w:color="auto" w:fill="auto"/>
            <w:vAlign w:val="center"/>
            <w:hideMark/>
          </w:tcPr>
          <w:p w14:paraId="02EE7A2D"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Viceministerio Técnico</w:t>
            </w:r>
          </w:p>
        </w:tc>
        <w:tc>
          <w:tcPr>
            <w:tcW w:w="1847" w:type="dxa"/>
            <w:tcBorders>
              <w:top w:val="nil"/>
              <w:left w:val="nil"/>
              <w:bottom w:val="single" w:sz="4" w:space="0" w:color="auto"/>
              <w:right w:val="single" w:sz="4" w:space="0" w:color="auto"/>
            </w:tcBorders>
            <w:shd w:val="clear" w:color="auto" w:fill="auto"/>
            <w:noWrap/>
            <w:vAlign w:val="center"/>
            <w:hideMark/>
          </w:tcPr>
          <w:p w14:paraId="11D1B8E3"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236.000.000</w:t>
            </w:r>
          </w:p>
        </w:tc>
        <w:tc>
          <w:tcPr>
            <w:tcW w:w="1452" w:type="dxa"/>
            <w:tcBorders>
              <w:top w:val="nil"/>
              <w:left w:val="nil"/>
              <w:bottom w:val="single" w:sz="4" w:space="0" w:color="auto"/>
              <w:right w:val="single" w:sz="4" w:space="0" w:color="auto"/>
            </w:tcBorders>
            <w:shd w:val="clear" w:color="auto" w:fill="auto"/>
            <w:noWrap/>
            <w:vAlign w:val="center"/>
            <w:hideMark/>
          </w:tcPr>
          <w:p w14:paraId="35AE9A3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065EC78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7D18A16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34F53B85" w14:textId="42F0B43F" w:rsidR="006F12FE" w:rsidRPr="00EB0C51" w:rsidRDefault="00B66924" w:rsidP="002058A0">
            <w:pPr>
              <w:jc w:val="both"/>
              <w:rPr>
                <w:rFonts w:cs="Arial"/>
                <w:color w:val="000000"/>
                <w:sz w:val="20"/>
                <w:szCs w:val="20"/>
                <w:lang w:eastAsia="es-CO"/>
              </w:rPr>
            </w:pPr>
            <w:r w:rsidRPr="00EB0C51">
              <w:rPr>
                <w:rFonts w:cs="Arial"/>
                <w:color w:val="000000"/>
                <w:sz w:val="20"/>
                <w:szCs w:val="20"/>
                <w:lang w:eastAsia="es-CO"/>
              </w:rPr>
              <w:t>Según lo comentado por el responsable, p</w:t>
            </w:r>
            <w:r w:rsidR="006F12FE" w:rsidRPr="00EB0C51">
              <w:rPr>
                <w:rFonts w:cs="Arial"/>
                <w:color w:val="000000"/>
                <w:sz w:val="20"/>
                <w:szCs w:val="20"/>
                <w:lang w:eastAsia="es-CO"/>
              </w:rPr>
              <w:t>ara otorgar los</w:t>
            </w:r>
            <w:r w:rsidRPr="00EB0C51">
              <w:rPr>
                <w:rFonts w:cs="Arial"/>
                <w:color w:val="000000"/>
                <w:sz w:val="20"/>
                <w:szCs w:val="20"/>
                <w:lang w:eastAsia="es-CO"/>
              </w:rPr>
              <w:t xml:space="preserve"> Certificados de Reembolso Tributario</w:t>
            </w:r>
            <w:r w:rsidR="006F12FE" w:rsidRPr="00EB0C51">
              <w:rPr>
                <w:rFonts w:cs="Arial"/>
                <w:color w:val="000000"/>
                <w:sz w:val="20"/>
                <w:szCs w:val="20"/>
                <w:lang w:eastAsia="es-CO"/>
              </w:rPr>
              <w:t xml:space="preserve"> CERT, se debe suscribir un convenio que actualmente se encuentra en trámite y se espera que se firme en octubre. La suscripción de ese convenio tiene un costo</w:t>
            </w:r>
            <w:r w:rsidR="00C2742A" w:rsidRPr="00EB0C51">
              <w:rPr>
                <w:rFonts w:cs="Arial"/>
                <w:color w:val="000000"/>
                <w:sz w:val="20"/>
                <w:szCs w:val="20"/>
                <w:lang w:eastAsia="es-CO"/>
              </w:rPr>
              <w:t xml:space="preserve"> que </w:t>
            </w:r>
            <w:r w:rsidR="006F12FE" w:rsidRPr="00EB0C51">
              <w:rPr>
                <w:rFonts w:cs="Arial"/>
                <w:color w:val="000000"/>
                <w:sz w:val="20"/>
                <w:szCs w:val="20"/>
                <w:lang w:eastAsia="es-CO"/>
              </w:rPr>
              <w:t xml:space="preserve">seguirá cubierto con </w:t>
            </w:r>
            <w:r w:rsidR="0019212E" w:rsidRPr="00EB0C51">
              <w:rPr>
                <w:rFonts w:cs="Arial"/>
                <w:color w:val="000000"/>
                <w:sz w:val="20"/>
                <w:szCs w:val="20"/>
                <w:lang w:eastAsia="es-CO"/>
              </w:rPr>
              <w:t>el</w:t>
            </w:r>
            <w:r w:rsidR="006F12FE" w:rsidRPr="00EB0C51">
              <w:rPr>
                <w:rFonts w:cs="Arial"/>
                <w:color w:val="000000"/>
                <w:sz w:val="20"/>
                <w:szCs w:val="20"/>
                <w:lang w:eastAsia="es-CO"/>
              </w:rPr>
              <w:t xml:space="preserve"> rubro presupuestal </w:t>
            </w:r>
          </w:p>
        </w:tc>
      </w:tr>
      <w:tr w:rsidR="006F12FE" w:rsidRPr="00EB0C51" w14:paraId="726520AC"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A16479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5</w:t>
            </w:r>
          </w:p>
        </w:tc>
        <w:tc>
          <w:tcPr>
            <w:tcW w:w="2588" w:type="dxa"/>
            <w:tcBorders>
              <w:top w:val="nil"/>
              <w:left w:val="nil"/>
              <w:bottom w:val="single" w:sz="4" w:space="0" w:color="auto"/>
              <w:right w:val="single" w:sz="4" w:space="0" w:color="auto"/>
            </w:tcBorders>
            <w:shd w:val="clear" w:color="auto" w:fill="auto"/>
            <w:vAlign w:val="center"/>
            <w:hideMark/>
          </w:tcPr>
          <w:p w14:paraId="43C4F838"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Incentivo a las Inversiones en Hidrocarburos y Minería - Certificado de Reembolso Tributario - CERT. artículo 365 de la ley 1819 de 2016.</w:t>
            </w:r>
          </w:p>
        </w:tc>
        <w:tc>
          <w:tcPr>
            <w:tcW w:w="2153" w:type="dxa"/>
            <w:tcBorders>
              <w:top w:val="nil"/>
              <w:left w:val="nil"/>
              <w:bottom w:val="single" w:sz="4" w:space="0" w:color="auto"/>
              <w:right w:val="single" w:sz="4" w:space="0" w:color="auto"/>
            </w:tcBorders>
            <w:shd w:val="clear" w:color="auto" w:fill="auto"/>
            <w:vAlign w:val="center"/>
            <w:hideMark/>
          </w:tcPr>
          <w:p w14:paraId="76735521"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Viceministerio Técnico</w:t>
            </w:r>
          </w:p>
        </w:tc>
        <w:tc>
          <w:tcPr>
            <w:tcW w:w="1847" w:type="dxa"/>
            <w:tcBorders>
              <w:top w:val="nil"/>
              <w:left w:val="nil"/>
              <w:bottom w:val="single" w:sz="4" w:space="0" w:color="auto"/>
              <w:right w:val="single" w:sz="4" w:space="0" w:color="auto"/>
            </w:tcBorders>
            <w:shd w:val="clear" w:color="auto" w:fill="auto"/>
            <w:noWrap/>
            <w:vAlign w:val="center"/>
            <w:hideMark/>
          </w:tcPr>
          <w:p w14:paraId="4195DC8F"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361.480.000.000</w:t>
            </w:r>
          </w:p>
        </w:tc>
        <w:tc>
          <w:tcPr>
            <w:tcW w:w="1452" w:type="dxa"/>
            <w:tcBorders>
              <w:top w:val="nil"/>
              <w:left w:val="nil"/>
              <w:bottom w:val="single" w:sz="4" w:space="0" w:color="auto"/>
              <w:right w:val="single" w:sz="4" w:space="0" w:color="auto"/>
            </w:tcBorders>
            <w:shd w:val="clear" w:color="auto" w:fill="auto"/>
            <w:noWrap/>
            <w:vAlign w:val="center"/>
            <w:hideMark/>
          </w:tcPr>
          <w:p w14:paraId="2D3B204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0533FA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24BECCE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46C799D3" w14:textId="798F05AA" w:rsidR="006F12FE" w:rsidRPr="00EB0C51" w:rsidRDefault="0019577E" w:rsidP="002058A0">
            <w:pPr>
              <w:jc w:val="both"/>
              <w:rPr>
                <w:rFonts w:cs="Arial"/>
                <w:color w:val="000000"/>
                <w:sz w:val="20"/>
                <w:szCs w:val="20"/>
                <w:lang w:eastAsia="es-CO"/>
              </w:rPr>
            </w:pPr>
            <w:r w:rsidRPr="00EB0C51">
              <w:rPr>
                <w:rFonts w:cs="Arial"/>
                <w:color w:val="000000"/>
                <w:sz w:val="20"/>
                <w:szCs w:val="20"/>
                <w:lang w:eastAsia="es-CO"/>
              </w:rPr>
              <w:t xml:space="preserve">De acuerdo con lo manifestado por el responsable, </w:t>
            </w:r>
            <w:r w:rsidR="000417A3" w:rsidRPr="00EB0C51">
              <w:rPr>
                <w:rFonts w:cs="Arial"/>
                <w:color w:val="000000"/>
                <w:sz w:val="20"/>
                <w:szCs w:val="20"/>
                <w:lang w:eastAsia="es-CO"/>
              </w:rPr>
              <w:t>e</w:t>
            </w:r>
            <w:r w:rsidR="006F12FE" w:rsidRPr="00EB0C51">
              <w:rPr>
                <w:rFonts w:cs="Arial"/>
                <w:color w:val="000000"/>
                <w:sz w:val="20"/>
                <w:szCs w:val="20"/>
                <w:lang w:eastAsia="es-CO"/>
              </w:rPr>
              <w:t xml:space="preserve">n el primer semestre de 2021 el MHCP recibió el informe de beneficiarios de CERT por parte de la </w:t>
            </w:r>
            <w:r w:rsidR="00925109" w:rsidRPr="00EB0C51">
              <w:rPr>
                <w:rFonts w:cs="Arial"/>
                <w:color w:val="000000"/>
                <w:sz w:val="20"/>
                <w:szCs w:val="20"/>
                <w:lang w:eastAsia="es-CO"/>
              </w:rPr>
              <w:t xml:space="preserve">Agencia Nacional de Minería </w:t>
            </w:r>
            <w:r w:rsidR="006F12FE" w:rsidRPr="00EB0C51">
              <w:rPr>
                <w:rFonts w:cs="Arial"/>
                <w:color w:val="000000"/>
                <w:sz w:val="20"/>
                <w:szCs w:val="20"/>
                <w:lang w:eastAsia="es-CO"/>
              </w:rPr>
              <w:t>ANM, el cual detalla que se ejecutaron inversiones por las cuales se deberá otorgar alrededor de $41.000 millones en CERT. Se espera otorgar esos CERT en octubre, momento en el que se ejecutaría esa porción del rubro</w:t>
            </w:r>
            <w:r w:rsidR="00CB4830" w:rsidRPr="00EB0C51">
              <w:rPr>
                <w:rFonts w:cs="Arial"/>
                <w:color w:val="000000"/>
                <w:sz w:val="20"/>
                <w:szCs w:val="20"/>
                <w:lang w:eastAsia="es-CO"/>
              </w:rPr>
              <w:t>, e</w:t>
            </w:r>
            <w:r w:rsidR="006F12FE" w:rsidRPr="00EB0C51">
              <w:rPr>
                <w:rFonts w:cs="Arial"/>
                <w:color w:val="000000"/>
                <w:sz w:val="20"/>
                <w:szCs w:val="20"/>
                <w:lang w:eastAsia="es-CO"/>
              </w:rPr>
              <w:t xml:space="preserve">l restante no se ejecutaría debido a inversiones no realizadas y a los altos precios del petróleo. </w:t>
            </w:r>
          </w:p>
        </w:tc>
      </w:tr>
      <w:tr w:rsidR="006F12FE" w:rsidRPr="00EB0C51" w14:paraId="3C544E91" w14:textId="77777777" w:rsidTr="001F72EB">
        <w:trPr>
          <w:trHeight w:val="42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CA34B5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tc>
        <w:tc>
          <w:tcPr>
            <w:tcW w:w="2588" w:type="dxa"/>
            <w:tcBorders>
              <w:top w:val="nil"/>
              <w:left w:val="nil"/>
              <w:bottom w:val="single" w:sz="4" w:space="0" w:color="auto"/>
              <w:right w:val="single" w:sz="4" w:space="0" w:color="auto"/>
            </w:tcBorders>
            <w:shd w:val="clear" w:color="auto" w:fill="auto"/>
            <w:vAlign w:val="center"/>
            <w:hideMark/>
          </w:tcPr>
          <w:p w14:paraId="0F8E0EF7"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Incentivo a las Inversiones en Hidrocarburos y Minería - Certificado de Reembolso Tributario - CERT. artículo 365 de la ley 1819 de 2016.</w:t>
            </w:r>
          </w:p>
        </w:tc>
        <w:tc>
          <w:tcPr>
            <w:tcW w:w="2153" w:type="dxa"/>
            <w:tcBorders>
              <w:top w:val="nil"/>
              <w:left w:val="nil"/>
              <w:bottom w:val="single" w:sz="4" w:space="0" w:color="auto"/>
              <w:right w:val="single" w:sz="4" w:space="0" w:color="auto"/>
            </w:tcBorders>
            <w:shd w:val="clear" w:color="auto" w:fill="auto"/>
            <w:vAlign w:val="center"/>
            <w:hideMark/>
          </w:tcPr>
          <w:p w14:paraId="57E0E2B6"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Viceministerio Técnico</w:t>
            </w:r>
          </w:p>
        </w:tc>
        <w:tc>
          <w:tcPr>
            <w:tcW w:w="1847" w:type="dxa"/>
            <w:tcBorders>
              <w:top w:val="nil"/>
              <w:left w:val="nil"/>
              <w:bottom w:val="single" w:sz="4" w:space="0" w:color="auto"/>
              <w:right w:val="single" w:sz="4" w:space="0" w:color="auto"/>
            </w:tcBorders>
            <w:shd w:val="clear" w:color="auto" w:fill="auto"/>
            <w:noWrap/>
            <w:vAlign w:val="center"/>
            <w:hideMark/>
          </w:tcPr>
          <w:p w14:paraId="696636CF"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500.000.000.000</w:t>
            </w:r>
          </w:p>
        </w:tc>
        <w:tc>
          <w:tcPr>
            <w:tcW w:w="1452" w:type="dxa"/>
            <w:tcBorders>
              <w:top w:val="nil"/>
              <w:left w:val="nil"/>
              <w:bottom w:val="single" w:sz="4" w:space="0" w:color="auto"/>
              <w:right w:val="single" w:sz="4" w:space="0" w:color="auto"/>
            </w:tcBorders>
            <w:shd w:val="clear" w:color="auto" w:fill="auto"/>
            <w:noWrap/>
            <w:vAlign w:val="center"/>
            <w:hideMark/>
          </w:tcPr>
          <w:p w14:paraId="1151831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7F1F8FD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78DD9CD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68D7DD5E" w14:textId="1E63609E" w:rsidR="006F12FE" w:rsidRPr="00EB0C51" w:rsidRDefault="00DB0162" w:rsidP="002058A0">
            <w:pPr>
              <w:jc w:val="both"/>
              <w:rPr>
                <w:rFonts w:cs="Arial"/>
                <w:color w:val="000000"/>
                <w:sz w:val="20"/>
                <w:szCs w:val="20"/>
                <w:lang w:eastAsia="es-CO"/>
              </w:rPr>
            </w:pPr>
            <w:r w:rsidRPr="00EB0C51">
              <w:rPr>
                <w:rFonts w:cs="Arial"/>
                <w:color w:val="000000"/>
                <w:sz w:val="20"/>
                <w:szCs w:val="20"/>
                <w:lang w:eastAsia="es-CO"/>
              </w:rPr>
              <w:t>Según lo mencionado por el responsable, a</w:t>
            </w:r>
            <w:r w:rsidR="006F12FE" w:rsidRPr="00EB0C51">
              <w:rPr>
                <w:rFonts w:cs="Arial"/>
                <w:color w:val="000000"/>
                <w:sz w:val="20"/>
                <w:szCs w:val="20"/>
                <w:lang w:eastAsia="es-CO"/>
              </w:rPr>
              <w:t xml:space="preserve">ctualmente siguen </w:t>
            </w:r>
            <w:r w:rsidR="001F72EB" w:rsidRPr="00EB0C51">
              <w:rPr>
                <w:rFonts w:cs="Arial"/>
                <w:color w:val="000000"/>
                <w:sz w:val="20"/>
                <w:szCs w:val="20"/>
                <w:lang w:eastAsia="es-CO"/>
              </w:rPr>
              <w:t xml:space="preserve">en </w:t>
            </w:r>
            <w:r w:rsidR="006F12FE" w:rsidRPr="00EB0C51">
              <w:rPr>
                <w:rFonts w:cs="Arial"/>
                <w:color w:val="000000"/>
                <w:sz w:val="20"/>
                <w:szCs w:val="20"/>
                <w:lang w:eastAsia="es-CO"/>
              </w:rPr>
              <w:t xml:space="preserve">evaluación las condiciones bajo las cuales podría operar el instrumento al cual hace referencia esta apropiación presupuestal. </w:t>
            </w:r>
          </w:p>
        </w:tc>
      </w:tr>
      <w:tr w:rsidR="006F12FE" w:rsidRPr="00EB0C51" w14:paraId="703FD304"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956EE5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7</w:t>
            </w:r>
          </w:p>
        </w:tc>
        <w:tc>
          <w:tcPr>
            <w:tcW w:w="2588" w:type="dxa"/>
            <w:tcBorders>
              <w:top w:val="nil"/>
              <w:left w:val="nil"/>
              <w:bottom w:val="single" w:sz="4" w:space="0" w:color="auto"/>
              <w:right w:val="single" w:sz="4" w:space="0" w:color="auto"/>
            </w:tcBorders>
            <w:shd w:val="clear" w:color="auto" w:fill="auto"/>
            <w:vAlign w:val="center"/>
            <w:hideMark/>
          </w:tcPr>
          <w:p w14:paraId="67023507"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Asociación Internacional de presupuesto público -ASIP, ley 493 de 1999.</w:t>
            </w:r>
          </w:p>
        </w:tc>
        <w:tc>
          <w:tcPr>
            <w:tcW w:w="2153" w:type="dxa"/>
            <w:tcBorders>
              <w:top w:val="nil"/>
              <w:left w:val="nil"/>
              <w:bottom w:val="single" w:sz="4" w:space="0" w:color="auto"/>
              <w:right w:val="single" w:sz="4" w:space="0" w:color="auto"/>
            </w:tcBorders>
            <w:shd w:val="clear" w:color="auto" w:fill="auto"/>
            <w:vAlign w:val="center"/>
            <w:hideMark/>
          </w:tcPr>
          <w:p w14:paraId="5AB93AF0"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Financiera</w:t>
            </w:r>
          </w:p>
        </w:tc>
        <w:tc>
          <w:tcPr>
            <w:tcW w:w="1847" w:type="dxa"/>
            <w:tcBorders>
              <w:top w:val="nil"/>
              <w:left w:val="nil"/>
              <w:bottom w:val="single" w:sz="4" w:space="0" w:color="auto"/>
              <w:right w:val="single" w:sz="4" w:space="0" w:color="auto"/>
            </w:tcBorders>
            <w:shd w:val="clear" w:color="auto" w:fill="auto"/>
            <w:noWrap/>
            <w:vAlign w:val="center"/>
            <w:hideMark/>
          </w:tcPr>
          <w:p w14:paraId="0F16EA86"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21.000.000</w:t>
            </w:r>
          </w:p>
        </w:tc>
        <w:tc>
          <w:tcPr>
            <w:tcW w:w="1452" w:type="dxa"/>
            <w:tcBorders>
              <w:top w:val="nil"/>
              <w:left w:val="nil"/>
              <w:bottom w:val="single" w:sz="4" w:space="0" w:color="auto"/>
              <w:right w:val="single" w:sz="4" w:space="0" w:color="auto"/>
            </w:tcBorders>
            <w:shd w:val="clear" w:color="auto" w:fill="auto"/>
            <w:noWrap/>
            <w:vAlign w:val="center"/>
            <w:hideMark/>
          </w:tcPr>
          <w:p w14:paraId="7D2FC84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2D23557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3F91771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4A92792F" w14:textId="761098CD" w:rsidR="006F12FE" w:rsidRPr="00EB0C51" w:rsidRDefault="006B5446" w:rsidP="002058A0">
            <w:pPr>
              <w:jc w:val="both"/>
              <w:rPr>
                <w:rFonts w:cs="Arial"/>
                <w:color w:val="000000"/>
                <w:sz w:val="20"/>
                <w:szCs w:val="20"/>
                <w:lang w:eastAsia="es-CO"/>
              </w:rPr>
            </w:pPr>
            <w:r w:rsidRPr="00EB0C51">
              <w:rPr>
                <w:rFonts w:cs="Arial"/>
                <w:color w:val="000000"/>
                <w:sz w:val="20"/>
                <w:szCs w:val="20"/>
                <w:lang w:eastAsia="es-CO"/>
              </w:rPr>
              <w:t>De acuerdo con lo manifestado por el responsable, d</w:t>
            </w:r>
            <w:r w:rsidR="006F12FE" w:rsidRPr="00EB0C51">
              <w:rPr>
                <w:rFonts w:cs="Arial"/>
                <w:color w:val="000000"/>
                <w:sz w:val="20"/>
                <w:szCs w:val="20"/>
                <w:lang w:eastAsia="es-CO"/>
              </w:rPr>
              <w:t xml:space="preserve">e conformidad con lo ordenado en la Ley 493 de 1999 el </w:t>
            </w:r>
            <w:r w:rsidRPr="00EB0C51">
              <w:rPr>
                <w:rFonts w:cs="Arial"/>
                <w:color w:val="000000"/>
                <w:sz w:val="20"/>
                <w:szCs w:val="20"/>
                <w:lang w:eastAsia="es-CO"/>
              </w:rPr>
              <w:t>MHCP</w:t>
            </w:r>
            <w:r w:rsidR="006F12FE" w:rsidRPr="00EB0C51">
              <w:rPr>
                <w:rFonts w:cs="Arial"/>
                <w:color w:val="000000"/>
                <w:sz w:val="20"/>
                <w:szCs w:val="20"/>
                <w:lang w:eastAsia="es-CO"/>
              </w:rPr>
              <w:t xml:space="preserve"> </w:t>
            </w:r>
            <w:r w:rsidRPr="00EB0C51">
              <w:rPr>
                <w:rFonts w:cs="Arial"/>
                <w:color w:val="000000"/>
                <w:sz w:val="20"/>
                <w:szCs w:val="20"/>
                <w:lang w:eastAsia="es-CO"/>
              </w:rPr>
              <w:t>efectúa</w:t>
            </w:r>
            <w:r w:rsidR="006F12FE" w:rsidRPr="00EB0C51">
              <w:rPr>
                <w:rFonts w:cs="Arial"/>
                <w:color w:val="000000"/>
                <w:sz w:val="20"/>
                <w:szCs w:val="20"/>
                <w:lang w:eastAsia="es-CO"/>
              </w:rPr>
              <w:t xml:space="preserve"> un aporte anual equivalente a USD 10.000; sin embargo</w:t>
            </w:r>
            <w:r w:rsidR="001D0544" w:rsidRPr="00EB0C51">
              <w:rPr>
                <w:rFonts w:cs="Arial"/>
                <w:color w:val="000000"/>
                <w:sz w:val="20"/>
                <w:szCs w:val="20"/>
                <w:lang w:eastAsia="es-CO"/>
              </w:rPr>
              <w:t>,</w:t>
            </w:r>
            <w:r w:rsidR="006F12FE" w:rsidRPr="00EB0C51">
              <w:rPr>
                <w:rFonts w:cs="Arial"/>
                <w:color w:val="000000"/>
                <w:sz w:val="20"/>
                <w:szCs w:val="20"/>
                <w:lang w:eastAsia="es-CO"/>
              </w:rPr>
              <w:t xml:space="preserve"> a la fecha no se ha recibido la comunicación de la Asociación Internacional de Presupuesto Público con las instrucciones para la transferencia, </w:t>
            </w:r>
            <w:r w:rsidR="001D0544" w:rsidRPr="00EB0C51">
              <w:rPr>
                <w:rFonts w:cs="Arial"/>
                <w:color w:val="000000"/>
                <w:sz w:val="20"/>
                <w:szCs w:val="20"/>
                <w:lang w:eastAsia="es-CO"/>
              </w:rPr>
              <w:t>actividad</w:t>
            </w:r>
            <w:r w:rsidR="006F12FE" w:rsidRPr="00EB0C51">
              <w:rPr>
                <w:rFonts w:cs="Arial"/>
                <w:color w:val="000000"/>
                <w:sz w:val="20"/>
                <w:szCs w:val="20"/>
                <w:lang w:eastAsia="es-CO"/>
              </w:rPr>
              <w:t xml:space="preserve"> que normalmente se </w:t>
            </w:r>
            <w:r w:rsidR="001D0544" w:rsidRPr="00EB0C51">
              <w:rPr>
                <w:rFonts w:cs="Arial"/>
                <w:color w:val="000000"/>
                <w:sz w:val="20"/>
                <w:szCs w:val="20"/>
                <w:lang w:eastAsia="es-CO"/>
              </w:rPr>
              <w:t xml:space="preserve">realiza </w:t>
            </w:r>
            <w:r w:rsidR="006F12FE" w:rsidRPr="00EB0C51">
              <w:rPr>
                <w:rFonts w:cs="Arial"/>
                <w:color w:val="000000"/>
                <w:sz w:val="20"/>
                <w:szCs w:val="20"/>
                <w:lang w:eastAsia="es-CO"/>
              </w:rPr>
              <w:t>en el último trimestre de la vigencia.</w:t>
            </w:r>
          </w:p>
        </w:tc>
      </w:tr>
      <w:tr w:rsidR="006F12FE" w:rsidRPr="00EB0C51" w14:paraId="005E8A0C" w14:textId="77777777" w:rsidTr="001F72EB">
        <w:trPr>
          <w:trHeight w:val="102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B8F439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8</w:t>
            </w:r>
          </w:p>
        </w:tc>
        <w:tc>
          <w:tcPr>
            <w:tcW w:w="2588" w:type="dxa"/>
            <w:tcBorders>
              <w:top w:val="nil"/>
              <w:left w:val="nil"/>
              <w:bottom w:val="single" w:sz="4" w:space="0" w:color="auto"/>
              <w:right w:val="single" w:sz="4" w:space="0" w:color="auto"/>
            </w:tcBorders>
            <w:shd w:val="clear" w:color="auto" w:fill="auto"/>
            <w:vAlign w:val="center"/>
            <w:hideMark/>
          </w:tcPr>
          <w:p w14:paraId="222059D0"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Organización para la Cooperación y el Desarrollo Económico OCDE-articulo 47 ley 1450 de 2011 y ley 1950 de 2019</w:t>
            </w:r>
          </w:p>
        </w:tc>
        <w:tc>
          <w:tcPr>
            <w:tcW w:w="2153" w:type="dxa"/>
            <w:tcBorders>
              <w:top w:val="nil"/>
              <w:left w:val="nil"/>
              <w:bottom w:val="single" w:sz="4" w:space="0" w:color="auto"/>
              <w:right w:val="single" w:sz="4" w:space="0" w:color="auto"/>
            </w:tcBorders>
            <w:shd w:val="clear" w:color="auto" w:fill="auto"/>
            <w:vAlign w:val="center"/>
            <w:hideMark/>
          </w:tcPr>
          <w:p w14:paraId="4E223A42"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Viceministerio Técnico</w:t>
            </w:r>
          </w:p>
        </w:tc>
        <w:tc>
          <w:tcPr>
            <w:tcW w:w="1847" w:type="dxa"/>
            <w:tcBorders>
              <w:top w:val="nil"/>
              <w:left w:val="nil"/>
              <w:bottom w:val="single" w:sz="4" w:space="0" w:color="auto"/>
              <w:right w:val="single" w:sz="4" w:space="0" w:color="auto"/>
            </w:tcBorders>
            <w:shd w:val="clear" w:color="auto" w:fill="auto"/>
            <w:noWrap/>
            <w:vAlign w:val="center"/>
            <w:hideMark/>
          </w:tcPr>
          <w:p w14:paraId="1221CA93"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19.575.000.000</w:t>
            </w:r>
          </w:p>
        </w:tc>
        <w:tc>
          <w:tcPr>
            <w:tcW w:w="1452" w:type="dxa"/>
            <w:tcBorders>
              <w:top w:val="nil"/>
              <w:left w:val="nil"/>
              <w:bottom w:val="single" w:sz="4" w:space="0" w:color="auto"/>
              <w:right w:val="single" w:sz="4" w:space="0" w:color="auto"/>
            </w:tcBorders>
            <w:shd w:val="clear" w:color="auto" w:fill="auto"/>
            <w:noWrap/>
            <w:vAlign w:val="center"/>
            <w:hideMark/>
          </w:tcPr>
          <w:p w14:paraId="35651FA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037C10A1"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4996A47D"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33312B80" w14:textId="3A6AA3C5" w:rsidR="006F12FE" w:rsidRPr="00EB0C51" w:rsidRDefault="00F07E9C" w:rsidP="002058A0">
            <w:pPr>
              <w:jc w:val="both"/>
              <w:rPr>
                <w:rFonts w:cs="Arial"/>
                <w:color w:val="000000"/>
                <w:sz w:val="20"/>
                <w:szCs w:val="20"/>
                <w:lang w:eastAsia="es-CO"/>
              </w:rPr>
            </w:pPr>
            <w:r w:rsidRPr="00EB0C51">
              <w:rPr>
                <w:rFonts w:cs="Arial"/>
                <w:color w:val="000000"/>
                <w:sz w:val="20"/>
                <w:szCs w:val="20"/>
                <w:lang w:eastAsia="es-CO"/>
              </w:rPr>
              <w:t xml:space="preserve">Conforme lo </w:t>
            </w:r>
            <w:r w:rsidR="00D1698A" w:rsidRPr="00EB0C51">
              <w:rPr>
                <w:rFonts w:cs="Arial"/>
                <w:color w:val="000000"/>
                <w:sz w:val="20"/>
                <w:szCs w:val="20"/>
                <w:lang w:eastAsia="es-CO"/>
              </w:rPr>
              <w:t xml:space="preserve">mencionado </w:t>
            </w:r>
            <w:r w:rsidRPr="00EB0C51">
              <w:rPr>
                <w:rFonts w:cs="Arial"/>
                <w:color w:val="000000"/>
                <w:sz w:val="20"/>
                <w:szCs w:val="20"/>
                <w:lang w:eastAsia="es-CO"/>
              </w:rPr>
              <w:t>por el responsable, e</w:t>
            </w:r>
            <w:r w:rsidR="006F12FE" w:rsidRPr="00EB0C51">
              <w:rPr>
                <w:rFonts w:cs="Arial"/>
                <w:color w:val="000000"/>
                <w:sz w:val="20"/>
                <w:szCs w:val="20"/>
                <w:lang w:eastAsia="es-CO"/>
              </w:rPr>
              <w:t xml:space="preserve">n el segundo semestre de 2021, el </w:t>
            </w:r>
            <w:r w:rsidRPr="00EB0C51">
              <w:rPr>
                <w:rFonts w:cs="Arial"/>
                <w:color w:val="000000"/>
                <w:sz w:val="20"/>
                <w:szCs w:val="20"/>
                <w:lang w:eastAsia="es-CO"/>
              </w:rPr>
              <w:t>MHCP</w:t>
            </w:r>
            <w:r w:rsidR="006F12FE" w:rsidRPr="00EB0C51">
              <w:rPr>
                <w:rFonts w:cs="Arial"/>
                <w:color w:val="000000"/>
                <w:sz w:val="20"/>
                <w:szCs w:val="20"/>
                <w:lang w:eastAsia="es-CO"/>
              </w:rPr>
              <w:t xml:space="preserve"> estará pagando el valor de la membresía y los comités en los que la entidad participa, de acuerdo con lo previsto en el artículo 47 de la Ley 1450 de 2011 y la Ley 1950 de 2019. Se proyecta que se </w:t>
            </w:r>
            <w:r w:rsidR="001C35AE" w:rsidRPr="00EB0C51">
              <w:rPr>
                <w:rFonts w:cs="Arial"/>
                <w:color w:val="000000"/>
                <w:sz w:val="20"/>
                <w:szCs w:val="20"/>
                <w:lang w:eastAsia="es-CO"/>
              </w:rPr>
              <w:t>pague</w:t>
            </w:r>
            <w:r w:rsidR="006F12FE" w:rsidRPr="00EB0C51">
              <w:rPr>
                <w:rFonts w:cs="Arial"/>
                <w:color w:val="000000"/>
                <w:sz w:val="20"/>
                <w:szCs w:val="20"/>
                <w:lang w:eastAsia="es-CO"/>
              </w:rPr>
              <w:t xml:space="preserve"> un valor cercano a los 4 millones de euros.</w:t>
            </w:r>
          </w:p>
        </w:tc>
      </w:tr>
      <w:tr w:rsidR="006F12FE" w:rsidRPr="00EB0C51" w14:paraId="2B8981EE" w14:textId="77777777" w:rsidTr="001F72EB">
        <w:trPr>
          <w:trHeight w:val="129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5E298D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2588" w:type="dxa"/>
            <w:tcBorders>
              <w:top w:val="nil"/>
              <w:left w:val="nil"/>
              <w:bottom w:val="single" w:sz="4" w:space="0" w:color="auto"/>
              <w:right w:val="single" w:sz="4" w:space="0" w:color="auto"/>
            </w:tcBorders>
            <w:shd w:val="clear" w:color="auto" w:fill="auto"/>
            <w:vAlign w:val="center"/>
            <w:hideMark/>
          </w:tcPr>
          <w:p w14:paraId="210E6FF0"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Programa de Protección a Personas que se Encuentran en Situación de Riesgo Contra su Vida, Integridad, Seguridad o Libertad, por Causas Relacionadas con la Violencia en Colombia</w:t>
            </w:r>
          </w:p>
        </w:tc>
        <w:tc>
          <w:tcPr>
            <w:tcW w:w="2153" w:type="dxa"/>
            <w:tcBorders>
              <w:top w:val="nil"/>
              <w:left w:val="nil"/>
              <w:bottom w:val="single" w:sz="4" w:space="0" w:color="auto"/>
              <w:right w:val="single" w:sz="4" w:space="0" w:color="auto"/>
            </w:tcBorders>
            <w:shd w:val="clear" w:color="auto" w:fill="auto"/>
            <w:vAlign w:val="center"/>
            <w:hideMark/>
          </w:tcPr>
          <w:p w14:paraId="41E90767"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23CDE39F"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15.735.000.000</w:t>
            </w:r>
          </w:p>
        </w:tc>
        <w:tc>
          <w:tcPr>
            <w:tcW w:w="1452" w:type="dxa"/>
            <w:tcBorders>
              <w:top w:val="nil"/>
              <w:left w:val="nil"/>
              <w:bottom w:val="single" w:sz="4" w:space="0" w:color="auto"/>
              <w:right w:val="single" w:sz="4" w:space="0" w:color="auto"/>
            </w:tcBorders>
            <w:shd w:val="clear" w:color="auto" w:fill="auto"/>
            <w:noWrap/>
            <w:vAlign w:val="center"/>
            <w:hideMark/>
          </w:tcPr>
          <w:p w14:paraId="2CA1FF2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DC5BA4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05882A7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53D19D39" w14:textId="44DC5FEC" w:rsidR="006F12FE" w:rsidRPr="00EB0C51" w:rsidRDefault="00D1698A" w:rsidP="002058A0">
            <w:pPr>
              <w:jc w:val="both"/>
              <w:rPr>
                <w:rFonts w:cs="Arial"/>
                <w:color w:val="000000"/>
                <w:sz w:val="20"/>
                <w:szCs w:val="20"/>
                <w:lang w:eastAsia="es-CO"/>
              </w:rPr>
            </w:pPr>
            <w:r w:rsidRPr="00EB0C51">
              <w:rPr>
                <w:rFonts w:cs="Arial"/>
                <w:color w:val="000000"/>
                <w:sz w:val="20"/>
                <w:szCs w:val="20"/>
                <w:lang w:eastAsia="es-CO"/>
              </w:rPr>
              <w:t xml:space="preserve">Según lo reportado por el responsable, los </w:t>
            </w:r>
            <w:r w:rsidR="006F12FE" w:rsidRPr="00EB0C51">
              <w:rPr>
                <w:rFonts w:cs="Arial"/>
                <w:color w:val="000000"/>
                <w:sz w:val="20"/>
                <w:szCs w:val="20"/>
                <w:lang w:eastAsia="es-CO"/>
              </w:rPr>
              <w:t xml:space="preserve">recursos </w:t>
            </w:r>
            <w:r w:rsidRPr="00EB0C51">
              <w:rPr>
                <w:rFonts w:cs="Arial"/>
                <w:color w:val="000000"/>
                <w:sz w:val="20"/>
                <w:szCs w:val="20"/>
                <w:lang w:eastAsia="es-CO"/>
              </w:rPr>
              <w:t xml:space="preserve">se </w:t>
            </w:r>
            <w:r w:rsidR="006F12FE" w:rsidRPr="00EB0C51">
              <w:rPr>
                <w:rFonts w:cs="Arial"/>
                <w:color w:val="000000"/>
                <w:sz w:val="20"/>
                <w:szCs w:val="20"/>
                <w:lang w:eastAsia="es-CO"/>
              </w:rPr>
              <w:t xml:space="preserve">distribuirán </w:t>
            </w:r>
            <w:r w:rsidRPr="00EB0C51">
              <w:rPr>
                <w:rFonts w:cs="Arial"/>
                <w:color w:val="000000"/>
                <w:sz w:val="20"/>
                <w:szCs w:val="20"/>
                <w:lang w:eastAsia="es-CO"/>
              </w:rPr>
              <w:t>próximamente</w:t>
            </w:r>
            <w:r w:rsidR="006F12FE" w:rsidRPr="00EB0C51">
              <w:rPr>
                <w:rFonts w:cs="Arial"/>
                <w:color w:val="000000"/>
                <w:sz w:val="20"/>
                <w:szCs w:val="20"/>
                <w:lang w:eastAsia="es-CO"/>
              </w:rPr>
              <w:t xml:space="preserve"> a la Unidad Nacional de Protección</w:t>
            </w:r>
            <w:r w:rsidRPr="00EB0C51">
              <w:rPr>
                <w:rFonts w:cs="Arial"/>
                <w:color w:val="000000"/>
                <w:sz w:val="20"/>
                <w:szCs w:val="20"/>
                <w:lang w:eastAsia="es-CO"/>
              </w:rPr>
              <w:t xml:space="preserve">. </w:t>
            </w:r>
          </w:p>
        </w:tc>
      </w:tr>
      <w:tr w:rsidR="006F12FE" w:rsidRPr="00EB0C51" w14:paraId="2CD13359"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54A425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10</w:t>
            </w:r>
          </w:p>
        </w:tc>
        <w:tc>
          <w:tcPr>
            <w:tcW w:w="2588" w:type="dxa"/>
            <w:tcBorders>
              <w:top w:val="nil"/>
              <w:left w:val="nil"/>
              <w:bottom w:val="single" w:sz="4" w:space="0" w:color="auto"/>
              <w:right w:val="single" w:sz="4" w:space="0" w:color="auto"/>
            </w:tcBorders>
            <w:shd w:val="clear" w:color="auto" w:fill="auto"/>
            <w:vAlign w:val="center"/>
            <w:hideMark/>
          </w:tcPr>
          <w:p w14:paraId="1CE06E0F"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Fondo de Compensación Interministerial</w:t>
            </w:r>
          </w:p>
        </w:tc>
        <w:tc>
          <w:tcPr>
            <w:tcW w:w="2153" w:type="dxa"/>
            <w:tcBorders>
              <w:top w:val="nil"/>
              <w:left w:val="nil"/>
              <w:bottom w:val="single" w:sz="4" w:space="0" w:color="auto"/>
              <w:right w:val="single" w:sz="4" w:space="0" w:color="auto"/>
            </w:tcBorders>
            <w:shd w:val="clear" w:color="auto" w:fill="auto"/>
            <w:vAlign w:val="center"/>
            <w:hideMark/>
          </w:tcPr>
          <w:p w14:paraId="68EAF67C"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18FEE65D"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20.972.602.908</w:t>
            </w:r>
          </w:p>
        </w:tc>
        <w:tc>
          <w:tcPr>
            <w:tcW w:w="1452" w:type="dxa"/>
            <w:tcBorders>
              <w:top w:val="nil"/>
              <w:left w:val="nil"/>
              <w:bottom w:val="single" w:sz="4" w:space="0" w:color="auto"/>
              <w:right w:val="single" w:sz="4" w:space="0" w:color="auto"/>
            </w:tcBorders>
            <w:shd w:val="clear" w:color="auto" w:fill="auto"/>
            <w:noWrap/>
            <w:vAlign w:val="center"/>
            <w:hideMark/>
          </w:tcPr>
          <w:p w14:paraId="05D8462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508A4E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47AC18F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3046F27B" w14:textId="2E34F271" w:rsidR="006F12FE" w:rsidRPr="00EB0C51" w:rsidRDefault="00DC4B49" w:rsidP="002058A0">
            <w:pPr>
              <w:jc w:val="both"/>
              <w:rPr>
                <w:rFonts w:cs="Arial"/>
                <w:color w:val="000000"/>
                <w:sz w:val="20"/>
                <w:szCs w:val="20"/>
                <w:lang w:eastAsia="es-CO"/>
              </w:rPr>
            </w:pPr>
            <w:r w:rsidRPr="00EB0C51">
              <w:rPr>
                <w:rFonts w:cs="Arial"/>
                <w:color w:val="000000"/>
                <w:sz w:val="20"/>
                <w:szCs w:val="20"/>
                <w:lang w:eastAsia="es-CO"/>
              </w:rPr>
              <w:t xml:space="preserve">De acuerdo con lo descrito por el responsable, </w:t>
            </w:r>
            <w:r w:rsidR="006163AE" w:rsidRPr="00EB0C51">
              <w:rPr>
                <w:rFonts w:cs="Arial"/>
                <w:color w:val="000000"/>
                <w:sz w:val="20"/>
                <w:szCs w:val="20"/>
                <w:lang w:eastAsia="es-CO"/>
              </w:rPr>
              <w:t>los r</w:t>
            </w:r>
            <w:r w:rsidR="006F12FE" w:rsidRPr="00EB0C51">
              <w:rPr>
                <w:rFonts w:cs="Arial"/>
                <w:color w:val="000000"/>
                <w:sz w:val="20"/>
                <w:szCs w:val="20"/>
                <w:lang w:eastAsia="es-CO"/>
              </w:rPr>
              <w:t xml:space="preserve">ecursos </w:t>
            </w:r>
            <w:r w:rsidR="006163AE" w:rsidRPr="00EB0C51">
              <w:rPr>
                <w:rFonts w:cs="Arial"/>
                <w:color w:val="000000"/>
                <w:sz w:val="20"/>
                <w:szCs w:val="20"/>
                <w:lang w:eastAsia="es-CO"/>
              </w:rPr>
              <w:t xml:space="preserve">son </w:t>
            </w:r>
            <w:r w:rsidR="006F12FE" w:rsidRPr="00EB0C51">
              <w:rPr>
                <w:rFonts w:cs="Arial"/>
                <w:color w:val="000000"/>
                <w:sz w:val="20"/>
                <w:szCs w:val="20"/>
                <w:lang w:eastAsia="es-CO"/>
              </w:rPr>
              <w:t xml:space="preserve">destinados a atender faltantes en gastos de funcionamiento de las entidades que conforman el </w:t>
            </w:r>
            <w:r w:rsidR="006163AE" w:rsidRPr="00EB0C51">
              <w:rPr>
                <w:rFonts w:cs="Arial"/>
                <w:color w:val="000000"/>
                <w:sz w:val="20"/>
                <w:szCs w:val="20"/>
                <w:lang w:eastAsia="es-CO"/>
              </w:rPr>
              <w:t>Presupuesto General de la Nación P</w:t>
            </w:r>
            <w:r w:rsidR="006F12FE" w:rsidRPr="00EB0C51">
              <w:rPr>
                <w:rFonts w:cs="Arial"/>
                <w:color w:val="000000"/>
                <w:sz w:val="20"/>
                <w:szCs w:val="20"/>
                <w:lang w:eastAsia="es-CO"/>
              </w:rPr>
              <w:t>GN</w:t>
            </w:r>
            <w:r w:rsidR="006163AE" w:rsidRPr="00EB0C51">
              <w:rPr>
                <w:rFonts w:cs="Arial"/>
                <w:color w:val="000000"/>
                <w:sz w:val="20"/>
                <w:szCs w:val="20"/>
                <w:lang w:eastAsia="es-CO"/>
              </w:rPr>
              <w:t xml:space="preserve">, </w:t>
            </w:r>
            <w:r w:rsidR="006F12FE" w:rsidRPr="00EB0C51">
              <w:rPr>
                <w:rFonts w:cs="Arial"/>
                <w:color w:val="000000"/>
                <w:sz w:val="20"/>
                <w:szCs w:val="20"/>
                <w:lang w:eastAsia="es-CO"/>
              </w:rPr>
              <w:t>se</w:t>
            </w:r>
            <w:r w:rsidR="006163AE" w:rsidRPr="00EB0C51">
              <w:rPr>
                <w:rFonts w:cs="Arial"/>
                <w:color w:val="000000"/>
                <w:sz w:val="20"/>
                <w:szCs w:val="20"/>
                <w:lang w:eastAsia="es-CO"/>
              </w:rPr>
              <w:t xml:space="preserve"> hará</w:t>
            </w:r>
            <w:r w:rsidR="006F12FE" w:rsidRPr="00EB0C51">
              <w:rPr>
                <w:rFonts w:cs="Arial"/>
                <w:color w:val="000000"/>
                <w:sz w:val="20"/>
                <w:szCs w:val="20"/>
                <w:lang w:eastAsia="es-CO"/>
              </w:rPr>
              <w:t xml:space="preserve"> </w:t>
            </w:r>
            <w:r w:rsidR="00070AA0" w:rsidRPr="00EB0C51">
              <w:rPr>
                <w:rFonts w:cs="Arial"/>
                <w:color w:val="000000"/>
                <w:sz w:val="20"/>
                <w:szCs w:val="20"/>
                <w:lang w:eastAsia="es-CO"/>
              </w:rPr>
              <w:t xml:space="preserve">una </w:t>
            </w:r>
            <w:r w:rsidR="006F12FE" w:rsidRPr="00EB0C51">
              <w:rPr>
                <w:rFonts w:cs="Arial"/>
                <w:color w:val="000000"/>
                <w:sz w:val="20"/>
                <w:szCs w:val="20"/>
                <w:lang w:eastAsia="es-CO"/>
              </w:rPr>
              <w:t>distribu</w:t>
            </w:r>
            <w:r w:rsidR="00070AA0" w:rsidRPr="00EB0C51">
              <w:rPr>
                <w:rFonts w:cs="Arial"/>
                <w:color w:val="000000"/>
                <w:sz w:val="20"/>
                <w:szCs w:val="20"/>
                <w:lang w:eastAsia="es-CO"/>
              </w:rPr>
              <w:t xml:space="preserve">ción </w:t>
            </w:r>
            <w:r w:rsidR="006163AE" w:rsidRPr="00EB0C51">
              <w:rPr>
                <w:rFonts w:cs="Arial"/>
                <w:color w:val="000000"/>
                <w:sz w:val="20"/>
                <w:szCs w:val="20"/>
                <w:lang w:eastAsia="es-CO"/>
              </w:rPr>
              <w:t>próximamente</w:t>
            </w:r>
            <w:r w:rsidR="006F12FE" w:rsidRPr="00EB0C51">
              <w:rPr>
                <w:rFonts w:cs="Arial"/>
                <w:color w:val="000000"/>
                <w:sz w:val="20"/>
                <w:szCs w:val="20"/>
                <w:lang w:eastAsia="es-CO"/>
              </w:rPr>
              <w:t xml:space="preserve"> a la Unidad Nacional</w:t>
            </w:r>
            <w:r w:rsidR="006163AE" w:rsidRPr="00EB0C51">
              <w:rPr>
                <w:rFonts w:cs="Arial"/>
                <w:color w:val="000000"/>
                <w:sz w:val="20"/>
                <w:szCs w:val="20"/>
                <w:lang w:eastAsia="es-CO"/>
              </w:rPr>
              <w:t xml:space="preserve"> </w:t>
            </w:r>
            <w:r w:rsidR="006F12FE" w:rsidRPr="00EB0C51">
              <w:rPr>
                <w:rFonts w:cs="Arial"/>
                <w:color w:val="000000"/>
                <w:sz w:val="20"/>
                <w:szCs w:val="20"/>
                <w:lang w:eastAsia="es-CO"/>
              </w:rPr>
              <w:t>de Gestión de Riesgos de Desastres</w:t>
            </w:r>
            <w:r w:rsidR="00DB7CFD" w:rsidRPr="00EB0C51">
              <w:rPr>
                <w:rFonts w:cs="Arial"/>
                <w:color w:val="000000"/>
                <w:sz w:val="20"/>
                <w:szCs w:val="20"/>
                <w:lang w:eastAsia="es-CO"/>
              </w:rPr>
              <w:t xml:space="preserve"> UNGRD</w:t>
            </w:r>
            <w:r w:rsidR="006F12FE" w:rsidRPr="00EB0C51">
              <w:rPr>
                <w:rFonts w:cs="Arial"/>
                <w:color w:val="000000"/>
                <w:sz w:val="20"/>
                <w:szCs w:val="20"/>
                <w:lang w:eastAsia="es-CO"/>
              </w:rPr>
              <w:t>, previa aprobación del Consejo de Ministros.</w:t>
            </w:r>
          </w:p>
        </w:tc>
      </w:tr>
      <w:tr w:rsidR="006F12FE" w:rsidRPr="00EB0C51" w14:paraId="36F75956" w14:textId="77777777" w:rsidTr="001F72EB">
        <w:trPr>
          <w:trHeight w:val="14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0ABAEED"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11</w:t>
            </w:r>
          </w:p>
        </w:tc>
        <w:tc>
          <w:tcPr>
            <w:tcW w:w="2588" w:type="dxa"/>
            <w:tcBorders>
              <w:top w:val="nil"/>
              <w:left w:val="nil"/>
              <w:bottom w:val="single" w:sz="4" w:space="0" w:color="auto"/>
              <w:right w:val="single" w:sz="4" w:space="0" w:color="auto"/>
            </w:tcBorders>
            <w:shd w:val="clear" w:color="auto" w:fill="auto"/>
            <w:vAlign w:val="center"/>
            <w:hideMark/>
          </w:tcPr>
          <w:p w14:paraId="0562B2E3"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Gastos Inherentes a la Intervención Administrativa parágrafo  3,  ART. 10, decreto 4334 de 2008, art. 1   decreto 1761 de 2009</w:t>
            </w:r>
          </w:p>
        </w:tc>
        <w:tc>
          <w:tcPr>
            <w:tcW w:w="2153" w:type="dxa"/>
            <w:tcBorders>
              <w:top w:val="nil"/>
              <w:left w:val="nil"/>
              <w:bottom w:val="single" w:sz="4" w:space="0" w:color="auto"/>
              <w:right w:val="single" w:sz="4" w:space="0" w:color="auto"/>
            </w:tcBorders>
            <w:shd w:val="clear" w:color="auto" w:fill="auto"/>
            <w:vAlign w:val="center"/>
            <w:hideMark/>
          </w:tcPr>
          <w:p w14:paraId="36755A73"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4F1BB928"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438.262.488</w:t>
            </w:r>
          </w:p>
        </w:tc>
        <w:tc>
          <w:tcPr>
            <w:tcW w:w="1452" w:type="dxa"/>
            <w:tcBorders>
              <w:top w:val="nil"/>
              <w:left w:val="nil"/>
              <w:bottom w:val="single" w:sz="4" w:space="0" w:color="auto"/>
              <w:right w:val="single" w:sz="4" w:space="0" w:color="auto"/>
            </w:tcBorders>
            <w:shd w:val="clear" w:color="auto" w:fill="auto"/>
            <w:noWrap/>
            <w:vAlign w:val="center"/>
            <w:hideMark/>
          </w:tcPr>
          <w:p w14:paraId="759B030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6D0190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085D1A8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76D07A79" w14:textId="34C5FAED" w:rsidR="006F12FE" w:rsidRPr="00EB0C51" w:rsidRDefault="00BD2E2E" w:rsidP="002058A0">
            <w:pPr>
              <w:jc w:val="both"/>
              <w:rPr>
                <w:rFonts w:cs="Arial"/>
                <w:color w:val="000000"/>
                <w:sz w:val="20"/>
                <w:szCs w:val="20"/>
                <w:lang w:eastAsia="es-CO"/>
              </w:rPr>
            </w:pPr>
            <w:r w:rsidRPr="00EB0C51">
              <w:rPr>
                <w:rFonts w:cs="Arial"/>
                <w:color w:val="000000"/>
                <w:sz w:val="20"/>
                <w:szCs w:val="20"/>
                <w:lang w:eastAsia="es-CO"/>
              </w:rPr>
              <w:t xml:space="preserve">Conforme </w:t>
            </w:r>
            <w:r w:rsidR="006B3699" w:rsidRPr="00EB0C51">
              <w:rPr>
                <w:rFonts w:cs="Arial"/>
                <w:color w:val="000000"/>
                <w:sz w:val="20"/>
                <w:szCs w:val="20"/>
                <w:lang w:eastAsia="es-CO"/>
              </w:rPr>
              <w:t xml:space="preserve">con lo </w:t>
            </w:r>
            <w:r w:rsidRPr="00EB0C51">
              <w:rPr>
                <w:rFonts w:cs="Arial"/>
                <w:color w:val="000000"/>
                <w:sz w:val="20"/>
                <w:szCs w:val="20"/>
                <w:lang w:eastAsia="es-CO"/>
              </w:rPr>
              <w:t>expuesto por el responsable, la p</w:t>
            </w:r>
            <w:r w:rsidR="006F12FE" w:rsidRPr="00EB0C51">
              <w:rPr>
                <w:rFonts w:cs="Arial"/>
                <w:color w:val="000000"/>
                <w:sz w:val="20"/>
                <w:szCs w:val="20"/>
                <w:lang w:eastAsia="es-CO"/>
              </w:rPr>
              <w:t>rovisión</w:t>
            </w:r>
            <w:r w:rsidR="006B3699" w:rsidRPr="00EB0C51">
              <w:rPr>
                <w:rFonts w:cs="Arial"/>
                <w:color w:val="000000"/>
                <w:sz w:val="20"/>
                <w:szCs w:val="20"/>
                <w:lang w:eastAsia="es-CO"/>
              </w:rPr>
              <w:t xml:space="preserve"> se utiliza </w:t>
            </w:r>
            <w:r w:rsidR="006F12FE" w:rsidRPr="00EB0C51">
              <w:rPr>
                <w:rFonts w:cs="Arial"/>
                <w:color w:val="000000"/>
                <w:sz w:val="20"/>
                <w:szCs w:val="20"/>
                <w:lang w:eastAsia="es-CO"/>
              </w:rPr>
              <w:t>para atender los gastos necesarios para la intervención administrativa que hace la Super</w:t>
            </w:r>
            <w:r w:rsidR="00067B4C" w:rsidRPr="00EB0C51">
              <w:rPr>
                <w:rFonts w:cs="Arial"/>
                <w:color w:val="000000"/>
                <w:sz w:val="20"/>
                <w:szCs w:val="20"/>
                <w:lang w:eastAsia="es-CO"/>
              </w:rPr>
              <w:t xml:space="preserve">intendencia de </w:t>
            </w:r>
            <w:r w:rsidR="006F12FE" w:rsidRPr="00EB0C51">
              <w:rPr>
                <w:rFonts w:cs="Arial"/>
                <w:color w:val="000000"/>
                <w:sz w:val="20"/>
                <w:szCs w:val="20"/>
                <w:lang w:eastAsia="es-CO"/>
              </w:rPr>
              <w:t>Sociedades</w:t>
            </w:r>
            <w:r w:rsidR="00067B4C" w:rsidRPr="00EB0C51">
              <w:rPr>
                <w:rFonts w:cs="Arial"/>
                <w:color w:val="000000"/>
                <w:sz w:val="20"/>
                <w:szCs w:val="20"/>
                <w:lang w:eastAsia="es-CO"/>
              </w:rPr>
              <w:t xml:space="preserve"> una vez esta los solicite. </w:t>
            </w:r>
          </w:p>
        </w:tc>
      </w:tr>
      <w:tr w:rsidR="006F12FE" w:rsidRPr="00EB0C51" w14:paraId="6AD09B33" w14:textId="77777777" w:rsidTr="001F72EB">
        <w:trPr>
          <w:trHeight w:val="14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A2B08F1"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12</w:t>
            </w:r>
          </w:p>
        </w:tc>
        <w:tc>
          <w:tcPr>
            <w:tcW w:w="2588" w:type="dxa"/>
            <w:tcBorders>
              <w:top w:val="nil"/>
              <w:left w:val="nil"/>
              <w:bottom w:val="single" w:sz="4" w:space="0" w:color="auto"/>
              <w:right w:val="single" w:sz="4" w:space="0" w:color="auto"/>
            </w:tcBorders>
            <w:shd w:val="clear" w:color="auto" w:fill="auto"/>
            <w:vAlign w:val="center"/>
            <w:hideMark/>
          </w:tcPr>
          <w:p w14:paraId="7002D113"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Fondo para la Rehabilitación, Inversión Social y Lucha Contra el Crimen Organizado</w:t>
            </w:r>
          </w:p>
        </w:tc>
        <w:tc>
          <w:tcPr>
            <w:tcW w:w="2153" w:type="dxa"/>
            <w:tcBorders>
              <w:top w:val="nil"/>
              <w:left w:val="nil"/>
              <w:bottom w:val="single" w:sz="4" w:space="0" w:color="auto"/>
              <w:right w:val="single" w:sz="4" w:space="0" w:color="auto"/>
            </w:tcBorders>
            <w:shd w:val="clear" w:color="auto" w:fill="auto"/>
            <w:vAlign w:val="center"/>
            <w:hideMark/>
          </w:tcPr>
          <w:p w14:paraId="371BC9B4"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4015C559"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27.309.878.713 </w:t>
            </w:r>
          </w:p>
        </w:tc>
        <w:tc>
          <w:tcPr>
            <w:tcW w:w="1452" w:type="dxa"/>
            <w:tcBorders>
              <w:top w:val="nil"/>
              <w:left w:val="nil"/>
              <w:bottom w:val="single" w:sz="4" w:space="0" w:color="auto"/>
              <w:right w:val="single" w:sz="4" w:space="0" w:color="auto"/>
            </w:tcBorders>
            <w:shd w:val="clear" w:color="auto" w:fill="auto"/>
            <w:noWrap/>
            <w:vAlign w:val="center"/>
            <w:hideMark/>
          </w:tcPr>
          <w:p w14:paraId="1E40C1B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3553A5C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650A99A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62B592E1" w14:textId="08F23B2B" w:rsidR="006F12FE" w:rsidRPr="00EB0C51" w:rsidRDefault="008F3019" w:rsidP="002058A0">
            <w:pPr>
              <w:jc w:val="both"/>
              <w:rPr>
                <w:rFonts w:cs="Arial"/>
                <w:color w:val="000000"/>
                <w:sz w:val="20"/>
                <w:szCs w:val="20"/>
                <w:lang w:eastAsia="es-CO"/>
              </w:rPr>
            </w:pPr>
            <w:r w:rsidRPr="00EB0C51">
              <w:rPr>
                <w:rFonts w:cs="Arial"/>
                <w:color w:val="000000"/>
                <w:sz w:val="20"/>
                <w:szCs w:val="20"/>
                <w:lang w:eastAsia="es-CO"/>
              </w:rPr>
              <w:t>De acuerdo con lo reportado por el responsable, e</w:t>
            </w:r>
            <w:r w:rsidR="006F12FE" w:rsidRPr="00EB0C51">
              <w:rPr>
                <w:rFonts w:cs="Arial"/>
                <w:color w:val="000000"/>
                <w:sz w:val="20"/>
                <w:szCs w:val="20"/>
                <w:lang w:eastAsia="es-CO"/>
              </w:rPr>
              <w:t>sta provisión será trasladada a otros faltantes de apropiación para atender gastos de las entidades del PGN.</w:t>
            </w:r>
          </w:p>
        </w:tc>
      </w:tr>
      <w:tr w:rsidR="006F12FE" w:rsidRPr="00EB0C51" w14:paraId="15B7016C" w14:textId="77777777" w:rsidTr="001F72EB">
        <w:trPr>
          <w:trHeight w:val="102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FDEEF1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13</w:t>
            </w:r>
          </w:p>
        </w:tc>
        <w:tc>
          <w:tcPr>
            <w:tcW w:w="2588" w:type="dxa"/>
            <w:tcBorders>
              <w:top w:val="nil"/>
              <w:left w:val="nil"/>
              <w:bottom w:val="single" w:sz="4" w:space="0" w:color="auto"/>
              <w:right w:val="single" w:sz="4" w:space="0" w:color="auto"/>
            </w:tcBorders>
            <w:shd w:val="clear" w:color="auto" w:fill="auto"/>
            <w:vAlign w:val="center"/>
            <w:hideMark/>
          </w:tcPr>
          <w:p w14:paraId="0686E6B4"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Atención de Procesos Judiciales y Reclamaciones Administrativas del Extinto DAS o su Fondo Rotatorio. ART. 238 ley 1753 de 2015 - PND</w:t>
            </w:r>
          </w:p>
        </w:tc>
        <w:tc>
          <w:tcPr>
            <w:tcW w:w="2153" w:type="dxa"/>
            <w:tcBorders>
              <w:top w:val="nil"/>
              <w:left w:val="nil"/>
              <w:bottom w:val="single" w:sz="4" w:space="0" w:color="auto"/>
              <w:right w:val="single" w:sz="4" w:space="0" w:color="auto"/>
            </w:tcBorders>
            <w:shd w:val="clear" w:color="auto" w:fill="auto"/>
            <w:vAlign w:val="center"/>
            <w:hideMark/>
          </w:tcPr>
          <w:p w14:paraId="004D345A"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Jurídica</w:t>
            </w:r>
          </w:p>
        </w:tc>
        <w:tc>
          <w:tcPr>
            <w:tcW w:w="1847" w:type="dxa"/>
            <w:tcBorders>
              <w:top w:val="nil"/>
              <w:left w:val="nil"/>
              <w:bottom w:val="single" w:sz="4" w:space="0" w:color="auto"/>
              <w:right w:val="single" w:sz="4" w:space="0" w:color="auto"/>
            </w:tcBorders>
            <w:shd w:val="clear" w:color="auto" w:fill="auto"/>
            <w:noWrap/>
            <w:vAlign w:val="center"/>
            <w:hideMark/>
          </w:tcPr>
          <w:p w14:paraId="2CDE1393"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3.000.000.000</w:t>
            </w:r>
          </w:p>
        </w:tc>
        <w:tc>
          <w:tcPr>
            <w:tcW w:w="1452" w:type="dxa"/>
            <w:tcBorders>
              <w:top w:val="nil"/>
              <w:left w:val="nil"/>
              <w:bottom w:val="single" w:sz="4" w:space="0" w:color="auto"/>
              <w:right w:val="single" w:sz="4" w:space="0" w:color="auto"/>
            </w:tcBorders>
            <w:shd w:val="clear" w:color="auto" w:fill="auto"/>
            <w:noWrap/>
            <w:vAlign w:val="center"/>
            <w:hideMark/>
          </w:tcPr>
          <w:p w14:paraId="5EA1AEB1"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7BB79EA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4E4F660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57092AAD" w14:textId="383BEEC5" w:rsidR="006F12FE" w:rsidRPr="00EB0C51" w:rsidRDefault="00F81F7B" w:rsidP="002058A0">
            <w:pPr>
              <w:jc w:val="both"/>
              <w:rPr>
                <w:rFonts w:cs="Arial"/>
                <w:color w:val="000000"/>
                <w:sz w:val="20"/>
                <w:szCs w:val="20"/>
                <w:lang w:eastAsia="es-CO"/>
              </w:rPr>
            </w:pPr>
            <w:r w:rsidRPr="00EB0C51">
              <w:rPr>
                <w:rFonts w:cs="Arial"/>
                <w:color w:val="000000"/>
                <w:sz w:val="20"/>
                <w:szCs w:val="20"/>
                <w:lang w:eastAsia="es-CO"/>
              </w:rPr>
              <w:t>Según lo comentado por el responsable, s</w:t>
            </w:r>
            <w:r w:rsidR="006F12FE" w:rsidRPr="00EB0C51">
              <w:rPr>
                <w:rFonts w:cs="Arial"/>
                <w:color w:val="000000"/>
                <w:sz w:val="20"/>
                <w:szCs w:val="20"/>
                <w:lang w:eastAsia="es-CO"/>
              </w:rPr>
              <w:t>e estima adicionar el contrato 6.001-2016 hasta por el 100% de la apropiación inicial. El contrato vence el 30/09/2021</w:t>
            </w:r>
            <w:r w:rsidR="00A4502B" w:rsidRPr="00EB0C51">
              <w:rPr>
                <w:rFonts w:cs="Arial"/>
                <w:color w:val="000000"/>
                <w:sz w:val="20"/>
                <w:szCs w:val="20"/>
                <w:lang w:eastAsia="es-CO"/>
              </w:rPr>
              <w:t xml:space="preserve">. </w:t>
            </w:r>
            <w:r w:rsidR="006F12FE" w:rsidRPr="00EB0C51">
              <w:rPr>
                <w:rFonts w:cs="Arial"/>
                <w:color w:val="000000"/>
                <w:sz w:val="20"/>
                <w:szCs w:val="20"/>
                <w:lang w:eastAsia="es-CO"/>
              </w:rPr>
              <w:t xml:space="preserve">En la actualidad </w:t>
            </w:r>
            <w:r w:rsidR="00B01BF3" w:rsidRPr="00EB0C51">
              <w:rPr>
                <w:rFonts w:cs="Arial"/>
                <w:color w:val="000000"/>
                <w:sz w:val="20"/>
                <w:szCs w:val="20"/>
                <w:lang w:eastAsia="es-CO"/>
              </w:rPr>
              <w:t>se están</w:t>
            </w:r>
            <w:r w:rsidR="006F12FE" w:rsidRPr="00EB0C51">
              <w:rPr>
                <w:rFonts w:cs="Arial"/>
                <w:color w:val="000000"/>
                <w:sz w:val="20"/>
                <w:szCs w:val="20"/>
                <w:lang w:eastAsia="es-CO"/>
              </w:rPr>
              <w:t xml:space="preserve"> efectuando los tramites de </w:t>
            </w:r>
            <w:r w:rsidR="00B01BF3" w:rsidRPr="00EB0C51">
              <w:rPr>
                <w:rFonts w:cs="Arial"/>
                <w:color w:val="000000"/>
                <w:sz w:val="20"/>
                <w:szCs w:val="20"/>
                <w:lang w:eastAsia="es-CO"/>
              </w:rPr>
              <w:t>asesoría</w:t>
            </w:r>
            <w:r w:rsidR="006F12FE" w:rsidRPr="00EB0C51">
              <w:rPr>
                <w:rFonts w:cs="Arial"/>
                <w:color w:val="000000"/>
                <w:sz w:val="20"/>
                <w:szCs w:val="20"/>
                <w:lang w:eastAsia="es-CO"/>
              </w:rPr>
              <w:t xml:space="preserve"> contractual para </w:t>
            </w:r>
            <w:r w:rsidR="00B01BF3" w:rsidRPr="00EB0C51">
              <w:rPr>
                <w:rFonts w:cs="Arial"/>
                <w:color w:val="000000"/>
                <w:sz w:val="20"/>
                <w:szCs w:val="20"/>
                <w:lang w:eastAsia="es-CO"/>
              </w:rPr>
              <w:t>llevar a cabo</w:t>
            </w:r>
            <w:r w:rsidR="00A4502B" w:rsidRPr="00EB0C51">
              <w:rPr>
                <w:rFonts w:cs="Arial"/>
                <w:color w:val="000000"/>
                <w:sz w:val="20"/>
                <w:szCs w:val="20"/>
                <w:lang w:eastAsia="es-CO"/>
              </w:rPr>
              <w:t xml:space="preserve"> </w:t>
            </w:r>
            <w:r w:rsidR="006F12FE" w:rsidRPr="00EB0C51">
              <w:rPr>
                <w:rFonts w:cs="Arial"/>
                <w:color w:val="000000"/>
                <w:sz w:val="20"/>
                <w:szCs w:val="20"/>
                <w:lang w:eastAsia="es-CO"/>
              </w:rPr>
              <w:t xml:space="preserve">la adición. </w:t>
            </w:r>
          </w:p>
        </w:tc>
      </w:tr>
      <w:tr w:rsidR="006F12FE" w:rsidRPr="00EB0C51" w14:paraId="72ED987F"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8BE462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14</w:t>
            </w:r>
          </w:p>
        </w:tc>
        <w:tc>
          <w:tcPr>
            <w:tcW w:w="2588" w:type="dxa"/>
            <w:tcBorders>
              <w:top w:val="nil"/>
              <w:left w:val="nil"/>
              <w:bottom w:val="single" w:sz="4" w:space="0" w:color="auto"/>
              <w:right w:val="single" w:sz="4" w:space="0" w:color="auto"/>
            </w:tcBorders>
            <w:shd w:val="clear" w:color="auto" w:fill="auto"/>
            <w:vAlign w:val="center"/>
            <w:hideMark/>
          </w:tcPr>
          <w:p w14:paraId="26962FAB"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Pagos Beneficiarios Fundación San Juan de Dios Derivados del Fallo SU-484 2008 Corte Constitucional</w:t>
            </w:r>
          </w:p>
        </w:tc>
        <w:tc>
          <w:tcPr>
            <w:tcW w:w="2153" w:type="dxa"/>
            <w:tcBorders>
              <w:top w:val="nil"/>
              <w:left w:val="nil"/>
              <w:bottom w:val="single" w:sz="4" w:space="0" w:color="auto"/>
              <w:right w:val="single" w:sz="4" w:space="0" w:color="auto"/>
            </w:tcBorders>
            <w:shd w:val="clear" w:color="auto" w:fill="auto"/>
            <w:vAlign w:val="center"/>
            <w:hideMark/>
          </w:tcPr>
          <w:p w14:paraId="6AAF835E"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Jurídica</w:t>
            </w:r>
          </w:p>
        </w:tc>
        <w:tc>
          <w:tcPr>
            <w:tcW w:w="1847" w:type="dxa"/>
            <w:tcBorders>
              <w:top w:val="nil"/>
              <w:left w:val="nil"/>
              <w:bottom w:val="single" w:sz="4" w:space="0" w:color="auto"/>
              <w:right w:val="single" w:sz="4" w:space="0" w:color="auto"/>
            </w:tcBorders>
            <w:shd w:val="clear" w:color="auto" w:fill="auto"/>
            <w:noWrap/>
            <w:vAlign w:val="center"/>
            <w:hideMark/>
          </w:tcPr>
          <w:p w14:paraId="6A4F9B97"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2.884.375.685 </w:t>
            </w:r>
          </w:p>
        </w:tc>
        <w:tc>
          <w:tcPr>
            <w:tcW w:w="1452" w:type="dxa"/>
            <w:tcBorders>
              <w:top w:val="nil"/>
              <w:left w:val="nil"/>
              <w:bottom w:val="single" w:sz="4" w:space="0" w:color="auto"/>
              <w:right w:val="single" w:sz="4" w:space="0" w:color="auto"/>
            </w:tcBorders>
            <w:shd w:val="clear" w:color="auto" w:fill="auto"/>
            <w:noWrap/>
            <w:vAlign w:val="center"/>
            <w:hideMark/>
          </w:tcPr>
          <w:p w14:paraId="0B10E60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tc>
        <w:tc>
          <w:tcPr>
            <w:tcW w:w="1086" w:type="dxa"/>
            <w:tcBorders>
              <w:top w:val="nil"/>
              <w:left w:val="nil"/>
              <w:bottom w:val="single" w:sz="4" w:space="0" w:color="auto"/>
              <w:right w:val="single" w:sz="4" w:space="0" w:color="auto"/>
            </w:tcBorders>
            <w:shd w:val="clear" w:color="auto" w:fill="auto"/>
            <w:noWrap/>
            <w:vAlign w:val="center"/>
            <w:hideMark/>
          </w:tcPr>
          <w:p w14:paraId="2255127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tc>
        <w:tc>
          <w:tcPr>
            <w:tcW w:w="608" w:type="dxa"/>
            <w:tcBorders>
              <w:top w:val="nil"/>
              <w:left w:val="nil"/>
              <w:bottom w:val="single" w:sz="4" w:space="0" w:color="auto"/>
              <w:right w:val="single" w:sz="4" w:space="0" w:color="auto"/>
            </w:tcBorders>
            <w:shd w:val="clear" w:color="auto" w:fill="auto"/>
            <w:noWrap/>
            <w:vAlign w:val="center"/>
            <w:hideMark/>
          </w:tcPr>
          <w:p w14:paraId="34B1AE4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tc>
        <w:tc>
          <w:tcPr>
            <w:tcW w:w="5328" w:type="dxa"/>
            <w:tcBorders>
              <w:top w:val="nil"/>
              <w:left w:val="nil"/>
              <w:bottom w:val="single" w:sz="4" w:space="0" w:color="auto"/>
              <w:right w:val="single" w:sz="4" w:space="0" w:color="auto"/>
            </w:tcBorders>
            <w:shd w:val="clear" w:color="auto" w:fill="auto"/>
            <w:vAlign w:val="center"/>
            <w:hideMark/>
          </w:tcPr>
          <w:p w14:paraId="1F78A8BA" w14:textId="73102EA0" w:rsidR="006F12FE" w:rsidRPr="00EB0C51" w:rsidRDefault="004E3FF2" w:rsidP="002058A0">
            <w:pPr>
              <w:jc w:val="both"/>
              <w:rPr>
                <w:rFonts w:cs="Arial"/>
                <w:color w:val="000000"/>
                <w:sz w:val="20"/>
                <w:szCs w:val="20"/>
                <w:lang w:eastAsia="es-CO"/>
              </w:rPr>
            </w:pPr>
            <w:r w:rsidRPr="00EB0C51">
              <w:rPr>
                <w:rFonts w:cs="Arial"/>
                <w:color w:val="000000"/>
                <w:sz w:val="20"/>
                <w:szCs w:val="20"/>
                <w:lang w:eastAsia="es-CO"/>
              </w:rPr>
              <w:t>Conforme lo manifestado por el responsable, d</w:t>
            </w:r>
            <w:r w:rsidR="006F12FE" w:rsidRPr="00EB0C51">
              <w:rPr>
                <w:rFonts w:cs="Arial"/>
                <w:color w:val="000000"/>
                <w:sz w:val="20"/>
                <w:szCs w:val="20"/>
                <w:lang w:eastAsia="es-CO"/>
              </w:rPr>
              <w:t>ado que la ejecución de este rubro</w:t>
            </w:r>
            <w:r w:rsidRPr="00EB0C51">
              <w:rPr>
                <w:rFonts w:cs="Arial"/>
                <w:color w:val="000000"/>
                <w:sz w:val="20"/>
                <w:szCs w:val="20"/>
                <w:lang w:eastAsia="es-CO"/>
              </w:rPr>
              <w:t xml:space="preserve"> </w:t>
            </w:r>
            <w:r w:rsidR="006F12FE" w:rsidRPr="00EB0C51">
              <w:rPr>
                <w:rFonts w:cs="Arial"/>
                <w:color w:val="000000"/>
                <w:sz w:val="20"/>
                <w:szCs w:val="20"/>
                <w:lang w:eastAsia="es-CO"/>
              </w:rPr>
              <w:t>est</w:t>
            </w:r>
            <w:r w:rsidRPr="00EB0C51">
              <w:rPr>
                <w:rFonts w:cs="Arial"/>
                <w:color w:val="000000"/>
                <w:sz w:val="20"/>
                <w:szCs w:val="20"/>
                <w:lang w:eastAsia="es-CO"/>
              </w:rPr>
              <w:t>á</w:t>
            </w:r>
            <w:r w:rsidR="006F12FE" w:rsidRPr="00EB0C51">
              <w:rPr>
                <w:rFonts w:cs="Arial"/>
                <w:color w:val="000000"/>
                <w:sz w:val="20"/>
                <w:szCs w:val="20"/>
                <w:lang w:eastAsia="es-CO"/>
              </w:rPr>
              <w:t xml:space="preserve"> sujet</w:t>
            </w:r>
            <w:r w:rsidRPr="00EB0C51">
              <w:rPr>
                <w:rFonts w:cs="Arial"/>
                <w:color w:val="000000"/>
                <w:sz w:val="20"/>
                <w:szCs w:val="20"/>
                <w:lang w:eastAsia="es-CO"/>
              </w:rPr>
              <w:t>a</w:t>
            </w:r>
            <w:r w:rsidR="006F12FE" w:rsidRPr="00EB0C51">
              <w:rPr>
                <w:rFonts w:cs="Arial"/>
                <w:color w:val="000000"/>
                <w:sz w:val="20"/>
                <w:szCs w:val="20"/>
                <w:lang w:eastAsia="es-CO"/>
              </w:rPr>
              <w:t xml:space="preserve"> a</w:t>
            </w:r>
            <w:r w:rsidRPr="00EB0C51">
              <w:rPr>
                <w:rFonts w:cs="Arial"/>
                <w:color w:val="000000"/>
                <w:sz w:val="20"/>
                <w:szCs w:val="20"/>
                <w:lang w:eastAsia="es-CO"/>
              </w:rPr>
              <w:t xml:space="preserve"> </w:t>
            </w:r>
            <w:r w:rsidR="006F12FE" w:rsidRPr="00EB0C51">
              <w:rPr>
                <w:rFonts w:cs="Arial"/>
                <w:color w:val="000000"/>
                <w:sz w:val="20"/>
                <w:szCs w:val="20"/>
                <w:lang w:eastAsia="es-CO"/>
              </w:rPr>
              <w:t xml:space="preserve">decisiones de terceros, como son: </w:t>
            </w:r>
            <w:r w:rsidRPr="00EB0C51">
              <w:rPr>
                <w:rFonts w:cs="Arial"/>
                <w:color w:val="000000"/>
                <w:sz w:val="20"/>
                <w:szCs w:val="20"/>
                <w:lang w:eastAsia="es-CO"/>
              </w:rPr>
              <w:t>E</w:t>
            </w:r>
            <w:r w:rsidR="006F12FE" w:rsidRPr="00EB0C51">
              <w:rPr>
                <w:rFonts w:cs="Arial"/>
                <w:color w:val="000000"/>
                <w:sz w:val="20"/>
                <w:szCs w:val="20"/>
                <w:lang w:eastAsia="es-CO"/>
              </w:rPr>
              <w:t xml:space="preserve">l operador judicial, el </w:t>
            </w:r>
            <w:r w:rsidRPr="00EB0C51">
              <w:rPr>
                <w:rFonts w:cs="Arial"/>
                <w:color w:val="000000"/>
                <w:sz w:val="20"/>
                <w:szCs w:val="20"/>
                <w:lang w:eastAsia="es-CO"/>
              </w:rPr>
              <w:t>M</w:t>
            </w:r>
            <w:r w:rsidR="006F12FE" w:rsidRPr="00EB0C51">
              <w:rPr>
                <w:rFonts w:cs="Arial"/>
                <w:color w:val="000000"/>
                <w:sz w:val="20"/>
                <w:szCs w:val="20"/>
                <w:lang w:eastAsia="es-CO"/>
              </w:rPr>
              <w:t xml:space="preserve">andatario de la </w:t>
            </w:r>
            <w:r w:rsidRPr="00EB0C51">
              <w:rPr>
                <w:rFonts w:cs="Arial"/>
                <w:color w:val="000000"/>
                <w:sz w:val="20"/>
                <w:szCs w:val="20"/>
                <w:lang w:eastAsia="es-CO"/>
              </w:rPr>
              <w:t>Fundación</w:t>
            </w:r>
            <w:r w:rsidR="006F12FE" w:rsidRPr="00EB0C51">
              <w:rPr>
                <w:rFonts w:cs="Arial"/>
                <w:color w:val="000000"/>
                <w:sz w:val="20"/>
                <w:szCs w:val="20"/>
                <w:lang w:eastAsia="es-CO"/>
              </w:rPr>
              <w:t xml:space="preserve"> San Juan de Dios y La Unidad de Pensiones de la </w:t>
            </w:r>
            <w:r w:rsidRPr="00EB0C51">
              <w:rPr>
                <w:rFonts w:cs="Arial"/>
                <w:color w:val="000000"/>
                <w:sz w:val="20"/>
                <w:szCs w:val="20"/>
                <w:lang w:eastAsia="es-CO"/>
              </w:rPr>
              <w:t>Beneficencia</w:t>
            </w:r>
            <w:r w:rsidR="006F12FE" w:rsidRPr="00EB0C51">
              <w:rPr>
                <w:rFonts w:cs="Arial"/>
                <w:color w:val="000000"/>
                <w:sz w:val="20"/>
                <w:szCs w:val="20"/>
                <w:lang w:eastAsia="es-CO"/>
              </w:rPr>
              <w:t xml:space="preserve"> de Cundinamarca, no es posible determinar valor, ni fecha exacta para ejecutar la totalidad de los recursos asignados. El valor que </w:t>
            </w:r>
            <w:r w:rsidRPr="00EB0C51">
              <w:rPr>
                <w:rFonts w:cs="Arial"/>
                <w:color w:val="000000"/>
                <w:sz w:val="20"/>
                <w:szCs w:val="20"/>
                <w:lang w:eastAsia="es-CO"/>
              </w:rPr>
              <w:t>se tiene</w:t>
            </w:r>
            <w:r w:rsidR="006F12FE" w:rsidRPr="00EB0C51">
              <w:rPr>
                <w:rFonts w:cs="Arial"/>
                <w:color w:val="000000"/>
                <w:sz w:val="20"/>
                <w:szCs w:val="20"/>
                <w:lang w:eastAsia="es-CO"/>
              </w:rPr>
              <w:t xml:space="preserve"> registrado en ejecución asciende a la suma de $203.000.999</w:t>
            </w:r>
            <w:r w:rsidR="00BF5BD9" w:rsidRPr="00EB0C51">
              <w:rPr>
                <w:rFonts w:cs="Arial"/>
                <w:color w:val="000000"/>
                <w:sz w:val="20"/>
                <w:szCs w:val="20"/>
                <w:lang w:eastAsia="es-CO"/>
              </w:rPr>
              <w:t xml:space="preserve">. </w:t>
            </w:r>
          </w:p>
        </w:tc>
      </w:tr>
      <w:tr w:rsidR="006F12FE" w:rsidRPr="00EB0C51" w14:paraId="3B85015F" w14:textId="77777777" w:rsidTr="001F72EB">
        <w:trPr>
          <w:trHeight w:val="51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000316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15</w:t>
            </w:r>
          </w:p>
        </w:tc>
        <w:tc>
          <w:tcPr>
            <w:tcW w:w="2588" w:type="dxa"/>
            <w:tcBorders>
              <w:top w:val="nil"/>
              <w:left w:val="nil"/>
              <w:bottom w:val="single" w:sz="4" w:space="0" w:color="auto"/>
              <w:right w:val="single" w:sz="4" w:space="0" w:color="auto"/>
            </w:tcBorders>
            <w:shd w:val="clear" w:color="auto" w:fill="auto"/>
            <w:vAlign w:val="center"/>
            <w:hideMark/>
          </w:tcPr>
          <w:p w14:paraId="42751503"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Otras Transferencias - Distribución Previo Concepto DGPPN</w:t>
            </w:r>
          </w:p>
        </w:tc>
        <w:tc>
          <w:tcPr>
            <w:tcW w:w="2153" w:type="dxa"/>
            <w:tcBorders>
              <w:top w:val="nil"/>
              <w:left w:val="nil"/>
              <w:bottom w:val="single" w:sz="4" w:space="0" w:color="auto"/>
              <w:right w:val="single" w:sz="4" w:space="0" w:color="auto"/>
            </w:tcBorders>
            <w:shd w:val="clear" w:color="auto" w:fill="auto"/>
            <w:vAlign w:val="center"/>
            <w:hideMark/>
          </w:tcPr>
          <w:p w14:paraId="20B3FBF1"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33D51CF3"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1.522.365.608.786</w:t>
            </w:r>
          </w:p>
        </w:tc>
        <w:tc>
          <w:tcPr>
            <w:tcW w:w="1452" w:type="dxa"/>
            <w:tcBorders>
              <w:top w:val="nil"/>
              <w:left w:val="nil"/>
              <w:bottom w:val="single" w:sz="4" w:space="0" w:color="auto"/>
              <w:right w:val="single" w:sz="4" w:space="0" w:color="auto"/>
            </w:tcBorders>
            <w:shd w:val="clear" w:color="auto" w:fill="auto"/>
            <w:noWrap/>
            <w:vAlign w:val="center"/>
            <w:hideMark/>
          </w:tcPr>
          <w:p w14:paraId="11C46C4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377B672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431A20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val="restart"/>
            <w:tcBorders>
              <w:top w:val="nil"/>
              <w:left w:val="single" w:sz="4" w:space="0" w:color="auto"/>
              <w:bottom w:val="single" w:sz="4" w:space="0" w:color="000000"/>
              <w:right w:val="single" w:sz="4" w:space="0" w:color="auto"/>
            </w:tcBorders>
            <w:shd w:val="clear" w:color="auto" w:fill="auto"/>
            <w:vAlign w:val="center"/>
            <w:hideMark/>
          </w:tcPr>
          <w:p w14:paraId="4F20E1D8" w14:textId="589C9B48" w:rsidR="006F12FE" w:rsidRPr="00EB0C51" w:rsidRDefault="00E429F4" w:rsidP="002058A0">
            <w:pPr>
              <w:jc w:val="both"/>
              <w:rPr>
                <w:rFonts w:cs="Arial"/>
                <w:color w:val="000000"/>
                <w:sz w:val="20"/>
                <w:szCs w:val="20"/>
                <w:lang w:eastAsia="es-CO"/>
              </w:rPr>
            </w:pPr>
            <w:r w:rsidRPr="00EB0C51">
              <w:rPr>
                <w:rFonts w:cs="Arial"/>
                <w:color w:val="000000"/>
                <w:sz w:val="20"/>
                <w:szCs w:val="20"/>
                <w:lang w:eastAsia="es-CO"/>
              </w:rPr>
              <w:t xml:space="preserve">De acuerdo con lo reportado por el responsable, </w:t>
            </w:r>
            <w:r w:rsidR="001E3DAC" w:rsidRPr="00EB0C51">
              <w:rPr>
                <w:rFonts w:cs="Arial"/>
                <w:color w:val="000000"/>
                <w:sz w:val="20"/>
                <w:szCs w:val="20"/>
                <w:lang w:eastAsia="es-CO"/>
              </w:rPr>
              <w:t xml:space="preserve">el rubro </w:t>
            </w:r>
            <w:r w:rsidRPr="00EB0C51">
              <w:rPr>
                <w:rFonts w:cs="Arial"/>
                <w:color w:val="000000"/>
                <w:sz w:val="20"/>
                <w:szCs w:val="20"/>
                <w:lang w:eastAsia="es-CO"/>
              </w:rPr>
              <w:t>c</w:t>
            </w:r>
            <w:r w:rsidR="006F12FE" w:rsidRPr="00EB0C51">
              <w:rPr>
                <w:rFonts w:cs="Arial"/>
                <w:color w:val="000000"/>
                <w:sz w:val="20"/>
                <w:szCs w:val="20"/>
                <w:lang w:eastAsia="es-CO"/>
              </w:rPr>
              <w:t>orresponde a una provisión para atender las necesidades de gastos de funcionamiento de las entidades del PGN, l</w:t>
            </w:r>
            <w:r w:rsidR="001E3DAC" w:rsidRPr="00EB0C51">
              <w:rPr>
                <w:rFonts w:cs="Arial"/>
                <w:color w:val="000000"/>
                <w:sz w:val="20"/>
                <w:szCs w:val="20"/>
                <w:lang w:eastAsia="es-CO"/>
              </w:rPr>
              <w:t>a</w:t>
            </w:r>
            <w:r w:rsidR="006F12FE" w:rsidRPr="00EB0C51">
              <w:rPr>
                <w:rFonts w:cs="Arial"/>
                <w:color w:val="000000"/>
                <w:sz w:val="20"/>
                <w:szCs w:val="20"/>
                <w:lang w:eastAsia="es-CO"/>
              </w:rPr>
              <w:t xml:space="preserve"> cual se distribuirá a demanda de las entidades en lo que resta de la vigencia.</w:t>
            </w:r>
          </w:p>
        </w:tc>
      </w:tr>
      <w:tr w:rsidR="006F12FE" w:rsidRPr="00EB0C51" w14:paraId="4FBB1D19"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892748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16</w:t>
            </w:r>
          </w:p>
        </w:tc>
        <w:tc>
          <w:tcPr>
            <w:tcW w:w="2588" w:type="dxa"/>
            <w:tcBorders>
              <w:top w:val="nil"/>
              <w:left w:val="nil"/>
              <w:bottom w:val="single" w:sz="4" w:space="0" w:color="auto"/>
              <w:right w:val="single" w:sz="4" w:space="0" w:color="auto"/>
            </w:tcBorders>
            <w:shd w:val="clear" w:color="auto" w:fill="auto"/>
            <w:vAlign w:val="center"/>
            <w:hideMark/>
          </w:tcPr>
          <w:p w14:paraId="258E134D"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Otras Transferencias - Distribución Previo Concepto DGPPN</w:t>
            </w:r>
          </w:p>
        </w:tc>
        <w:tc>
          <w:tcPr>
            <w:tcW w:w="2153" w:type="dxa"/>
            <w:tcBorders>
              <w:top w:val="nil"/>
              <w:left w:val="nil"/>
              <w:bottom w:val="single" w:sz="4" w:space="0" w:color="auto"/>
              <w:right w:val="single" w:sz="4" w:space="0" w:color="auto"/>
            </w:tcBorders>
            <w:shd w:val="clear" w:color="auto" w:fill="auto"/>
            <w:vAlign w:val="center"/>
            <w:hideMark/>
          </w:tcPr>
          <w:p w14:paraId="56872EF0"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1B208F59"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106.511.600.000</w:t>
            </w:r>
          </w:p>
        </w:tc>
        <w:tc>
          <w:tcPr>
            <w:tcW w:w="1452" w:type="dxa"/>
            <w:tcBorders>
              <w:top w:val="nil"/>
              <w:left w:val="nil"/>
              <w:bottom w:val="single" w:sz="4" w:space="0" w:color="auto"/>
              <w:right w:val="single" w:sz="4" w:space="0" w:color="auto"/>
            </w:tcBorders>
            <w:shd w:val="clear" w:color="auto" w:fill="auto"/>
            <w:noWrap/>
            <w:vAlign w:val="center"/>
            <w:hideMark/>
          </w:tcPr>
          <w:p w14:paraId="4B27FAD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7CFA63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54291D3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4853BE5F" w14:textId="77777777" w:rsidR="006F12FE" w:rsidRPr="00EB0C51" w:rsidRDefault="006F12FE" w:rsidP="002058A0">
            <w:pPr>
              <w:jc w:val="both"/>
              <w:rPr>
                <w:rFonts w:cs="Arial"/>
                <w:color w:val="000000"/>
                <w:sz w:val="20"/>
                <w:szCs w:val="20"/>
                <w:lang w:eastAsia="es-CO"/>
              </w:rPr>
            </w:pPr>
          </w:p>
        </w:tc>
      </w:tr>
      <w:tr w:rsidR="006F12FE" w:rsidRPr="00EB0C51" w14:paraId="21449961" w14:textId="77777777" w:rsidTr="001F72EB">
        <w:trPr>
          <w:trHeight w:val="14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858391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17</w:t>
            </w:r>
          </w:p>
        </w:tc>
        <w:tc>
          <w:tcPr>
            <w:tcW w:w="2588" w:type="dxa"/>
            <w:tcBorders>
              <w:top w:val="nil"/>
              <w:left w:val="nil"/>
              <w:bottom w:val="single" w:sz="4" w:space="0" w:color="auto"/>
              <w:right w:val="single" w:sz="4" w:space="0" w:color="auto"/>
            </w:tcBorders>
            <w:shd w:val="clear" w:color="auto" w:fill="auto"/>
            <w:vAlign w:val="center"/>
            <w:hideMark/>
          </w:tcPr>
          <w:p w14:paraId="4B926472"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Fondo de Desarrollo para la Guajira – FONDEG, Artículo 19 Ley 677 de 2001</w:t>
            </w:r>
          </w:p>
        </w:tc>
        <w:tc>
          <w:tcPr>
            <w:tcW w:w="2153" w:type="dxa"/>
            <w:tcBorders>
              <w:top w:val="nil"/>
              <w:left w:val="nil"/>
              <w:bottom w:val="single" w:sz="4" w:space="0" w:color="auto"/>
              <w:right w:val="single" w:sz="4" w:space="0" w:color="auto"/>
            </w:tcBorders>
            <w:shd w:val="clear" w:color="auto" w:fill="auto"/>
            <w:vAlign w:val="center"/>
            <w:hideMark/>
          </w:tcPr>
          <w:p w14:paraId="4A243B63" w14:textId="77777777" w:rsidR="006F12FE" w:rsidRPr="00EB0C51" w:rsidRDefault="006F12FE" w:rsidP="00DE6EEA">
            <w:pPr>
              <w:rPr>
                <w:rFonts w:cs="Arial"/>
                <w:color w:val="000000"/>
                <w:sz w:val="20"/>
                <w:szCs w:val="20"/>
                <w:lang w:eastAsia="es-CO"/>
              </w:rPr>
            </w:pPr>
            <w:r w:rsidRPr="00EB0C51">
              <w:rPr>
                <w:rFonts w:cs="Arial"/>
                <w:color w:val="000000"/>
                <w:sz w:val="20"/>
                <w:szCs w:val="20"/>
                <w:lang w:eastAsia="es-CO"/>
              </w:rPr>
              <w:t>Subdirección Financiera</w:t>
            </w:r>
          </w:p>
        </w:tc>
        <w:tc>
          <w:tcPr>
            <w:tcW w:w="1847" w:type="dxa"/>
            <w:tcBorders>
              <w:top w:val="nil"/>
              <w:left w:val="nil"/>
              <w:bottom w:val="single" w:sz="4" w:space="0" w:color="auto"/>
              <w:right w:val="single" w:sz="4" w:space="0" w:color="auto"/>
            </w:tcBorders>
            <w:shd w:val="clear" w:color="auto" w:fill="auto"/>
            <w:noWrap/>
            <w:vAlign w:val="center"/>
            <w:hideMark/>
          </w:tcPr>
          <w:p w14:paraId="6B0713DD"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6.769.000.000</w:t>
            </w:r>
          </w:p>
        </w:tc>
        <w:tc>
          <w:tcPr>
            <w:tcW w:w="1452" w:type="dxa"/>
            <w:tcBorders>
              <w:top w:val="nil"/>
              <w:left w:val="nil"/>
              <w:bottom w:val="single" w:sz="4" w:space="0" w:color="auto"/>
              <w:right w:val="single" w:sz="4" w:space="0" w:color="auto"/>
            </w:tcBorders>
            <w:shd w:val="clear" w:color="auto" w:fill="auto"/>
            <w:noWrap/>
            <w:vAlign w:val="center"/>
            <w:hideMark/>
          </w:tcPr>
          <w:p w14:paraId="0991E96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3DB36E9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27A6080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278E8302" w14:textId="53F61A8F" w:rsidR="006F12FE" w:rsidRPr="00EB0C51" w:rsidRDefault="00350AB4" w:rsidP="002058A0">
            <w:pPr>
              <w:jc w:val="both"/>
              <w:rPr>
                <w:rFonts w:cs="Arial"/>
                <w:color w:val="000000"/>
                <w:sz w:val="20"/>
                <w:szCs w:val="20"/>
                <w:lang w:eastAsia="es-CO"/>
              </w:rPr>
            </w:pPr>
            <w:r w:rsidRPr="00EB0C51">
              <w:rPr>
                <w:rFonts w:cs="Arial"/>
                <w:color w:val="000000"/>
                <w:sz w:val="20"/>
                <w:szCs w:val="20"/>
                <w:lang w:eastAsia="es-CO"/>
              </w:rPr>
              <w:t>Según lo comentado por el responsable, e</w:t>
            </w:r>
            <w:r w:rsidR="006F12FE" w:rsidRPr="00EB0C51">
              <w:rPr>
                <w:rFonts w:cs="Arial"/>
                <w:color w:val="000000"/>
                <w:sz w:val="20"/>
                <w:szCs w:val="20"/>
                <w:lang w:eastAsia="es-CO"/>
              </w:rPr>
              <w:t>n aplicación de lo dispuesto en los artículos 18 y 19 de la Ley 677 de 2001, la ejecución de los recursos asignados a este rubro depende del comportamiento del recaudo del impuesto de ingreso a la mercancía en Maicao, Uribia y Manaure, para lo cual la DIAN remite la certificación de</w:t>
            </w:r>
            <w:r w:rsidRPr="00EB0C51">
              <w:rPr>
                <w:rFonts w:cs="Arial"/>
                <w:color w:val="000000"/>
                <w:sz w:val="20"/>
                <w:szCs w:val="20"/>
                <w:lang w:eastAsia="es-CO"/>
              </w:rPr>
              <w:t xml:space="preserve"> dicho </w:t>
            </w:r>
            <w:r w:rsidR="006F12FE" w:rsidRPr="00EB0C51">
              <w:rPr>
                <w:rFonts w:cs="Arial"/>
                <w:color w:val="000000"/>
                <w:sz w:val="20"/>
                <w:szCs w:val="20"/>
                <w:lang w:eastAsia="es-CO"/>
              </w:rPr>
              <w:t xml:space="preserve">recaudo a la Subdirección Financiera del </w:t>
            </w:r>
            <w:r w:rsidRPr="00EB0C51">
              <w:rPr>
                <w:rFonts w:cs="Arial"/>
                <w:color w:val="000000"/>
                <w:sz w:val="20"/>
                <w:szCs w:val="20"/>
                <w:lang w:eastAsia="es-CO"/>
              </w:rPr>
              <w:t>MHCP</w:t>
            </w:r>
            <w:r w:rsidR="006F12FE" w:rsidRPr="00EB0C51">
              <w:rPr>
                <w:rFonts w:cs="Arial"/>
                <w:color w:val="000000"/>
                <w:sz w:val="20"/>
                <w:szCs w:val="20"/>
                <w:lang w:eastAsia="es-CO"/>
              </w:rPr>
              <w:t xml:space="preserve"> y </w:t>
            </w:r>
            <w:r w:rsidRPr="00EB0C51">
              <w:rPr>
                <w:rFonts w:cs="Arial"/>
                <w:color w:val="000000"/>
                <w:sz w:val="20"/>
                <w:szCs w:val="20"/>
                <w:lang w:eastAsia="es-CO"/>
              </w:rPr>
              <w:t xml:space="preserve">frente a esta </w:t>
            </w:r>
            <w:r w:rsidR="006F12FE" w:rsidRPr="00EB0C51">
              <w:rPr>
                <w:rFonts w:cs="Arial"/>
                <w:color w:val="000000"/>
                <w:sz w:val="20"/>
                <w:szCs w:val="20"/>
                <w:lang w:eastAsia="es-CO"/>
              </w:rPr>
              <w:t xml:space="preserve">se efectúa la transferencia de los recursos a la Gobernación de la Guajira. Actualmente </w:t>
            </w:r>
            <w:r w:rsidR="00DE6EEA" w:rsidRPr="00EB0C51">
              <w:rPr>
                <w:rFonts w:cs="Arial"/>
                <w:color w:val="000000"/>
                <w:sz w:val="20"/>
                <w:szCs w:val="20"/>
                <w:lang w:eastAsia="es-CO"/>
              </w:rPr>
              <w:t>se está</w:t>
            </w:r>
            <w:r w:rsidR="006F12FE" w:rsidRPr="00EB0C51">
              <w:rPr>
                <w:rFonts w:cs="Arial"/>
                <w:color w:val="000000"/>
                <w:sz w:val="20"/>
                <w:szCs w:val="20"/>
                <w:lang w:eastAsia="es-CO"/>
              </w:rPr>
              <w:t xml:space="preserve"> a la espera </w:t>
            </w:r>
            <w:r w:rsidR="001656AA" w:rsidRPr="00EB0C51">
              <w:rPr>
                <w:rFonts w:cs="Arial"/>
                <w:color w:val="000000"/>
                <w:sz w:val="20"/>
                <w:szCs w:val="20"/>
                <w:lang w:eastAsia="es-CO"/>
              </w:rPr>
              <w:t xml:space="preserve">de </w:t>
            </w:r>
            <w:r w:rsidR="006F12FE" w:rsidRPr="00EB0C51">
              <w:rPr>
                <w:rFonts w:cs="Arial"/>
                <w:color w:val="000000"/>
                <w:sz w:val="20"/>
                <w:szCs w:val="20"/>
                <w:lang w:eastAsia="es-CO"/>
              </w:rPr>
              <w:t>que la DIAN presente la certificación de los recaudos correspondientes al primer semestre del año 2021.</w:t>
            </w:r>
          </w:p>
        </w:tc>
      </w:tr>
      <w:tr w:rsidR="006F12FE" w:rsidRPr="00EB0C51" w14:paraId="2827683D" w14:textId="77777777" w:rsidTr="001F72EB">
        <w:trPr>
          <w:trHeight w:val="204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FBCD3C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18</w:t>
            </w:r>
          </w:p>
        </w:tc>
        <w:tc>
          <w:tcPr>
            <w:tcW w:w="2588" w:type="dxa"/>
            <w:tcBorders>
              <w:top w:val="nil"/>
              <w:left w:val="nil"/>
              <w:bottom w:val="single" w:sz="4" w:space="0" w:color="auto"/>
              <w:right w:val="single" w:sz="4" w:space="0" w:color="auto"/>
            </w:tcBorders>
            <w:shd w:val="clear" w:color="auto" w:fill="auto"/>
            <w:vAlign w:val="center"/>
            <w:hideMark/>
          </w:tcPr>
          <w:p w14:paraId="6A16A787"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Fondo de Reserva para la Estabilización de la Cartera Hipotecaria Banco de la República</w:t>
            </w:r>
          </w:p>
        </w:tc>
        <w:tc>
          <w:tcPr>
            <w:tcW w:w="2153" w:type="dxa"/>
            <w:tcBorders>
              <w:top w:val="nil"/>
              <w:left w:val="nil"/>
              <w:bottom w:val="single" w:sz="4" w:space="0" w:color="auto"/>
              <w:right w:val="single" w:sz="4" w:space="0" w:color="auto"/>
            </w:tcBorders>
            <w:shd w:val="clear" w:color="auto" w:fill="auto"/>
            <w:vAlign w:val="center"/>
            <w:hideMark/>
          </w:tcPr>
          <w:p w14:paraId="0225E580"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Financiera</w:t>
            </w:r>
          </w:p>
        </w:tc>
        <w:tc>
          <w:tcPr>
            <w:tcW w:w="1847" w:type="dxa"/>
            <w:tcBorders>
              <w:top w:val="nil"/>
              <w:left w:val="nil"/>
              <w:bottom w:val="single" w:sz="4" w:space="0" w:color="auto"/>
              <w:right w:val="single" w:sz="4" w:space="0" w:color="auto"/>
            </w:tcBorders>
            <w:shd w:val="clear" w:color="auto" w:fill="auto"/>
            <w:noWrap/>
            <w:vAlign w:val="center"/>
            <w:hideMark/>
          </w:tcPr>
          <w:p w14:paraId="02E211DB"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5.854.000.000 </w:t>
            </w:r>
          </w:p>
        </w:tc>
        <w:tc>
          <w:tcPr>
            <w:tcW w:w="1452" w:type="dxa"/>
            <w:tcBorders>
              <w:top w:val="nil"/>
              <w:left w:val="nil"/>
              <w:bottom w:val="single" w:sz="4" w:space="0" w:color="auto"/>
              <w:right w:val="single" w:sz="4" w:space="0" w:color="auto"/>
            </w:tcBorders>
            <w:shd w:val="clear" w:color="auto" w:fill="auto"/>
            <w:noWrap/>
            <w:vAlign w:val="center"/>
            <w:hideMark/>
          </w:tcPr>
          <w:p w14:paraId="35D3B46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15BDE7C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317281B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10E7D01B" w14:textId="5BD5BDEA" w:rsidR="006F12FE" w:rsidRPr="00EB0C51" w:rsidRDefault="004E2246" w:rsidP="002058A0">
            <w:pPr>
              <w:jc w:val="both"/>
              <w:rPr>
                <w:rFonts w:cs="Arial"/>
                <w:color w:val="000000"/>
                <w:sz w:val="20"/>
                <w:szCs w:val="20"/>
                <w:lang w:eastAsia="es-CO"/>
              </w:rPr>
            </w:pPr>
            <w:r w:rsidRPr="00EB0C51">
              <w:rPr>
                <w:rFonts w:cs="Arial"/>
                <w:color w:val="000000"/>
                <w:sz w:val="20"/>
                <w:szCs w:val="20"/>
                <w:lang w:eastAsia="es-CO"/>
              </w:rPr>
              <w:t>De acuerdo con lo descrito por el responsable, l</w:t>
            </w:r>
            <w:r w:rsidR="006F12FE" w:rsidRPr="00EB0C51">
              <w:rPr>
                <w:rFonts w:cs="Arial"/>
                <w:color w:val="000000"/>
                <w:sz w:val="20"/>
                <w:szCs w:val="20"/>
                <w:lang w:eastAsia="es-CO"/>
              </w:rPr>
              <w:t xml:space="preserve">a ejecución de los recursos asignados a este rubro se da en aplicación de lo dispuesto en el numeral 4 del artículo 48 de la Ley 546 de 1999, por lo cual se requiere que el Banco de la República como administrador del Fondo de Reserva para la Estabilización de la Cartera Hipotecaria - FRECH efectué el cierre contable e informe el monto final de los rendimientos financieros a 31 de diciembre de cada año. Por lo anterior, estos recursos harán parte del rezago presupuestal de la vigencia 2021 y solo podrán ser ejecutadas una vez que el Banco de la República </w:t>
            </w:r>
            <w:r w:rsidR="00B836AE" w:rsidRPr="00EB0C51">
              <w:rPr>
                <w:rFonts w:cs="Arial"/>
                <w:color w:val="000000"/>
                <w:sz w:val="20"/>
                <w:szCs w:val="20"/>
                <w:lang w:eastAsia="es-CO"/>
              </w:rPr>
              <w:t>realice</w:t>
            </w:r>
            <w:r w:rsidR="006F12FE" w:rsidRPr="00EB0C51">
              <w:rPr>
                <w:rFonts w:cs="Arial"/>
                <w:color w:val="000000"/>
                <w:sz w:val="20"/>
                <w:szCs w:val="20"/>
                <w:lang w:eastAsia="es-CO"/>
              </w:rPr>
              <w:t xml:space="preserve"> el cierre contable del año 2021 y le comunique al </w:t>
            </w:r>
            <w:r w:rsidR="00CB24A0" w:rsidRPr="00EB0C51">
              <w:rPr>
                <w:rFonts w:cs="Arial"/>
                <w:color w:val="000000"/>
                <w:sz w:val="20"/>
                <w:szCs w:val="20"/>
                <w:lang w:eastAsia="es-CO"/>
              </w:rPr>
              <w:t xml:space="preserve">MHCP </w:t>
            </w:r>
            <w:r w:rsidR="006F12FE" w:rsidRPr="00EB0C51">
              <w:rPr>
                <w:rFonts w:cs="Arial"/>
                <w:color w:val="000000"/>
                <w:sz w:val="20"/>
                <w:szCs w:val="20"/>
                <w:lang w:eastAsia="es-CO"/>
              </w:rPr>
              <w:t>el monto de los rendimientos financieros.</w:t>
            </w:r>
          </w:p>
        </w:tc>
      </w:tr>
      <w:tr w:rsidR="006F12FE" w:rsidRPr="00EB0C51" w14:paraId="66ECE996"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AD6AA21"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19</w:t>
            </w:r>
          </w:p>
        </w:tc>
        <w:tc>
          <w:tcPr>
            <w:tcW w:w="2588" w:type="dxa"/>
            <w:tcBorders>
              <w:top w:val="nil"/>
              <w:left w:val="nil"/>
              <w:bottom w:val="single" w:sz="4" w:space="0" w:color="auto"/>
              <w:right w:val="single" w:sz="4" w:space="0" w:color="auto"/>
            </w:tcBorders>
            <w:shd w:val="clear" w:color="auto" w:fill="auto"/>
            <w:vAlign w:val="center"/>
            <w:hideMark/>
          </w:tcPr>
          <w:p w14:paraId="68496FC7"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 Universidades para Funcionamiento Ley 30 de 1992 artículo 86</w:t>
            </w:r>
          </w:p>
        </w:tc>
        <w:tc>
          <w:tcPr>
            <w:tcW w:w="2153" w:type="dxa"/>
            <w:tcBorders>
              <w:top w:val="nil"/>
              <w:left w:val="nil"/>
              <w:bottom w:val="single" w:sz="4" w:space="0" w:color="auto"/>
              <w:right w:val="single" w:sz="4" w:space="0" w:color="auto"/>
            </w:tcBorders>
            <w:shd w:val="clear" w:color="auto" w:fill="auto"/>
            <w:vAlign w:val="center"/>
            <w:hideMark/>
          </w:tcPr>
          <w:p w14:paraId="6452238C"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3E2A8E2C"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30.000.000.000</w:t>
            </w:r>
          </w:p>
        </w:tc>
        <w:tc>
          <w:tcPr>
            <w:tcW w:w="1452" w:type="dxa"/>
            <w:tcBorders>
              <w:top w:val="nil"/>
              <w:left w:val="nil"/>
              <w:bottom w:val="single" w:sz="4" w:space="0" w:color="auto"/>
              <w:right w:val="single" w:sz="4" w:space="0" w:color="auto"/>
            </w:tcBorders>
            <w:shd w:val="clear" w:color="auto" w:fill="auto"/>
            <w:noWrap/>
            <w:vAlign w:val="center"/>
            <w:hideMark/>
          </w:tcPr>
          <w:p w14:paraId="019CFF7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7F0009C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3F8524CA"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71E12F9F" w14:textId="53DD60B9" w:rsidR="006F12FE" w:rsidRPr="00EB0C51" w:rsidRDefault="00157C7C" w:rsidP="002058A0">
            <w:pPr>
              <w:jc w:val="both"/>
              <w:rPr>
                <w:rFonts w:cs="Arial"/>
                <w:color w:val="000000"/>
                <w:sz w:val="20"/>
                <w:szCs w:val="20"/>
                <w:lang w:eastAsia="es-CO"/>
              </w:rPr>
            </w:pPr>
            <w:r w:rsidRPr="00EB0C51">
              <w:rPr>
                <w:rFonts w:cs="Arial"/>
                <w:color w:val="000000"/>
                <w:sz w:val="20"/>
                <w:szCs w:val="20"/>
                <w:lang w:eastAsia="es-CO"/>
              </w:rPr>
              <w:t>Conforme lo reportado por el responsable, los recursos</w:t>
            </w:r>
            <w:r w:rsidR="00317CC8" w:rsidRPr="00EB0C51">
              <w:rPr>
                <w:rFonts w:cs="Arial"/>
                <w:color w:val="000000"/>
                <w:sz w:val="20"/>
                <w:szCs w:val="20"/>
                <w:lang w:eastAsia="es-CO"/>
              </w:rPr>
              <w:t xml:space="preserve"> </w:t>
            </w:r>
            <w:r w:rsidR="006F12FE" w:rsidRPr="00EB0C51">
              <w:rPr>
                <w:rFonts w:cs="Arial"/>
                <w:color w:val="000000"/>
                <w:sz w:val="20"/>
                <w:szCs w:val="20"/>
                <w:lang w:eastAsia="es-CO"/>
              </w:rPr>
              <w:t xml:space="preserve">se distribuirán a demanda de </w:t>
            </w:r>
            <w:r w:rsidR="00317CC8" w:rsidRPr="00EB0C51">
              <w:rPr>
                <w:rFonts w:cs="Arial"/>
                <w:color w:val="000000"/>
                <w:sz w:val="20"/>
                <w:szCs w:val="20"/>
                <w:lang w:eastAsia="es-CO"/>
              </w:rPr>
              <w:t xml:space="preserve">las universidades públicas nacionales </w:t>
            </w:r>
            <w:r w:rsidR="006F12FE" w:rsidRPr="00EB0C51">
              <w:rPr>
                <w:rFonts w:cs="Arial"/>
                <w:color w:val="000000"/>
                <w:sz w:val="20"/>
                <w:szCs w:val="20"/>
                <w:lang w:eastAsia="es-CO"/>
              </w:rPr>
              <w:t>en lo que resta de la vigencia.</w:t>
            </w:r>
          </w:p>
        </w:tc>
      </w:tr>
      <w:tr w:rsidR="006F12FE" w:rsidRPr="00EB0C51" w14:paraId="55946363"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9C9FF0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20</w:t>
            </w:r>
          </w:p>
        </w:tc>
        <w:tc>
          <w:tcPr>
            <w:tcW w:w="2588" w:type="dxa"/>
            <w:tcBorders>
              <w:top w:val="nil"/>
              <w:left w:val="nil"/>
              <w:bottom w:val="single" w:sz="4" w:space="0" w:color="auto"/>
              <w:right w:val="single" w:sz="4" w:space="0" w:color="auto"/>
            </w:tcBorders>
            <w:shd w:val="clear" w:color="auto" w:fill="auto"/>
            <w:vAlign w:val="center"/>
            <w:hideMark/>
          </w:tcPr>
          <w:p w14:paraId="454979B9"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FONPET - Asignaciones Especiales</w:t>
            </w:r>
          </w:p>
        </w:tc>
        <w:tc>
          <w:tcPr>
            <w:tcW w:w="2153" w:type="dxa"/>
            <w:tcBorders>
              <w:top w:val="nil"/>
              <w:left w:val="nil"/>
              <w:bottom w:val="single" w:sz="4" w:space="0" w:color="auto"/>
              <w:right w:val="single" w:sz="4" w:space="0" w:color="auto"/>
            </w:tcBorders>
            <w:shd w:val="clear" w:color="auto" w:fill="auto"/>
            <w:vAlign w:val="center"/>
            <w:hideMark/>
          </w:tcPr>
          <w:p w14:paraId="2ECF814E" w14:textId="71333A84"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 xml:space="preserve">Dirección General de Regulación </w:t>
            </w:r>
            <w:r w:rsidR="00875A8D" w:rsidRPr="00EB0C51">
              <w:rPr>
                <w:rFonts w:cs="Arial"/>
                <w:color w:val="000000"/>
                <w:sz w:val="20"/>
                <w:szCs w:val="20"/>
                <w:lang w:eastAsia="es-CO"/>
              </w:rPr>
              <w:t>Económica</w:t>
            </w:r>
            <w:r w:rsidRPr="00EB0C51">
              <w:rPr>
                <w:rFonts w:cs="Arial"/>
                <w:color w:val="000000"/>
                <w:sz w:val="20"/>
                <w:szCs w:val="20"/>
                <w:lang w:eastAsia="es-CO"/>
              </w:rPr>
              <w:t xml:space="preserve"> y de la Seguridad Social - DGRESS</w:t>
            </w:r>
          </w:p>
        </w:tc>
        <w:tc>
          <w:tcPr>
            <w:tcW w:w="1847" w:type="dxa"/>
            <w:tcBorders>
              <w:top w:val="nil"/>
              <w:left w:val="nil"/>
              <w:bottom w:val="single" w:sz="4" w:space="0" w:color="auto"/>
              <w:right w:val="single" w:sz="4" w:space="0" w:color="auto"/>
            </w:tcBorders>
            <w:shd w:val="clear" w:color="auto" w:fill="auto"/>
            <w:noWrap/>
            <w:vAlign w:val="center"/>
            <w:hideMark/>
          </w:tcPr>
          <w:p w14:paraId="69A051AB"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1.378.458.514.639</w:t>
            </w:r>
          </w:p>
        </w:tc>
        <w:tc>
          <w:tcPr>
            <w:tcW w:w="1452" w:type="dxa"/>
            <w:tcBorders>
              <w:top w:val="nil"/>
              <w:left w:val="nil"/>
              <w:bottom w:val="single" w:sz="4" w:space="0" w:color="auto"/>
              <w:right w:val="single" w:sz="4" w:space="0" w:color="auto"/>
            </w:tcBorders>
            <w:shd w:val="clear" w:color="auto" w:fill="auto"/>
            <w:noWrap/>
            <w:vAlign w:val="center"/>
            <w:hideMark/>
          </w:tcPr>
          <w:p w14:paraId="466A002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6B94119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2A737D4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2B9A329C" w14:textId="50038BC9" w:rsidR="006F12FE" w:rsidRPr="00EB0C51" w:rsidRDefault="002440D8" w:rsidP="002058A0">
            <w:pPr>
              <w:jc w:val="both"/>
              <w:rPr>
                <w:rFonts w:cs="Arial"/>
                <w:color w:val="000000"/>
                <w:sz w:val="20"/>
                <w:szCs w:val="20"/>
                <w:lang w:eastAsia="es-CO"/>
              </w:rPr>
            </w:pPr>
            <w:r w:rsidRPr="00EB0C51">
              <w:rPr>
                <w:rFonts w:cs="Arial"/>
                <w:color w:val="000000"/>
                <w:sz w:val="20"/>
                <w:szCs w:val="20"/>
                <w:lang w:eastAsia="es-CO"/>
              </w:rPr>
              <w:t>De acuerdo con lo comentado por el responsable, s</w:t>
            </w:r>
            <w:r w:rsidR="006F12FE" w:rsidRPr="00EB0C51">
              <w:rPr>
                <w:rFonts w:cs="Arial"/>
                <w:color w:val="000000"/>
                <w:sz w:val="20"/>
                <w:szCs w:val="20"/>
                <w:lang w:eastAsia="es-CO"/>
              </w:rPr>
              <w:t xml:space="preserve">e tiene proyectado realizar la </w:t>
            </w:r>
            <w:r w:rsidRPr="00EB0C51">
              <w:rPr>
                <w:rFonts w:cs="Arial"/>
                <w:color w:val="000000"/>
                <w:sz w:val="20"/>
                <w:szCs w:val="20"/>
                <w:lang w:eastAsia="es-CO"/>
              </w:rPr>
              <w:t>apropiación</w:t>
            </w:r>
            <w:r w:rsidR="006F12FE" w:rsidRPr="00EB0C51">
              <w:rPr>
                <w:rFonts w:cs="Arial"/>
                <w:color w:val="000000"/>
                <w:sz w:val="20"/>
                <w:szCs w:val="20"/>
                <w:lang w:eastAsia="es-CO"/>
              </w:rPr>
              <w:t xml:space="preserve"> </w:t>
            </w:r>
            <w:r w:rsidRPr="00EB0C51">
              <w:rPr>
                <w:rFonts w:cs="Arial"/>
                <w:color w:val="000000"/>
                <w:sz w:val="20"/>
                <w:szCs w:val="20"/>
                <w:lang w:eastAsia="es-CO"/>
              </w:rPr>
              <w:t xml:space="preserve">de los recursos en cuanto </w:t>
            </w:r>
            <w:r w:rsidR="006F12FE" w:rsidRPr="00EB0C51">
              <w:rPr>
                <w:rFonts w:cs="Arial"/>
                <w:color w:val="000000"/>
                <w:sz w:val="20"/>
                <w:szCs w:val="20"/>
                <w:lang w:eastAsia="es-CO"/>
              </w:rPr>
              <w:t xml:space="preserve">se cuente con los documentos de </w:t>
            </w:r>
            <w:r w:rsidRPr="00EB0C51">
              <w:rPr>
                <w:rFonts w:cs="Arial"/>
                <w:color w:val="000000"/>
                <w:sz w:val="20"/>
                <w:szCs w:val="20"/>
                <w:lang w:eastAsia="es-CO"/>
              </w:rPr>
              <w:t>distribución</w:t>
            </w:r>
            <w:r w:rsidR="006F12FE" w:rsidRPr="00EB0C51">
              <w:rPr>
                <w:rFonts w:cs="Arial"/>
                <w:color w:val="000000"/>
                <w:sz w:val="20"/>
                <w:szCs w:val="20"/>
                <w:lang w:eastAsia="es-CO"/>
              </w:rPr>
              <w:t xml:space="preserve"> que publica el D</w:t>
            </w:r>
            <w:r w:rsidRPr="00EB0C51">
              <w:rPr>
                <w:rFonts w:cs="Arial"/>
                <w:color w:val="000000"/>
                <w:sz w:val="20"/>
                <w:szCs w:val="20"/>
                <w:lang w:eastAsia="es-CO"/>
              </w:rPr>
              <w:t>epartamento Nacional de Planeación D</w:t>
            </w:r>
            <w:r w:rsidR="006F12FE" w:rsidRPr="00EB0C51">
              <w:rPr>
                <w:rFonts w:cs="Arial"/>
                <w:color w:val="000000"/>
                <w:sz w:val="20"/>
                <w:szCs w:val="20"/>
                <w:lang w:eastAsia="es-CO"/>
              </w:rPr>
              <w:t>NP</w:t>
            </w:r>
            <w:r w:rsidR="0050560A" w:rsidRPr="00EB0C51">
              <w:rPr>
                <w:rFonts w:cs="Arial"/>
                <w:color w:val="000000"/>
                <w:sz w:val="20"/>
                <w:szCs w:val="20"/>
                <w:lang w:eastAsia="es-CO"/>
              </w:rPr>
              <w:t xml:space="preserve">, para </w:t>
            </w:r>
            <w:r w:rsidR="006F12FE" w:rsidRPr="00EB0C51">
              <w:rPr>
                <w:rFonts w:cs="Arial"/>
                <w:color w:val="000000"/>
                <w:sz w:val="20"/>
                <w:szCs w:val="20"/>
                <w:lang w:eastAsia="es-CO"/>
              </w:rPr>
              <w:t xml:space="preserve">poder realizar la respectiva resolución tanto para las once doceavas de 2021 como la </w:t>
            </w:r>
            <w:r w:rsidR="0050560A" w:rsidRPr="00EB0C51">
              <w:rPr>
                <w:rFonts w:cs="Arial"/>
                <w:color w:val="000000"/>
                <w:sz w:val="20"/>
                <w:szCs w:val="20"/>
                <w:lang w:eastAsia="es-CO"/>
              </w:rPr>
              <w:t>última</w:t>
            </w:r>
            <w:r w:rsidR="006F12FE" w:rsidRPr="00EB0C51">
              <w:rPr>
                <w:rFonts w:cs="Arial"/>
                <w:color w:val="000000"/>
                <w:sz w:val="20"/>
                <w:szCs w:val="20"/>
                <w:lang w:eastAsia="es-CO"/>
              </w:rPr>
              <w:t xml:space="preserve"> doceava de 2020</w:t>
            </w:r>
            <w:r w:rsidR="0050560A" w:rsidRPr="00EB0C51">
              <w:rPr>
                <w:rFonts w:cs="Arial"/>
                <w:color w:val="000000"/>
                <w:sz w:val="20"/>
                <w:szCs w:val="20"/>
                <w:lang w:eastAsia="es-CO"/>
              </w:rPr>
              <w:t xml:space="preserve">. </w:t>
            </w:r>
          </w:p>
        </w:tc>
      </w:tr>
      <w:tr w:rsidR="006F12FE" w:rsidRPr="00EB0C51" w14:paraId="58441561"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8B5A93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21</w:t>
            </w:r>
          </w:p>
        </w:tc>
        <w:tc>
          <w:tcPr>
            <w:tcW w:w="2588" w:type="dxa"/>
            <w:tcBorders>
              <w:top w:val="nil"/>
              <w:left w:val="nil"/>
              <w:bottom w:val="single" w:sz="4" w:space="0" w:color="auto"/>
              <w:right w:val="single" w:sz="4" w:space="0" w:color="auto"/>
            </w:tcBorders>
            <w:shd w:val="clear" w:color="auto" w:fill="auto"/>
            <w:vAlign w:val="center"/>
            <w:hideMark/>
          </w:tcPr>
          <w:p w14:paraId="2C28FA5F"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Incapacidades y Licencias de Maternidad y Paternidad (no de pensiones)</w:t>
            </w:r>
          </w:p>
        </w:tc>
        <w:tc>
          <w:tcPr>
            <w:tcW w:w="2153" w:type="dxa"/>
            <w:tcBorders>
              <w:top w:val="nil"/>
              <w:left w:val="nil"/>
              <w:bottom w:val="single" w:sz="4" w:space="0" w:color="auto"/>
              <w:right w:val="single" w:sz="4" w:space="0" w:color="auto"/>
            </w:tcBorders>
            <w:shd w:val="clear" w:color="auto" w:fill="auto"/>
            <w:vAlign w:val="center"/>
            <w:hideMark/>
          </w:tcPr>
          <w:p w14:paraId="3B19D71E"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de Talento Humano</w:t>
            </w:r>
          </w:p>
        </w:tc>
        <w:tc>
          <w:tcPr>
            <w:tcW w:w="1847" w:type="dxa"/>
            <w:tcBorders>
              <w:top w:val="nil"/>
              <w:left w:val="nil"/>
              <w:bottom w:val="single" w:sz="4" w:space="0" w:color="auto"/>
              <w:right w:val="single" w:sz="4" w:space="0" w:color="auto"/>
            </w:tcBorders>
            <w:shd w:val="clear" w:color="auto" w:fill="auto"/>
            <w:noWrap/>
            <w:vAlign w:val="center"/>
            <w:hideMark/>
          </w:tcPr>
          <w:p w14:paraId="695E741C"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593.000.000</w:t>
            </w:r>
          </w:p>
        </w:tc>
        <w:tc>
          <w:tcPr>
            <w:tcW w:w="1452" w:type="dxa"/>
            <w:tcBorders>
              <w:top w:val="nil"/>
              <w:left w:val="nil"/>
              <w:bottom w:val="single" w:sz="4" w:space="0" w:color="auto"/>
              <w:right w:val="single" w:sz="4" w:space="0" w:color="auto"/>
            </w:tcBorders>
            <w:shd w:val="clear" w:color="auto" w:fill="auto"/>
            <w:noWrap/>
            <w:vAlign w:val="center"/>
            <w:hideMark/>
          </w:tcPr>
          <w:p w14:paraId="67994AA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26%</w:t>
            </w:r>
          </w:p>
        </w:tc>
        <w:tc>
          <w:tcPr>
            <w:tcW w:w="1086" w:type="dxa"/>
            <w:tcBorders>
              <w:top w:val="nil"/>
              <w:left w:val="nil"/>
              <w:bottom w:val="single" w:sz="4" w:space="0" w:color="auto"/>
              <w:right w:val="single" w:sz="4" w:space="0" w:color="auto"/>
            </w:tcBorders>
            <w:shd w:val="clear" w:color="auto" w:fill="auto"/>
            <w:noWrap/>
            <w:vAlign w:val="center"/>
            <w:hideMark/>
          </w:tcPr>
          <w:p w14:paraId="7ED306B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608" w:type="dxa"/>
            <w:tcBorders>
              <w:top w:val="nil"/>
              <w:left w:val="nil"/>
              <w:bottom w:val="single" w:sz="4" w:space="0" w:color="auto"/>
              <w:right w:val="single" w:sz="4" w:space="0" w:color="auto"/>
            </w:tcBorders>
            <w:shd w:val="clear" w:color="auto" w:fill="auto"/>
            <w:noWrap/>
            <w:vAlign w:val="center"/>
            <w:hideMark/>
          </w:tcPr>
          <w:p w14:paraId="00B5B74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5328" w:type="dxa"/>
            <w:tcBorders>
              <w:top w:val="nil"/>
              <w:left w:val="nil"/>
              <w:bottom w:val="single" w:sz="4" w:space="0" w:color="auto"/>
              <w:right w:val="single" w:sz="4" w:space="0" w:color="auto"/>
            </w:tcBorders>
            <w:shd w:val="clear" w:color="auto" w:fill="auto"/>
            <w:vAlign w:val="center"/>
            <w:hideMark/>
          </w:tcPr>
          <w:p w14:paraId="56460BEB" w14:textId="6FF6383C" w:rsidR="006F12FE" w:rsidRPr="00EB0C51" w:rsidRDefault="00875A8D" w:rsidP="002058A0">
            <w:pPr>
              <w:jc w:val="both"/>
              <w:rPr>
                <w:rFonts w:cs="Arial"/>
                <w:color w:val="000000"/>
                <w:sz w:val="20"/>
                <w:szCs w:val="20"/>
                <w:lang w:eastAsia="es-CO"/>
              </w:rPr>
            </w:pPr>
            <w:r w:rsidRPr="00EB0C51">
              <w:rPr>
                <w:rFonts w:cs="Arial"/>
                <w:color w:val="000000"/>
                <w:sz w:val="20"/>
                <w:szCs w:val="20"/>
                <w:lang w:eastAsia="es-CO"/>
              </w:rPr>
              <w:t>Según lo expuesto por el responsable, las</w:t>
            </w:r>
            <w:r w:rsidR="006F12FE" w:rsidRPr="00EB0C51">
              <w:rPr>
                <w:rFonts w:cs="Arial"/>
                <w:color w:val="000000"/>
                <w:sz w:val="20"/>
                <w:szCs w:val="20"/>
                <w:lang w:eastAsia="es-CO"/>
              </w:rPr>
              <w:t xml:space="preserve"> cifras son estimadas con base en los datos estadísticos de vigencias anteriores, y se ejecuta de acuerdo con el comportamiento por demanda de las novedades de personal que se presenten. </w:t>
            </w:r>
            <w:r w:rsidR="00AF03A6" w:rsidRPr="00EB0C51">
              <w:rPr>
                <w:rFonts w:cs="Arial"/>
                <w:color w:val="000000"/>
                <w:sz w:val="20"/>
                <w:szCs w:val="20"/>
                <w:lang w:eastAsia="es-CO"/>
              </w:rPr>
              <w:t>E</w:t>
            </w:r>
            <w:r w:rsidR="006F12FE" w:rsidRPr="00EB0C51">
              <w:rPr>
                <w:rFonts w:cs="Arial"/>
                <w:color w:val="000000"/>
                <w:sz w:val="20"/>
                <w:szCs w:val="20"/>
                <w:lang w:eastAsia="es-CO"/>
              </w:rPr>
              <w:t>n el primer semestre del 2021, se ha ejecutado lo correspondiente a incapacidades, licencias de enfermedad, licencias de maternidad y paternidad reportadas por los servidores públicos.</w:t>
            </w:r>
          </w:p>
        </w:tc>
      </w:tr>
      <w:tr w:rsidR="006F12FE" w:rsidRPr="00EB0C51" w14:paraId="52337A27" w14:textId="77777777" w:rsidTr="001F72EB">
        <w:trPr>
          <w:trHeight w:val="6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6F51BD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22</w:t>
            </w:r>
          </w:p>
        </w:tc>
        <w:tc>
          <w:tcPr>
            <w:tcW w:w="2588" w:type="dxa"/>
            <w:tcBorders>
              <w:top w:val="nil"/>
              <w:left w:val="nil"/>
              <w:bottom w:val="single" w:sz="4" w:space="0" w:color="auto"/>
              <w:right w:val="single" w:sz="4" w:space="0" w:color="auto"/>
            </w:tcBorders>
            <w:shd w:val="clear" w:color="auto" w:fill="auto"/>
            <w:vAlign w:val="center"/>
            <w:hideMark/>
          </w:tcPr>
          <w:p w14:paraId="44397BF1"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Fondo Nacional de Pensiones de las Entidades Territoriales Ley 549 de 1999 (de pensiones)</w:t>
            </w:r>
          </w:p>
        </w:tc>
        <w:tc>
          <w:tcPr>
            <w:tcW w:w="2153" w:type="dxa"/>
            <w:tcBorders>
              <w:top w:val="nil"/>
              <w:left w:val="nil"/>
              <w:bottom w:val="single" w:sz="4" w:space="0" w:color="auto"/>
              <w:right w:val="single" w:sz="4" w:space="0" w:color="auto"/>
            </w:tcBorders>
            <w:shd w:val="clear" w:color="auto" w:fill="auto"/>
            <w:vAlign w:val="center"/>
            <w:hideMark/>
          </w:tcPr>
          <w:p w14:paraId="6C54A3EA" w14:textId="5AC1B5C0"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 xml:space="preserve">Dirección General de Regulación </w:t>
            </w:r>
            <w:r w:rsidR="00C95EA1" w:rsidRPr="00EB0C51">
              <w:rPr>
                <w:rFonts w:cs="Arial"/>
                <w:color w:val="000000"/>
                <w:sz w:val="20"/>
                <w:szCs w:val="20"/>
                <w:lang w:eastAsia="es-CO"/>
              </w:rPr>
              <w:t>Económica</w:t>
            </w:r>
            <w:r w:rsidRPr="00EB0C51">
              <w:rPr>
                <w:rFonts w:cs="Arial"/>
                <w:color w:val="000000"/>
                <w:sz w:val="20"/>
                <w:szCs w:val="20"/>
                <w:lang w:eastAsia="es-CO"/>
              </w:rPr>
              <w:t xml:space="preserve"> y de la Seguridad Social - DGRESS</w:t>
            </w:r>
          </w:p>
        </w:tc>
        <w:tc>
          <w:tcPr>
            <w:tcW w:w="1847" w:type="dxa"/>
            <w:tcBorders>
              <w:top w:val="nil"/>
              <w:left w:val="nil"/>
              <w:bottom w:val="single" w:sz="4" w:space="0" w:color="auto"/>
              <w:right w:val="single" w:sz="4" w:space="0" w:color="auto"/>
            </w:tcBorders>
            <w:shd w:val="clear" w:color="auto" w:fill="auto"/>
            <w:noWrap/>
            <w:vAlign w:val="center"/>
            <w:hideMark/>
          </w:tcPr>
          <w:p w14:paraId="06214046"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132.690.000.000</w:t>
            </w:r>
          </w:p>
        </w:tc>
        <w:tc>
          <w:tcPr>
            <w:tcW w:w="1452" w:type="dxa"/>
            <w:tcBorders>
              <w:top w:val="nil"/>
              <w:left w:val="nil"/>
              <w:bottom w:val="single" w:sz="4" w:space="0" w:color="auto"/>
              <w:right w:val="single" w:sz="4" w:space="0" w:color="auto"/>
            </w:tcBorders>
            <w:shd w:val="clear" w:color="auto" w:fill="auto"/>
            <w:noWrap/>
            <w:vAlign w:val="center"/>
            <w:hideMark/>
          </w:tcPr>
          <w:p w14:paraId="44AB5F1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7D6B24B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26D090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7C011FF2" w14:textId="64AEC80A" w:rsidR="006F12FE" w:rsidRPr="00EB0C51" w:rsidRDefault="00915E50" w:rsidP="002058A0">
            <w:pPr>
              <w:jc w:val="both"/>
              <w:rPr>
                <w:rFonts w:cs="Arial"/>
                <w:color w:val="000000"/>
                <w:sz w:val="20"/>
                <w:szCs w:val="20"/>
                <w:lang w:eastAsia="es-CO"/>
              </w:rPr>
            </w:pPr>
            <w:r w:rsidRPr="00EB0C51">
              <w:rPr>
                <w:rFonts w:cs="Arial"/>
                <w:color w:val="000000"/>
                <w:sz w:val="20"/>
                <w:szCs w:val="20"/>
                <w:lang w:eastAsia="es-CO"/>
              </w:rPr>
              <w:t xml:space="preserve">De acuerdo con lo comentado por el responsable, se está a </w:t>
            </w:r>
            <w:r w:rsidR="006F12FE" w:rsidRPr="00EB0C51">
              <w:rPr>
                <w:rFonts w:cs="Arial"/>
                <w:color w:val="000000"/>
                <w:sz w:val="20"/>
                <w:szCs w:val="20"/>
                <w:lang w:eastAsia="es-CO"/>
              </w:rPr>
              <w:t xml:space="preserve">la espera de los aportes de Timbre </w:t>
            </w:r>
            <w:r w:rsidR="0047759E" w:rsidRPr="00EB0C51">
              <w:rPr>
                <w:rFonts w:cs="Arial"/>
                <w:color w:val="000000"/>
                <w:sz w:val="20"/>
                <w:szCs w:val="20"/>
                <w:lang w:eastAsia="es-CO"/>
              </w:rPr>
              <w:t xml:space="preserve">con los que se contará  </w:t>
            </w:r>
            <w:r w:rsidR="006F12FE" w:rsidRPr="00EB0C51">
              <w:rPr>
                <w:rFonts w:cs="Arial"/>
                <w:color w:val="000000"/>
                <w:sz w:val="20"/>
                <w:szCs w:val="20"/>
                <w:lang w:eastAsia="es-CO"/>
              </w:rPr>
              <w:t>hasta octubre de 2021</w:t>
            </w:r>
            <w:r w:rsidR="00D031E6" w:rsidRPr="00EB0C51">
              <w:rPr>
                <w:rFonts w:cs="Arial"/>
                <w:color w:val="000000"/>
                <w:sz w:val="20"/>
                <w:szCs w:val="20"/>
                <w:lang w:eastAsia="es-CO"/>
              </w:rPr>
              <w:t>,</w:t>
            </w:r>
            <w:r w:rsidR="006F12FE" w:rsidRPr="00EB0C51">
              <w:rPr>
                <w:rFonts w:cs="Arial"/>
                <w:color w:val="000000"/>
                <w:sz w:val="20"/>
                <w:szCs w:val="20"/>
                <w:lang w:eastAsia="es-CO"/>
              </w:rPr>
              <w:t xml:space="preserve"> </w:t>
            </w:r>
            <w:r w:rsidR="00D031E6" w:rsidRPr="00EB0C51">
              <w:rPr>
                <w:rFonts w:cs="Arial"/>
                <w:color w:val="000000"/>
                <w:sz w:val="20"/>
                <w:szCs w:val="20"/>
                <w:lang w:eastAsia="es-CO"/>
              </w:rPr>
              <w:t>al</w:t>
            </w:r>
            <w:r w:rsidR="00DC1689" w:rsidRPr="00EB0C51">
              <w:rPr>
                <w:rFonts w:cs="Arial"/>
                <w:color w:val="000000"/>
                <w:sz w:val="20"/>
                <w:szCs w:val="20"/>
                <w:lang w:eastAsia="es-CO"/>
              </w:rPr>
              <w:t xml:space="preserve"> </w:t>
            </w:r>
            <w:r w:rsidR="00D031E6" w:rsidRPr="00EB0C51">
              <w:rPr>
                <w:rFonts w:cs="Arial"/>
                <w:color w:val="000000"/>
                <w:sz w:val="20"/>
                <w:szCs w:val="20"/>
                <w:lang w:eastAsia="es-CO"/>
              </w:rPr>
              <w:t>tener</w:t>
            </w:r>
            <w:r w:rsidR="006F12FE" w:rsidRPr="00EB0C51">
              <w:rPr>
                <w:rFonts w:cs="Arial"/>
                <w:color w:val="000000"/>
                <w:sz w:val="20"/>
                <w:szCs w:val="20"/>
                <w:lang w:eastAsia="es-CO"/>
              </w:rPr>
              <w:t xml:space="preserve"> </w:t>
            </w:r>
            <w:r w:rsidR="00D031E6" w:rsidRPr="00EB0C51">
              <w:rPr>
                <w:rFonts w:cs="Arial"/>
                <w:color w:val="000000"/>
                <w:sz w:val="20"/>
                <w:szCs w:val="20"/>
                <w:lang w:eastAsia="es-CO"/>
              </w:rPr>
              <w:t xml:space="preserve">la </w:t>
            </w:r>
            <w:r w:rsidR="006F12FE" w:rsidRPr="00EB0C51">
              <w:rPr>
                <w:rFonts w:cs="Arial"/>
                <w:color w:val="000000"/>
                <w:sz w:val="20"/>
                <w:szCs w:val="20"/>
                <w:lang w:eastAsia="es-CO"/>
              </w:rPr>
              <w:t>mayor</w:t>
            </w:r>
            <w:r w:rsidR="00DC1689" w:rsidRPr="00EB0C51">
              <w:rPr>
                <w:rFonts w:cs="Arial"/>
                <w:color w:val="000000"/>
                <w:sz w:val="20"/>
                <w:szCs w:val="20"/>
                <w:lang w:eastAsia="es-CO"/>
              </w:rPr>
              <w:t xml:space="preserve"> cantidad de</w:t>
            </w:r>
            <w:r w:rsidR="006F12FE" w:rsidRPr="00EB0C51">
              <w:rPr>
                <w:rFonts w:cs="Arial"/>
                <w:color w:val="000000"/>
                <w:sz w:val="20"/>
                <w:szCs w:val="20"/>
                <w:lang w:eastAsia="es-CO"/>
              </w:rPr>
              <w:t xml:space="preserve"> </w:t>
            </w:r>
            <w:r w:rsidR="00DC1689" w:rsidRPr="00EB0C51">
              <w:rPr>
                <w:rFonts w:cs="Arial"/>
                <w:color w:val="000000"/>
                <w:sz w:val="20"/>
                <w:szCs w:val="20"/>
                <w:lang w:eastAsia="es-CO"/>
              </w:rPr>
              <w:t>información</w:t>
            </w:r>
            <w:r w:rsidR="006F12FE" w:rsidRPr="00EB0C51">
              <w:rPr>
                <w:rFonts w:cs="Arial"/>
                <w:color w:val="000000"/>
                <w:sz w:val="20"/>
                <w:szCs w:val="20"/>
                <w:lang w:eastAsia="es-CO"/>
              </w:rPr>
              <w:t xml:space="preserve"> </w:t>
            </w:r>
            <w:r w:rsidR="00D031E6" w:rsidRPr="00EB0C51">
              <w:rPr>
                <w:rFonts w:cs="Arial"/>
                <w:color w:val="000000"/>
                <w:sz w:val="20"/>
                <w:szCs w:val="20"/>
                <w:lang w:eastAsia="es-CO"/>
              </w:rPr>
              <w:t xml:space="preserve">se elaborará </w:t>
            </w:r>
            <w:r w:rsidR="006F12FE" w:rsidRPr="00EB0C51">
              <w:rPr>
                <w:rFonts w:cs="Arial"/>
                <w:color w:val="000000"/>
                <w:sz w:val="20"/>
                <w:szCs w:val="20"/>
                <w:lang w:eastAsia="es-CO"/>
              </w:rPr>
              <w:t xml:space="preserve">la </w:t>
            </w:r>
            <w:r w:rsidR="00C914E6" w:rsidRPr="00EB0C51">
              <w:rPr>
                <w:rFonts w:cs="Arial"/>
                <w:color w:val="000000"/>
                <w:sz w:val="20"/>
                <w:szCs w:val="20"/>
                <w:lang w:eastAsia="es-CO"/>
              </w:rPr>
              <w:t>resolución</w:t>
            </w:r>
            <w:r w:rsidR="006F12FE" w:rsidRPr="00EB0C51">
              <w:rPr>
                <w:rFonts w:cs="Arial"/>
                <w:color w:val="000000"/>
                <w:sz w:val="20"/>
                <w:szCs w:val="20"/>
                <w:lang w:eastAsia="es-CO"/>
              </w:rPr>
              <w:t xml:space="preserve"> de </w:t>
            </w:r>
            <w:r w:rsidR="00C914E6" w:rsidRPr="00EB0C51">
              <w:rPr>
                <w:rFonts w:cs="Arial"/>
                <w:color w:val="000000"/>
                <w:sz w:val="20"/>
                <w:szCs w:val="20"/>
                <w:lang w:eastAsia="es-CO"/>
              </w:rPr>
              <w:t>apropiación</w:t>
            </w:r>
            <w:r w:rsidR="006F12FE" w:rsidRPr="00EB0C51">
              <w:rPr>
                <w:rFonts w:cs="Arial"/>
                <w:color w:val="000000"/>
                <w:sz w:val="20"/>
                <w:szCs w:val="20"/>
                <w:lang w:eastAsia="es-CO"/>
              </w:rPr>
              <w:t xml:space="preserve">  </w:t>
            </w:r>
            <w:r w:rsidR="008F0FFA" w:rsidRPr="00EB0C51">
              <w:rPr>
                <w:rFonts w:cs="Arial"/>
                <w:color w:val="000000"/>
                <w:sz w:val="20"/>
                <w:szCs w:val="20"/>
                <w:lang w:eastAsia="es-CO"/>
              </w:rPr>
              <w:t xml:space="preserve">a </w:t>
            </w:r>
            <w:r w:rsidR="006F12FE" w:rsidRPr="00EB0C51">
              <w:rPr>
                <w:rFonts w:cs="Arial"/>
                <w:color w:val="000000"/>
                <w:sz w:val="20"/>
                <w:szCs w:val="20"/>
                <w:lang w:eastAsia="es-CO"/>
              </w:rPr>
              <w:t>finales de Noviembre</w:t>
            </w:r>
            <w:r w:rsidR="00C914E6" w:rsidRPr="00EB0C51">
              <w:rPr>
                <w:rFonts w:cs="Arial"/>
                <w:color w:val="000000"/>
                <w:sz w:val="20"/>
                <w:szCs w:val="20"/>
                <w:lang w:eastAsia="es-CO"/>
              </w:rPr>
              <w:t xml:space="preserve">. </w:t>
            </w:r>
          </w:p>
        </w:tc>
      </w:tr>
      <w:tr w:rsidR="006F12FE" w:rsidRPr="00EB0C51" w14:paraId="317BBBAD" w14:textId="77777777" w:rsidTr="001F72EB">
        <w:trPr>
          <w:trHeight w:val="117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BE2121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23</w:t>
            </w:r>
          </w:p>
        </w:tc>
        <w:tc>
          <w:tcPr>
            <w:tcW w:w="2588" w:type="dxa"/>
            <w:tcBorders>
              <w:top w:val="nil"/>
              <w:left w:val="nil"/>
              <w:bottom w:val="single" w:sz="4" w:space="0" w:color="auto"/>
              <w:right w:val="single" w:sz="4" w:space="0" w:color="auto"/>
            </w:tcBorders>
            <w:shd w:val="clear" w:color="auto" w:fill="auto"/>
            <w:vAlign w:val="center"/>
            <w:hideMark/>
          </w:tcPr>
          <w:p w14:paraId="4ADCFA16"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Pagos Excepcionales de Extrabajadores de la Fundación San Juan de Dios (de pensiones)</w:t>
            </w:r>
          </w:p>
        </w:tc>
        <w:tc>
          <w:tcPr>
            <w:tcW w:w="2153" w:type="dxa"/>
            <w:tcBorders>
              <w:top w:val="nil"/>
              <w:left w:val="nil"/>
              <w:bottom w:val="single" w:sz="4" w:space="0" w:color="auto"/>
              <w:right w:val="single" w:sz="4" w:space="0" w:color="auto"/>
            </w:tcBorders>
            <w:shd w:val="clear" w:color="auto" w:fill="auto"/>
            <w:vAlign w:val="center"/>
            <w:hideMark/>
          </w:tcPr>
          <w:p w14:paraId="1A72EFE4"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Jurídica</w:t>
            </w:r>
          </w:p>
        </w:tc>
        <w:tc>
          <w:tcPr>
            <w:tcW w:w="1847" w:type="dxa"/>
            <w:tcBorders>
              <w:top w:val="nil"/>
              <w:left w:val="nil"/>
              <w:bottom w:val="single" w:sz="4" w:space="0" w:color="auto"/>
              <w:right w:val="single" w:sz="4" w:space="0" w:color="auto"/>
            </w:tcBorders>
            <w:shd w:val="clear" w:color="auto" w:fill="auto"/>
            <w:noWrap/>
            <w:vAlign w:val="center"/>
            <w:hideMark/>
          </w:tcPr>
          <w:p w14:paraId="4669C5C2"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500.000.000</w:t>
            </w:r>
          </w:p>
        </w:tc>
        <w:tc>
          <w:tcPr>
            <w:tcW w:w="1452" w:type="dxa"/>
            <w:tcBorders>
              <w:top w:val="nil"/>
              <w:left w:val="nil"/>
              <w:bottom w:val="single" w:sz="4" w:space="0" w:color="auto"/>
              <w:right w:val="single" w:sz="4" w:space="0" w:color="auto"/>
            </w:tcBorders>
            <w:shd w:val="clear" w:color="auto" w:fill="auto"/>
            <w:noWrap/>
            <w:vAlign w:val="center"/>
            <w:hideMark/>
          </w:tcPr>
          <w:p w14:paraId="62D48BB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0F00454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86E297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553A1D1D" w14:textId="4BDA6B3F" w:rsidR="006F12FE" w:rsidRPr="00EB0C51" w:rsidRDefault="00C95EA1" w:rsidP="002058A0">
            <w:pPr>
              <w:jc w:val="both"/>
              <w:rPr>
                <w:rFonts w:cs="Arial"/>
                <w:color w:val="000000"/>
                <w:sz w:val="20"/>
                <w:szCs w:val="20"/>
                <w:lang w:eastAsia="es-CO"/>
              </w:rPr>
            </w:pPr>
            <w:r w:rsidRPr="00EB0C51">
              <w:rPr>
                <w:rFonts w:cs="Arial"/>
                <w:color w:val="000000"/>
                <w:sz w:val="20"/>
                <w:szCs w:val="20"/>
                <w:lang w:eastAsia="es-CO"/>
              </w:rPr>
              <w:t xml:space="preserve">De </w:t>
            </w:r>
            <w:r w:rsidR="00ED497B" w:rsidRPr="00EB0C51">
              <w:rPr>
                <w:rFonts w:cs="Arial"/>
                <w:color w:val="000000"/>
                <w:sz w:val="20"/>
                <w:szCs w:val="20"/>
                <w:lang w:eastAsia="es-CO"/>
              </w:rPr>
              <w:t>acuerdo</w:t>
            </w:r>
            <w:r w:rsidRPr="00EB0C51">
              <w:rPr>
                <w:rFonts w:cs="Arial"/>
                <w:color w:val="000000"/>
                <w:sz w:val="20"/>
                <w:szCs w:val="20"/>
                <w:lang w:eastAsia="es-CO"/>
              </w:rPr>
              <w:t xml:space="preserve"> con lo expuesto por el responsable, con corte al periodo evaluado</w:t>
            </w:r>
            <w:r w:rsidR="00ED497B" w:rsidRPr="00EB0C51">
              <w:rPr>
                <w:rFonts w:cs="Arial"/>
                <w:color w:val="000000"/>
                <w:sz w:val="20"/>
                <w:szCs w:val="20"/>
                <w:lang w:eastAsia="es-CO"/>
              </w:rPr>
              <w:t>, el MHCP no ha</w:t>
            </w:r>
            <w:r w:rsidR="006F12FE" w:rsidRPr="00EB0C51">
              <w:rPr>
                <w:rFonts w:cs="Arial"/>
                <w:color w:val="000000"/>
                <w:sz w:val="20"/>
                <w:szCs w:val="20"/>
                <w:lang w:eastAsia="es-CO"/>
              </w:rPr>
              <w:t xml:space="preserve"> sido condenado en proceso judiciales que afecten este rubro presupuestal, no obstante, la ejecución de este rubro depende en gran medida de las decisiones de terceros, por tal razón no es posible determinar un valor, ni una fecha exacta para ejecutar la totalidad de los recursos asignados. </w:t>
            </w:r>
          </w:p>
        </w:tc>
      </w:tr>
      <w:tr w:rsidR="006F12FE" w:rsidRPr="00EB0C51" w14:paraId="1D74DEE3" w14:textId="77777777" w:rsidTr="001F72EB">
        <w:trPr>
          <w:trHeight w:val="153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2DBA30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24</w:t>
            </w:r>
          </w:p>
        </w:tc>
        <w:tc>
          <w:tcPr>
            <w:tcW w:w="2588" w:type="dxa"/>
            <w:tcBorders>
              <w:top w:val="nil"/>
              <w:left w:val="nil"/>
              <w:bottom w:val="single" w:sz="4" w:space="0" w:color="auto"/>
              <w:right w:val="single" w:sz="4" w:space="0" w:color="auto"/>
            </w:tcBorders>
            <w:shd w:val="clear" w:color="auto" w:fill="auto"/>
            <w:vAlign w:val="center"/>
            <w:hideMark/>
          </w:tcPr>
          <w:p w14:paraId="6F0A32CF"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Prestaciones del Sector Salud (Ley 715 de 2001) (de Pensiones)</w:t>
            </w:r>
          </w:p>
        </w:tc>
        <w:tc>
          <w:tcPr>
            <w:tcW w:w="2153" w:type="dxa"/>
            <w:tcBorders>
              <w:top w:val="nil"/>
              <w:left w:val="nil"/>
              <w:bottom w:val="single" w:sz="4" w:space="0" w:color="auto"/>
              <w:right w:val="single" w:sz="4" w:space="0" w:color="auto"/>
            </w:tcBorders>
            <w:shd w:val="clear" w:color="auto" w:fill="auto"/>
            <w:vAlign w:val="center"/>
            <w:hideMark/>
          </w:tcPr>
          <w:p w14:paraId="754C255C"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 Regulación Económica y de la Seguridad Social - DGRESS</w:t>
            </w:r>
          </w:p>
        </w:tc>
        <w:tc>
          <w:tcPr>
            <w:tcW w:w="1847" w:type="dxa"/>
            <w:tcBorders>
              <w:top w:val="nil"/>
              <w:left w:val="nil"/>
              <w:bottom w:val="single" w:sz="4" w:space="0" w:color="auto"/>
              <w:right w:val="single" w:sz="4" w:space="0" w:color="auto"/>
            </w:tcBorders>
            <w:shd w:val="clear" w:color="auto" w:fill="auto"/>
            <w:noWrap/>
            <w:vAlign w:val="center"/>
            <w:hideMark/>
          </w:tcPr>
          <w:p w14:paraId="05422580"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122.816.000.000</w:t>
            </w:r>
          </w:p>
        </w:tc>
        <w:tc>
          <w:tcPr>
            <w:tcW w:w="1452" w:type="dxa"/>
            <w:tcBorders>
              <w:top w:val="nil"/>
              <w:left w:val="nil"/>
              <w:bottom w:val="single" w:sz="4" w:space="0" w:color="auto"/>
              <w:right w:val="single" w:sz="4" w:space="0" w:color="auto"/>
            </w:tcBorders>
            <w:shd w:val="clear" w:color="auto" w:fill="auto"/>
            <w:noWrap/>
            <w:vAlign w:val="center"/>
            <w:hideMark/>
          </w:tcPr>
          <w:p w14:paraId="55A5425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19%</w:t>
            </w:r>
          </w:p>
        </w:tc>
        <w:tc>
          <w:tcPr>
            <w:tcW w:w="1086" w:type="dxa"/>
            <w:tcBorders>
              <w:top w:val="nil"/>
              <w:left w:val="nil"/>
              <w:bottom w:val="single" w:sz="4" w:space="0" w:color="auto"/>
              <w:right w:val="single" w:sz="4" w:space="0" w:color="auto"/>
            </w:tcBorders>
            <w:shd w:val="clear" w:color="auto" w:fill="auto"/>
            <w:noWrap/>
            <w:vAlign w:val="center"/>
            <w:hideMark/>
          </w:tcPr>
          <w:p w14:paraId="3FEEEF3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608" w:type="dxa"/>
            <w:tcBorders>
              <w:top w:val="nil"/>
              <w:left w:val="nil"/>
              <w:bottom w:val="single" w:sz="4" w:space="0" w:color="auto"/>
              <w:right w:val="single" w:sz="4" w:space="0" w:color="auto"/>
            </w:tcBorders>
            <w:shd w:val="clear" w:color="auto" w:fill="auto"/>
            <w:noWrap/>
            <w:vAlign w:val="center"/>
            <w:hideMark/>
          </w:tcPr>
          <w:p w14:paraId="4C5B716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5328" w:type="dxa"/>
            <w:tcBorders>
              <w:top w:val="nil"/>
              <w:left w:val="nil"/>
              <w:bottom w:val="single" w:sz="4" w:space="0" w:color="auto"/>
              <w:right w:val="single" w:sz="4" w:space="0" w:color="auto"/>
            </w:tcBorders>
            <w:shd w:val="clear" w:color="auto" w:fill="auto"/>
            <w:vAlign w:val="center"/>
            <w:hideMark/>
          </w:tcPr>
          <w:p w14:paraId="6B1B9D77" w14:textId="6DF0904C" w:rsidR="006F12FE" w:rsidRPr="00EB0C51" w:rsidRDefault="00E912C5" w:rsidP="002058A0">
            <w:pPr>
              <w:jc w:val="both"/>
              <w:rPr>
                <w:rFonts w:cs="Arial"/>
                <w:color w:val="000000"/>
                <w:sz w:val="20"/>
                <w:szCs w:val="20"/>
                <w:lang w:eastAsia="es-CO"/>
              </w:rPr>
            </w:pPr>
            <w:r w:rsidRPr="00EB0C51">
              <w:rPr>
                <w:rFonts w:cs="Arial"/>
                <w:color w:val="000000"/>
                <w:sz w:val="20"/>
                <w:szCs w:val="20"/>
                <w:lang w:eastAsia="es-CO"/>
              </w:rPr>
              <w:t xml:space="preserve">Según lo reportado por el responsable, </w:t>
            </w:r>
            <w:r w:rsidR="00DA784D" w:rsidRPr="00EB0C51">
              <w:rPr>
                <w:rFonts w:cs="Arial"/>
                <w:color w:val="000000"/>
                <w:sz w:val="20"/>
                <w:szCs w:val="20"/>
                <w:lang w:eastAsia="es-CO"/>
              </w:rPr>
              <w:t xml:space="preserve">a junio de 2021 </w:t>
            </w:r>
            <w:r w:rsidR="006F12FE" w:rsidRPr="00EB0C51">
              <w:rPr>
                <w:rFonts w:cs="Arial"/>
                <w:color w:val="000000"/>
                <w:sz w:val="20"/>
                <w:szCs w:val="20"/>
                <w:lang w:eastAsia="es-CO"/>
              </w:rPr>
              <w:t>se han ejecutado recursos para el financiamiento del pasivo por concepto de mesadas pensionales del Hospital San Juan de Dios de Bogotá conforme la sentencia SU 484 de 2008. De igual manera</w:t>
            </w:r>
            <w:r w:rsidR="00DA784D" w:rsidRPr="00EB0C51">
              <w:rPr>
                <w:rFonts w:cs="Arial"/>
                <w:color w:val="000000"/>
                <w:sz w:val="20"/>
                <w:szCs w:val="20"/>
                <w:lang w:eastAsia="es-CO"/>
              </w:rPr>
              <w:t>,</w:t>
            </w:r>
            <w:r w:rsidR="006F12FE" w:rsidRPr="00EB0C51">
              <w:rPr>
                <w:rFonts w:cs="Arial"/>
                <w:color w:val="000000"/>
                <w:sz w:val="20"/>
                <w:szCs w:val="20"/>
                <w:lang w:eastAsia="es-CO"/>
              </w:rPr>
              <w:t xml:space="preserve"> se </w:t>
            </w:r>
            <w:r w:rsidR="00DA784D" w:rsidRPr="00EB0C51">
              <w:rPr>
                <w:rFonts w:cs="Arial"/>
                <w:color w:val="000000"/>
                <w:sz w:val="20"/>
                <w:szCs w:val="20"/>
                <w:lang w:eastAsia="es-CO"/>
              </w:rPr>
              <w:t>realizaron</w:t>
            </w:r>
            <w:r w:rsidR="006F12FE" w:rsidRPr="00EB0C51">
              <w:rPr>
                <w:rFonts w:cs="Arial"/>
                <w:color w:val="000000"/>
                <w:sz w:val="20"/>
                <w:szCs w:val="20"/>
                <w:lang w:eastAsia="es-CO"/>
              </w:rPr>
              <w:t xml:space="preserve">  gestiones</w:t>
            </w:r>
            <w:r w:rsidR="00FC4A6C" w:rsidRPr="00EB0C51">
              <w:rPr>
                <w:rFonts w:cs="Arial"/>
                <w:color w:val="000000"/>
                <w:sz w:val="20"/>
                <w:szCs w:val="20"/>
                <w:lang w:eastAsia="es-CO"/>
              </w:rPr>
              <w:t xml:space="preserve"> </w:t>
            </w:r>
            <w:r w:rsidR="006F12FE" w:rsidRPr="00EB0C51">
              <w:rPr>
                <w:rFonts w:cs="Arial"/>
                <w:color w:val="000000"/>
                <w:sz w:val="20"/>
                <w:szCs w:val="20"/>
                <w:lang w:eastAsia="es-CO"/>
              </w:rPr>
              <w:t xml:space="preserve">para la financiación del pasivo del sector salud conforme la Ley 715 de 2001 </w:t>
            </w:r>
            <w:r w:rsidR="00FC4A6C" w:rsidRPr="00EB0C51">
              <w:rPr>
                <w:rFonts w:cs="Arial"/>
                <w:color w:val="000000"/>
                <w:sz w:val="20"/>
                <w:szCs w:val="20"/>
                <w:lang w:eastAsia="es-CO"/>
              </w:rPr>
              <w:t>a fin de</w:t>
            </w:r>
            <w:r w:rsidR="006F12FE" w:rsidRPr="00EB0C51">
              <w:rPr>
                <w:rFonts w:cs="Arial"/>
                <w:color w:val="000000"/>
                <w:sz w:val="20"/>
                <w:szCs w:val="20"/>
                <w:lang w:eastAsia="es-CO"/>
              </w:rPr>
              <w:t xml:space="preserve"> lograr la ejecución de los recursos asignados, se espera </w:t>
            </w:r>
            <w:r w:rsidR="00FC4A6C" w:rsidRPr="00EB0C51">
              <w:rPr>
                <w:rFonts w:cs="Arial"/>
                <w:color w:val="000000"/>
                <w:sz w:val="20"/>
                <w:szCs w:val="20"/>
                <w:lang w:eastAsia="es-CO"/>
              </w:rPr>
              <w:t xml:space="preserve">efectuar </w:t>
            </w:r>
            <w:r w:rsidR="006F12FE" w:rsidRPr="00EB0C51">
              <w:rPr>
                <w:rFonts w:cs="Arial"/>
                <w:color w:val="000000"/>
                <w:sz w:val="20"/>
                <w:szCs w:val="20"/>
                <w:lang w:eastAsia="es-CO"/>
              </w:rPr>
              <w:t>la ejecución del 100% de los recursos durante el cuarto trimestre del año.</w:t>
            </w:r>
          </w:p>
        </w:tc>
      </w:tr>
      <w:tr w:rsidR="006F12FE" w:rsidRPr="00EB0C51" w14:paraId="452FCC6F" w14:textId="77777777" w:rsidTr="001F72EB">
        <w:trPr>
          <w:trHeight w:val="102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797594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25</w:t>
            </w:r>
          </w:p>
        </w:tc>
        <w:tc>
          <w:tcPr>
            <w:tcW w:w="2588" w:type="dxa"/>
            <w:tcBorders>
              <w:top w:val="nil"/>
              <w:left w:val="nil"/>
              <w:bottom w:val="single" w:sz="4" w:space="0" w:color="auto"/>
              <w:right w:val="single" w:sz="4" w:space="0" w:color="auto"/>
            </w:tcBorders>
            <w:shd w:val="clear" w:color="auto" w:fill="auto"/>
            <w:vAlign w:val="center"/>
            <w:hideMark/>
          </w:tcPr>
          <w:p w14:paraId="7449803D"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Sentencias</w:t>
            </w:r>
          </w:p>
        </w:tc>
        <w:tc>
          <w:tcPr>
            <w:tcW w:w="2153" w:type="dxa"/>
            <w:tcBorders>
              <w:top w:val="nil"/>
              <w:left w:val="nil"/>
              <w:bottom w:val="single" w:sz="4" w:space="0" w:color="auto"/>
              <w:right w:val="single" w:sz="4" w:space="0" w:color="auto"/>
            </w:tcBorders>
            <w:shd w:val="clear" w:color="auto" w:fill="auto"/>
            <w:vAlign w:val="center"/>
            <w:hideMark/>
          </w:tcPr>
          <w:p w14:paraId="42C996E0"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Jurídica</w:t>
            </w:r>
          </w:p>
        </w:tc>
        <w:tc>
          <w:tcPr>
            <w:tcW w:w="1847" w:type="dxa"/>
            <w:tcBorders>
              <w:top w:val="nil"/>
              <w:left w:val="nil"/>
              <w:bottom w:val="single" w:sz="4" w:space="0" w:color="auto"/>
              <w:right w:val="single" w:sz="4" w:space="0" w:color="auto"/>
            </w:tcBorders>
            <w:shd w:val="clear" w:color="auto" w:fill="auto"/>
            <w:noWrap/>
            <w:vAlign w:val="center"/>
            <w:hideMark/>
          </w:tcPr>
          <w:p w14:paraId="4AADECCF"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515.000.000</w:t>
            </w:r>
          </w:p>
        </w:tc>
        <w:tc>
          <w:tcPr>
            <w:tcW w:w="1452" w:type="dxa"/>
            <w:tcBorders>
              <w:top w:val="nil"/>
              <w:left w:val="nil"/>
              <w:bottom w:val="single" w:sz="4" w:space="0" w:color="auto"/>
              <w:right w:val="single" w:sz="4" w:space="0" w:color="auto"/>
            </w:tcBorders>
            <w:shd w:val="clear" w:color="auto" w:fill="auto"/>
            <w:noWrap/>
            <w:vAlign w:val="center"/>
            <w:hideMark/>
          </w:tcPr>
          <w:p w14:paraId="0D62AE7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4%</w:t>
            </w:r>
          </w:p>
        </w:tc>
        <w:tc>
          <w:tcPr>
            <w:tcW w:w="1086" w:type="dxa"/>
            <w:tcBorders>
              <w:top w:val="nil"/>
              <w:left w:val="nil"/>
              <w:bottom w:val="single" w:sz="4" w:space="0" w:color="auto"/>
              <w:right w:val="single" w:sz="4" w:space="0" w:color="auto"/>
            </w:tcBorders>
            <w:shd w:val="clear" w:color="auto" w:fill="auto"/>
            <w:noWrap/>
            <w:vAlign w:val="center"/>
            <w:hideMark/>
          </w:tcPr>
          <w:p w14:paraId="1DCB1ED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4%</w:t>
            </w:r>
          </w:p>
        </w:tc>
        <w:tc>
          <w:tcPr>
            <w:tcW w:w="608" w:type="dxa"/>
            <w:tcBorders>
              <w:top w:val="nil"/>
              <w:left w:val="nil"/>
              <w:bottom w:val="single" w:sz="4" w:space="0" w:color="auto"/>
              <w:right w:val="single" w:sz="4" w:space="0" w:color="auto"/>
            </w:tcBorders>
            <w:shd w:val="clear" w:color="auto" w:fill="auto"/>
            <w:noWrap/>
            <w:vAlign w:val="center"/>
            <w:hideMark/>
          </w:tcPr>
          <w:p w14:paraId="1469CB6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4%</w:t>
            </w:r>
          </w:p>
        </w:tc>
        <w:tc>
          <w:tcPr>
            <w:tcW w:w="5328" w:type="dxa"/>
            <w:tcBorders>
              <w:top w:val="nil"/>
              <w:left w:val="nil"/>
              <w:bottom w:val="single" w:sz="4" w:space="0" w:color="auto"/>
              <w:right w:val="single" w:sz="4" w:space="0" w:color="auto"/>
            </w:tcBorders>
            <w:shd w:val="clear" w:color="auto" w:fill="auto"/>
            <w:vAlign w:val="center"/>
            <w:hideMark/>
          </w:tcPr>
          <w:p w14:paraId="39AD3750" w14:textId="69C105FE" w:rsidR="006F12FE" w:rsidRPr="00EB0C51" w:rsidRDefault="00196E51" w:rsidP="002058A0">
            <w:pPr>
              <w:jc w:val="both"/>
              <w:rPr>
                <w:rFonts w:cs="Arial"/>
                <w:color w:val="000000"/>
                <w:sz w:val="20"/>
                <w:szCs w:val="20"/>
                <w:lang w:eastAsia="es-CO"/>
              </w:rPr>
            </w:pPr>
            <w:r w:rsidRPr="00EB0C51">
              <w:rPr>
                <w:rFonts w:cs="Arial"/>
                <w:color w:val="000000"/>
                <w:sz w:val="20"/>
                <w:szCs w:val="20"/>
                <w:lang w:eastAsia="es-CO"/>
              </w:rPr>
              <w:t xml:space="preserve">Conforme lo manifestado el responsable, si bien </w:t>
            </w:r>
            <w:r w:rsidR="006F12FE" w:rsidRPr="00EB0C51">
              <w:rPr>
                <w:rFonts w:cs="Arial"/>
                <w:color w:val="000000"/>
                <w:sz w:val="20"/>
                <w:szCs w:val="20"/>
                <w:lang w:eastAsia="es-CO"/>
              </w:rPr>
              <w:t>la ejecución de</w:t>
            </w:r>
            <w:r w:rsidRPr="00EB0C51">
              <w:rPr>
                <w:rFonts w:cs="Arial"/>
                <w:color w:val="000000"/>
                <w:sz w:val="20"/>
                <w:szCs w:val="20"/>
                <w:lang w:eastAsia="es-CO"/>
              </w:rPr>
              <w:t xml:space="preserve">l </w:t>
            </w:r>
            <w:r w:rsidR="006F12FE" w:rsidRPr="00EB0C51">
              <w:rPr>
                <w:rFonts w:cs="Arial"/>
                <w:color w:val="000000"/>
                <w:sz w:val="20"/>
                <w:szCs w:val="20"/>
                <w:lang w:eastAsia="es-CO"/>
              </w:rPr>
              <w:t>rubro est</w:t>
            </w:r>
            <w:r w:rsidRPr="00EB0C51">
              <w:rPr>
                <w:rFonts w:cs="Arial"/>
                <w:color w:val="000000"/>
                <w:sz w:val="20"/>
                <w:szCs w:val="20"/>
                <w:lang w:eastAsia="es-CO"/>
              </w:rPr>
              <w:t>á</w:t>
            </w:r>
            <w:r w:rsidR="006F12FE" w:rsidRPr="00EB0C51">
              <w:rPr>
                <w:rFonts w:cs="Arial"/>
                <w:color w:val="000000"/>
                <w:sz w:val="20"/>
                <w:szCs w:val="20"/>
                <w:lang w:eastAsia="es-CO"/>
              </w:rPr>
              <w:t xml:space="preserve"> sujet</w:t>
            </w:r>
            <w:r w:rsidRPr="00EB0C51">
              <w:rPr>
                <w:rFonts w:cs="Arial"/>
                <w:color w:val="000000"/>
                <w:sz w:val="20"/>
                <w:szCs w:val="20"/>
                <w:lang w:eastAsia="es-CO"/>
              </w:rPr>
              <w:t>a</w:t>
            </w:r>
            <w:r w:rsidR="006F12FE" w:rsidRPr="00EB0C51">
              <w:rPr>
                <w:rFonts w:cs="Arial"/>
                <w:color w:val="000000"/>
                <w:sz w:val="20"/>
                <w:szCs w:val="20"/>
                <w:lang w:eastAsia="es-CO"/>
              </w:rPr>
              <w:t xml:space="preserve"> a decisiones de terceros, se </w:t>
            </w:r>
            <w:r w:rsidRPr="00EB0C51">
              <w:rPr>
                <w:rFonts w:cs="Arial"/>
                <w:color w:val="000000"/>
                <w:sz w:val="20"/>
                <w:szCs w:val="20"/>
                <w:lang w:eastAsia="es-CO"/>
              </w:rPr>
              <w:t>prevé</w:t>
            </w:r>
            <w:r w:rsidR="006F12FE" w:rsidRPr="00EB0C51">
              <w:rPr>
                <w:rFonts w:cs="Arial"/>
                <w:color w:val="000000"/>
                <w:sz w:val="20"/>
                <w:szCs w:val="20"/>
                <w:lang w:eastAsia="es-CO"/>
              </w:rPr>
              <w:t xml:space="preserve"> que el MHCP </w:t>
            </w:r>
            <w:r w:rsidR="004F3620" w:rsidRPr="00EB0C51">
              <w:rPr>
                <w:rFonts w:cs="Arial"/>
                <w:color w:val="000000"/>
                <w:sz w:val="20"/>
                <w:szCs w:val="20"/>
                <w:lang w:eastAsia="es-CO"/>
              </w:rPr>
              <w:t>debe</w:t>
            </w:r>
            <w:r w:rsidR="006F12FE" w:rsidRPr="00EB0C51">
              <w:rPr>
                <w:rFonts w:cs="Arial"/>
                <w:color w:val="000000"/>
                <w:sz w:val="20"/>
                <w:szCs w:val="20"/>
                <w:lang w:eastAsia="es-CO"/>
              </w:rPr>
              <w:t xml:space="preserve"> dar </w:t>
            </w:r>
            <w:r w:rsidR="004F3620" w:rsidRPr="00EB0C51">
              <w:rPr>
                <w:rFonts w:cs="Arial"/>
                <w:color w:val="000000"/>
                <w:sz w:val="20"/>
                <w:szCs w:val="20"/>
                <w:lang w:eastAsia="es-CO"/>
              </w:rPr>
              <w:t>cumplimiento</w:t>
            </w:r>
            <w:r w:rsidR="006F12FE" w:rsidRPr="00EB0C51">
              <w:rPr>
                <w:rFonts w:cs="Arial"/>
                <w:color w:val="000000"/>
                <w:sz w:val="20"/>
                <w:szCs w:val="20"/>
                <w:lang w:eastAsia="es-CO"/>
              </w:rPr>
              <w:t xml:space="preserve"> en </w:t>
            </w:r>
            <w:r w:rsidR="004F3620" w:rsidRPr="00EB0C51">
              <w:rPr>
                <w:rFonts w:cs="Arial"/>
                <w:color w:val="000000"/>
                <w:sz w:val="20"/>
                <w:szCs w:val="20"/>
                <w:lang w:eastAsia="es-CO"/>
              </w:rPr>
              <w:t xml:space="preserve">2021 </w:t>
            </w:r>
            <w:r w:rsidR="006F12FE" w:rsidRPr="00EB0C51">
              <w:rPr>
                <w:rFonts w:cs="Arial"/>
                <w:color w:val="000000"/>
                <w:sz w:val="20"/>
                <w:szCs w:val="20"/>
                <w:lang w:eastAsia="es-CO"/>
              </w:rPr>
              <w:t xml:space="preserve"> a un fallo </w:t>
            </w:r>
            <w:r w:rsidR="004F3620" w:rsidRPr="00EB0C51">
              <w:rPr>
                <w:rFonts w:cs="Arial"/>
                <w:color w:val="000000"/>
                <w:sz w:val="20"/>
                <w:szCs w:val="20"/>
                <w:lang w:eastAsia="es-CO"/>
              </w:rPr>
              <w:t>judicial</w:t>
            </w:r>
            <w:r w:rsidR="006F12FE" w:rsidRPr="00EB0C51">
              <w:rPr>
                <w:rFonts w:cs="Arial"/>
                <w:color w:val="000000"/>
                <w:sz w:val="20"/>
                <w:szCs w:val="20"/>
                <w:lang w:eastAsia="es-CO"/>
              </w:rPr>
              <w:t xml:space="preserve"> que versa sobre un </w:t>
            </w:r>
            <w:r w:rsidR="004F3620" w:rsidRPr="00EB0C51">
              <w:rPr>
                <w:rFonts w:cs="Arial"/>
                <w:color w:val="000000"/>
                <w:sz w:val="20"/>
                <w:szCs w:val="20"/>
                <w:lang w:eastAsia="es-CO"/>
              </w:rPr>
              <w:t>cálculo</w:t>
            </w:r>
            <w:r w:rsidR="006F12FE" w:rsidRPr="00EB0C51">
              <w:rPr>
                <w:rFonts w:cs="Arial"/>
                <w:color w:val="000000"/>
                <w:sz w:val="20"/>
                <w:szCs w:val="20"/>
                <w:lang w:eastAsia="es-CO"/>
              </w:rPr>
              <w:t xml:space="preserve"> actuarial cuyo monto puede superar lo </w:t>
            </w:r>
            <w:r w:rsidR="004F3620" w:rsidRPr="00EB0C51">
              <w:rPr>
                <w:rFonts w:cs="Arial"/>
                <w:color w:val="000000"/>
                <w:sz w:val="20"/>
                <w:szCs w:val="20"/>
                <w:lang w:eastAsia="es-CO"/>
              </w:rPr>
              <w:t>inicialmente</w:t>
            </w:r>
            <w:r w:rsidR="006F12FE" w:rsidRPr="00EB0C51">
              <w:rPr>
                <w:rFonts w:cs="Arial"/>
                <w:color w:val="000000"/>
                <w:sz w:val="20"/>
                <w:szCs w:val="20"/>
                <w:lang w:eastAsia="es-CO"/>
              </w:rPr>
              <w:t xml:space="preserve"> </w:t>
            </w:r>
            <w:r w:rsidR="004F3620" w:rsidRPr="00EB0C51">
              <w:rPr>
                <w:rFonts w:cs="Arial"/>
                <w:color w:val="000000"/>
                <w:sz w:val="20"/>
                <w:szCs w:val="20"/>
                <w:lang w:eastAsia="es-CO"/>
              </w:rPr>
              <w:t>apropiado, toda vez que asciende</w:t>
            </w:r>
            <w:r w:rsidR="006F12FE" w:rsidRPr="00EB0C51">
              <w:rPr>
                <w:rFonts w:cs="Arial"/>
                <w:color w:val="000000"/>
                <w:sz w:val="20"/>
                <w:szCs w:val="20"/>
                <w:lang w:eastAsia="es-CO"/>
              </w:rPr>
              <w:t xml:space="preserve"> la suma a $600.0000.000. Una vez que se cuente con información precisa sobre los valores a pagar </w:t>
            </w:r>
            <w:r w:rsidR="00072D3D" w:rsidRPr="00EB0C51">
              <w:rPr>
                <w:rFonts w:cs="Arial"/>
                <w:color w:val="000000"/>
                <w:sz w:val="20"/>
                <w:szCs w:val="20"/>
                <w:lang w:eastAsia="es-CO"/>
              </w:rPr>
              <w:t xml:space="preserve">se realizarán </w:t>
            </w:r>
            <w:r w:rsidR="006F12FE" w:rsidRPr="00EB0C51">
              <w:rPr>
                <w:rFonts w:cs="Arial"/>
                <w:color w:val="000000"/>
                <w:sz w:val="20"/>
                <w:szCs w:val="20"/>
                <w:lang w:eastAsia="es-CO"/>
              </w:rPr>
              <w:t>los tr</w:t>
            </w:r>
            <w:r w:rsidR="00072D3D" w:rsidRPr="00EB0C51">
              <w:rPr>
                <w:rFonts w:cs="Arial"/>
                <w:color w:val="000000"/>
                <w:sz w:val="20"/>
                <w:szCs w:val="20"/>
                <w:lang w:eastAsia="es-CO"/>
              </w:rPr>
              <w:t>á</w:t>
            </w:r>
            <w:r w:rsidR="006F12FE" w:rsidRPr="00EB0C51">
              <w:rPr>
                <w:rFonts w:cs="Arial"/>
                <w:color w:val="000000"/>
                <w:sz w:val="20"/>
                <w:szCs w:val="20"/>
                <w:lang w:eastAsia="es-CO"/>
              </w:rPr>
              <w:t xml:space="preserve">mites a que haya lugar ante la OAP y presupuesto. El valor que </w:t>
            </w:r>
            <w:r w:rsidR="00072D3D" w:rsidRPr="00EB0C51">
              <w:rPr>
                <w:rFonts w:cs="Arial"/>
                <w:color w:val="000000"/>
                <w:sz w:val="20"/>
                <w:szCs w:val="20"/>
                <w:lang w:eastAsia="es-CO"/>
              </w:rPr>
              <w:t>se tiene</w:t>
            </w:r>
            <w:r w:rsidR="006F12FE" w:rsidRPr="00EB0C51">
              <w:rPr>
                <w:rFonts w:cs="Arial"/>
                <w:color w:val="000000"/>
                <w:sz w:val="20"/>
                <w:szCs w:val="20"/>
                <w:lang w:eastAsia="es-CO"/>
              </w:rPr>
              <w:t xml:space="preserve"> registrado en ejecución asciende a la suma de</w:t>
            </w:r>
            <w:r w:rsidR="00072D3D" w:rsidRPr="00EB0C51">
              <w:rPr>
                <w:rFonts w:cs="Arial"/>
                <w:color w:val="000000"/>
                <w:sz w:val="20"/>
                <w:szCs w:val="20"/>
                <w:lang w:eastAsia="es-CO"/>
              </w:rPr>
              <w:t xml:space="preserve"> </w:t>
            </w:r>
            <w:r w:rsidR="006F12FE" w:rsidRPr="00EB0C51">
              <w:rPr>
                <w:rFonts w:cs="Arial"/>
                <w:color w:val="000000"/>
                <w:sz w:val="20"/>
                <w:szCs w:val="20"/>
                <w:lang w:eastAsia="es-CO"/>
              </w:rPr>
              <w:t>$24.095.290</w:t>
            </w:r>
            <w:r w:rsidR="00072D3D" w:rsidRPr="00EB0C51">
              <w:rPr>
                <w:rFonts w:cs="Arial"/>
                <w:color w:val="000000"/>
                <w:sz w:val="20"/>
                <w:szCs w:val="20"/>
                <w:lang w:eastAsia="es-CO"/>
              </w:rPr>
              <w:t xml:space="preserve">. </w:t>
            </w:r>
          </w:p>
        </w:tc>
      </w:tr>
      <w:tr w:rsidR="006F12FE" w:rsidRPr="00EB0C51" w14:paraId="0FDA5A81" w14:textId="77777777" w:rsidTr="001F72EB">
        <w:trPr>
          <w:trHeight w:val="14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5C2860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26</w:t>
            </w:r>
          </w:p>
        </w:tc>
        <w:tc>
          <w:tcPr>
            <w:tcW w:w="2588" w:type="dxa"/>
            <w:tcBorders>
              <w:top w:val="nil"/>
              <w:left w:val="nil"/>
              <w:bottom w:val="single" w:sz="4" w:space="0" w:color="auto"/>
              <w:right w:val="single" w:sz="4" w:space="0" w:color="auto"/>
            </w:tcBorders>
            <w:shd w:val="clear" w:color="auto" w:fill="auto"/>
            <w:vAlign w:val="center"/>
            <w:hideMark/>
          </w:tcPr>
          <w:p w14:paraId="229CB43B"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Fallos Judiciales, Decisiones Cuasijudiciales y Soluciones Amistosas Sistema Interamericano de Derechos Humanos</w:t>
            </w:r>
          </w:p>
        </w:tc>
        <w:tc>
          <w:tcPr>
            <w:tcW w:w="2153" w:type="dxa"/>
            <w:tcBorders>
              <w:top w:val="nil"/>
              <w:left w:val="nil"/>
              <w:bottom w:val="single" w:sz="4" w:space="0" w:color="auto"/>
              <w:right w:val="single" w:sz="4" w:space="0" w:color="auto"/>
            </w:tcBorders>
            <w:shd w:val="clear" w:color="auto" w:fill="auto"/>
            <w:vAlign w:val="center"/>
            <w:hideMark/>
          </w:tcPr>
          <w:p w14:paraId="70BAEE4F"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del Presupuesto Público Nacional - DGPPN</w:t>
            </w:r>
          </w:p>
        </w:tc>
        <w:tc>
          <w:tcPr>
            <w:tcW w:w="1847" w:type="dxa"/>
            <w:tcBorders>
              <w:top w:val="nil"/>
              <w:left w:val="nil"/>
              <w:bottom w:val="single" w:sz="4" w:space="0" w:color="auto"/>
              <w:right w:val="single" w:sz="4" w:space="0" w:color="auto"/>
            </w:tcBorders>
            <w:shd w:val="clear" w:color="auto" w:fill="auto"/>
            <w:noWrap/>
            <w:vAlign w:val="center"/>
            <w:hideMark/>
          </w:tcPr>
          <w:p w14:paraId="4E55335A"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26.926.418.039 </w:t>
            </w:r>
          </w:p>
        </w:tc>
        <w:tc>
          <w:tcPr>
            <w:tcW w:w="1452" w:type="dxa"/>
            <w:tcBorders>
              <w:top w:val="nil"/>
              <w:left w:val="nil"/>
              <w:bottom w:val="single" w:sz="4" w:space="0" w:color="auto"/>
              <w:right w:val="single" w:sz="4" w:space="0" w:color="auto"/>
            </w:tcBorders>
            <w:shd w:val="clear" w:color="auto" w:fill="auto"/>
            <w:noWrap/>
            <w:vAlign w:val="center"/>
            <w:hideMark/>
          </w:tcPr>
          <w:p w14:paraId="359FD7D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0282C4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303732C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50A2C7DD" w14:textId="2DC5EDF8" w:rsidR="006F12FE" w:rsidRPr="00EB0C51" w:rsidRDefault="007977EB" w:rsidP="002058A0">
            <w:pPr>
              <w:jc w:val="both"/>
              <w:rPr>
                <w:rFonts w:cs="Arial"/>
                <w:color w:val="000000"/>
                <w:sz w:val="20"/>
                <w:szCs w:val="20"/>
                <w:lang w:eastAsia="es-CO"/>
              </w:rPr>
            </w:pPr>
            <w:r w:rsidRPr="00EB0C51">
              <w:rPr>
                <w:rFonts w:cs="Arial"/>
                <w:color w:val="000000"/>
                <w:sz w:val="20"/>
                <w:szCs w:val="20"/>
                <w:lang w:eastAsia="es-CO"/>
              </w:rPr>
              <w:t>De acuerdo con lo comentado por el responsable, los recursos asignados al rubro</w:t>
            </w:r>
            <w:r w:rsidR="005A3AF7" w:rsidRPr="00EB0C51">
              <w:rPr>
                <w:rFonts w:cs="Arial"/>
                <w:color w:val="000000"/>
                <w:sz w:val="20"/>
                <w:szCs w:val="20"/>
                <w:lang w:eastAsia="es-CO"/>
              </w:rPr>
              <w:t xml:space="preserve"> </w:t>
            </w:r>
            <w:r w:rsidR="006F12FE" w:rsidRPr="00EB0C51">
              <w:rPr>
                <w:rFonts w:cs="Arial"/>
                <w:color w:val="000000"/>
                <w:sz w:val="20"/>
                <w:szCs w:val="20"/>
                <w:lang w:eastAsia="es-CO"/>
              </w:rPr>
              <w:t>se distribuir</w:t>
            </w:r>
            <w:r w:rsidR="005A3AF7" w:rsidRPr="00EB0C51">
              <w:rPr>
                <w:rFonts w:cs="Arial"/>
                <w:color w:val="000000"/>
                <w:sz w:val="20"/>
                <w:szCs w:val="20"/>
                <w:lang w:eastAsia="es-CO"/>
              </w:rPr>
              <w:t>án</w:t>
            </w:r>
            <w:r w:rsidR="006F12FE" w:rsidRPr="00EB0C51">
              <w:rPr>
                <w:rFonts w:cs="Arial"/>
                <w:color w:val="000000"/>
                <w:sz w:val="20"/>
                <w:szCs w:val="20"/>
                <w:lang w:eastAsia="es-CO"/>
              </w:rPr>
              <w:t xml:space="preserve"> a demanda de las entidades.</w:t>
            </w:r>
          </w:p>
        </w:tc>
      </w:tr>
      <w:tr w:rsidR="006F12FE" w:rsidRPr="00EB0C51" w14:paraId="06545DC1"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6CECBF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27</w:t>
            </w:r>
          </w:p>
        </w:tc>
        <w:tc>
          <w:tcPr>
            <w:tcW w:w="2588" w:type="dxa"/>
            <w:tcBorders>
              <w:top w:val="nil"/>
              <w:left w:val="nil"/>
              <w:bottom w:val="single" w:sz="4" w:space="0" w:color="auto"/>
              <w:right w:val="single" w:sz="4" w:space="0" w:color="auto"/>
            </w:tcBorders>
            <w:shd w:val="clear" w:color="auto" w:fill="auto"/>
            <w:vAlign w:val="center"/>
            <w:hideMark/>
          </w:tcPr>
          <w:p w14:paraId="0672EEE4"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Transferencias a FOGAFIN, Pasivos Contingentes Derivados de la Venta de Acciones Banco Popular y Banco de Colombia . ART 31. Ley 35 de 1993, Decreto 2049 de 1993 y 1118  de 1995</w:t>
            </w:r>
          </w:p>
        </w:tc>
        <w:tc>
          <w:tcPr>
            <w:tcW w:w="2153" w:type="dxa"/>
            <w:tcBorders>
              <w:top w:val="nil"/>
              <w:left w:val="nil"/>
              <w:bottom w:val="single" w:sz="4" w:space="0" w:color="auto"/>
              <w:right w:val="single" w:sz="4" w:space="0" w:color="auto"/>
            </w:tcBorders>
            <w:shd w:val="clear" w:color="auto" w:fill="auto"/>
            <w:vAlign w:val="center"/>
            <w:hideMark/>
          </w:tcPr>
          <w:p w14:paraId="02434A7E"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Financiera</w:t>
            </w:r>
          </w:p>
        </w:tc>
        <w:tc>
          <w:tcPr>
            <w:tcW w:w="1847" w:type="dxa"/>
            <w:tcBorders>
              <w:top w:val="nil"/>
              <w:left w:val="nil"/>
              <w:bottom w:val="single" w:sz="4" w:space="0" w:color="auto"/>
              <w:right w:val="single" w:sz="4" w:space="0" w:color="auto"/>
            </w:tcBorders>
            <w:shd w:val="clear" w:color="auto" w:fill="auto"/>
            <w:noWrap/>
            <w:vAlign w:val="center"/>
            <w:hideMark/>
          </w:tcPr>
          <w:p w14:paraId="6A8D76F2"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1.267.000.000 </w:t>
            </w:r>
          </w:p>
        </w:tc>
        <w:tc>
          <w:tcPr>
            <w:tcW w:w="1452" w:type="dxa"/>
            <w:tcBorders>
              <w:top w:val="nil"/>
              <w:left w:val="nil"/>
              <w:bottom w:val="single" w:sz="4" w:space="0" w:color="auto"/>
              <w:right w:val="single" w:sz="4" w:space="0" w:color="auto"/>
            </w:tcBorders>
            <w:shd w:val="clear" w:color="auto" w:fill="auto"/>
            <w:noWrap/>
            <w:vAlign w:val="center"/>
            <w:hideMark/>
          </w:tcPr>
          <w:p w14:paraId="50192471"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w:t>
            </w:r>
          </w:p>
        </w:tc>
        <w:tc>
          <w:tcPr>
            <w:tcW w:w="1086" w:type="dxa"/>
            <w:tcBorders>
              <w:top w:val="nil"/>
              <w:left w:val="nil"/>
              <w:bottom w:val="single" w:sz="4" w:space="0" w:color="auto"/>
              <w:right w:val="single" w:sz="4" w:space="0" w:color="auto"/>
            </w:tcBorders>
            <w:shd w:val="clear" w:color="auto" w:fill="auto"/>
            <w:noWrap/>
            <w:vAlign w:val="center"/>
            <w:hideMark/>
          </w:tcPr>
          <w:p w14:paraId="6F97DD9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w:t>
            </w:r>
          </w:p>
        </w:tc>
        <w:tc>
          <w:tcPr>
            <w:tcW w:w="608" w:type="dxa"/>
            <w:tcBorders>
              <w:top w:val="nil"/>
              <w:left w:val="nil"/>
              <w:bottom w:val="single" w:sz="4" w:space="0" w:color="auto"/>
              <w:right w:val="single" w:sz="4" w:space="0" w:color="auto"/>
            </w:tcBorders>
            <w:shd w:val="clear" w:color="auto" w:fill="auto"/>
            <w:noWrap/>
            <w:vAlign w:val="center"/>
            <w:hideMark/>
          </w:tcPr>
          <w:p w14:paraId="301BC75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w:t>
            </w:r>
          </w:p>
        </w:tc>
        <w:tc>
          <w:tcPr>
            <w:tcW w:w="5328" w:type="dxa"/>
            <w:tcBorders>
              <w:top w:val="nil"/>
              <w:left w:val="nil"/>
              <w:bottom w:val="single" w:sz="4" w:space="0" w:color="auto"/>
              <w:right w:val="single" w:sz="4" w:space="0" w:color="auto"/>
            </w:tcBorders>
            <w:shd w:val="clear" w:color="auto" w:fill="auto"/>
            <w:vAlign w:val="center"/>
            <w:hideMark/>
          </w:tcPr>
          <w:p w14:paraId="34BB08FB" w14:textId="02E85AA9" w:rsidR="006F12FE" w:rsidRPr="00EB0C51" w:rsidRDefault="006F637A" w:rsidP="002058A0">
            <w:pPr>
              <w:jc w:val="both"/>
              <w:rPr>
                <w:rFonts w:cs="Arial"/>
                <w:color w:val="000000"/>
                <w:sz w:val="20"/>
                <w:szCs w:val="20"/>
                <w:lang w:eastAsia="es-CO"/>
              </w:rPr>
            </w:pPr>
            <w:r w:rsidRPr="00EB0C51">
              <w:rPr>
                <w:rFonts w:cs="Arial"/>
                <w:color w:val="000000"/>
                <w:sz w:val="20"/>
                <w:szCs w:val="20"/>
                <w:lang w:eastAsia="es-CO"/>
              </w:rPr>
              <w:t xml:space="preserve">Según lo manifestado por el responsable, </w:t>
            </w:r>
            <w:r w:rsidR="00811512" w:rsidRPr="00EB0C51">
              <w:rPr>
                <w:rFonts w:cs="Arial"/>
                <w:color w:val="000000"/>
                <w:sz w:val="20"/>
                <w:szCs w:val="20"/>
                <w:lang w:eastAsia="es-CO"/>
              </w:rPr>
              <w:t>l</w:t>
            </w:r>
            <w:r w:rsidR="006F12FE" w:rsidRPr="00EB0C51">
              <w:rPr>
                <w:rFonts w:cs="Arial"/>
                <w:color w:val="000000"/>
                <w:sz w:val="20"/>
                <w:szCs w:val="20"/>
                <w:lang w:eastAsia="es-CO"/>
              </w:rPr>
              <w:t xml:space="preserve">a ejecución de </w:t>
            </w:r>
            <w:r w:rsidR="00811512" w:rsidRPr="00EB0C51">
              <w:rPr>
                <w:rFonts w:cs="Arial"/>
                <w:color w:val="000000"/>
                <w:sz w:val="20"/>
                <w:szCs w:val="20"/>
                <w:lang w:eastAsia="es-CO"/>
              </w:rPr>
              <w:t>los</w:t>
            </w:r>
            <w:r w:rsidR="006F12FE" w:rsidRPr="00EB0C51">
              <w:rPr>
                <w:rFonts w:cs="Arial"/>
                <w:color w:val="000000"/>
                <w:sz w:val="20"/>
                <w:szCs w:val="20"/>
                <w:lang w:eastAsia="es-CO"/>
              </w:rPr>
              <w:t xml:space="preserve"> recursos se da en aplicación de lo dispuesto en el artículo 31 de la Ley 35 de 1993, los Decretos 2049 de 1993 y 1118 de 1995 y los contratos de mandato suscritos entre el Ministerio y FOGAFIN. El ritmo de ejecución depende de los pasivos contingentes que se hacen exigibles, previa verificación y presentación de las cuentas de cobro por parte de FOGAFIN.</w:t>
            </w:r>
          </w:p>
        </w:tc>
      </w:tr>
      <w:tr w:rsidR="006F12FE" w:rsidRPr="00EB0C51" w14:paraId="2BE5B686"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D9D5D0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28</w:t>
            </w:r>
          </w:p>
        </w:tc>
        <w:tc>
          <w:tcPr>
            <w:tcW w:w="2588" w:type="dxa"/>
            <w:tcBorders>
              <w:top w:val="nil"/>
              <w:left w:val="nil"/>
              <w:bottom w:val="single" w:sz="4" w:space="0" w:color="auto"/>
              <w:right w:val="single" w:sz="4" w:space="0" w:color="auto"/>
            </w:tcBorders>
            <w:shd w:val="clear" w:color="auto" w:fill="auto"/>
            <w:vAlign w:val="center"/>
            <w:hideMark/>
          </w:tcPr>
          <w:p w14:paraId="49078E71"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Cuota de Fiscalización y Auditaje</w:t>
            </w:r>
          </w:p>
        </w:tc>
        <w:tc>
          <w:tcPr>
            <w:tcW w:w="2153" w:type="dxa"/>
            <w:tcBorders>
              <w:top w:val="nil"/>
              <w:left w:val="nil"/>
              <w:bottom w:val="single" w:sz="4" w:space="0" w:color="auto"/>
              <w:right w:val="single" w:sz="4" w:space="0" w:color="auto"/>
            </w:tcBorders>
            <w:shd w:val="clear" w:color="auto" w:fill="auto"/>
            <w:vAlign w:val="center"/>
            <w:hideMark/>
          </w:tcPr>
          <w:p w14:paraId="41F07345"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Subdirección Financiera</w:t>
            </w:r>
          </w:p>
        </w:tc>
        <w:tc>
          <w:tcPr>
            <w:tcW w:w="1847" w:type="dxa"/>
            <w:tcBorders>
              <w:top w:val="nil"/>
              <w:left w:val="nil"/>
              <w:bottom w:val="single" w:sz="4" w:space="0" w:color="auto"/>
              <w:right w:val="single" w:sz="4" w:space="0" w:color="auto"/>
            </w:tcBorders>
            <w:shd w:val="clear" w:color="auto" w:fill="auto"/>
            <w:noWrap/>
            <w:vAlign w:val="center"/>
            <w:hideMark/>
          </w:tcPr>
          <w:p w14:paraId="4082FF53"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108.740.000.000</w:t>
            </w:r>
          </w:p>
        </w:tc>
        <w:tc>
          <w:tcPr>
            <w:tcW w:w="1452" w:type="dxa"/>
            <w:tcBorders>
              <w:top w:val="nil"/>
              <w:left w:val="nil"/>
              <w:bottom w:val="single" w:sz="4" w:space="0" w:color="auto"/>
              <w:right w:val="single" w:sz="4" w:space="0" w:color="auto"/>
            </w:tcBorders>
            <w:shd w:val="clear" w:color="auto" w:fill="auto"/>
            <w:noWrap/>
            <w:vAlign w:val="center"/>
            <w:hideMark/>
          </w:tcPr>
          <w:p w14:paraId="7C89E42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1026D3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6524573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3E3254A3" w14:textId="50D099EF" w:rsidR="006F12FE" w:rsidRPr="00EB0C51" w:rsidRDefault="00CB41D3" w:rsidP="002058A0">
            <w:pPr>
              <w:jc w:val="both"/>
              <w:rPr>
                <w:rFonts w:cs="Arial"/>
                <w:color w:val="000000"/>
                <w:sz w:val="20"/>
                <w:szCs w:val="20"/>
                <w:lang w:eastAsia="es-CO"/>
              </w:rPr>
            </w:pPr>
            <w:r w:rsidRPr="00EB0C51">
              <w:rPr>
                <w:rFonts w:cs="Arial"/>
                <w:color w:val="000000"/>
                <w:sz w:val="20"/>
                <w:szCs w:val="20"/>
                <w:lang w:eastAsia="es-CO"/>
              </w:rPr>
              <w:t>De acuerdo con lo expuesto por el responsable,</w:t>
            </w:r>
            <w:r w:rsidR="009C6526" w:rsidRPr="00EB0C51">
              <w:rPr>
                <w:rFonts w:cs="Arial"/>
                <w:color w:val="000000"/>
                <w:sz w:val="20"/>
                <w:szCs w:val="20"/>
                <w:lang w:eastAsia="es-CO"/>
              </w:rPr>
              <w:t xml:space="preserve"> e</w:t>
            </w:r>
            <w:r w:rsidR="006F12FE" w:rsidRPr="00EB0C51">
              <w:rPr>
                <w:rFonts w:cs="Arial"/>
                <w:color w:val="000000"/>
                <w:sz w:val="20"/>
                <w:szCs w:val="20"/>
                <w:lang w:eastAsia="es-CO"/>
              </w:rPr>
              <w:t xml:space="preserve">n aplicación de lo dispuesto en el artículo 4 de la Ley 106 de 1993 y el artículo 137 de la Ley 1955 de 2019, la ejecución de </w:t>
            </w:r>
            <w:r w:rsidR="00AC2D94" w:rsidRPr="00EB0C51">
              <w:rPr>
                <w:rFonts w:cs="Arial"/>
                <w:color w:val="000000"/>
                <w:sz w:val="20"/>
                <w:szCs w:val="20"/>
                <w:lang w:eastAsia="es-CO"/>
              </w:rPr>
              <w:t>los</w:t>
            </w:r>
            <w:r w:rsidR="006F12FE" w:rsidRPr="00EB0C51">
              <w:rPr>
                <w:rFonts w:cs="Arial"/>
                <w:color w:val="000000"/>
                <w:sz w:val="20"/>
                <w:szCs w:val="20"/>
                <w:lang w:eastAsia="es-CO"/>
              </w:rPr>
              <w:t xml:space="preserve"> recursos depende de la emisión del acto administrativo mediante el cual se fija la cuota de fiscalización y </w:t>
            </w:r>
            <w:r w:rsidR="009C47D5" w:rsidRPr="00EB0C51">
              <w:rPr>
                <w:rFonts w:cs="Arial"/>
                <w:color w:val="000000"/>
                <w:sz w:val="20"/>
                <w:szCs w:val="20"/>
                <w:lang w:eastAsia="es-CO"/>
              </w:rPr>
              <w:t>auditaje</w:t>
            </w:r>
            <w:r w:rsidR="006F12FE" w:rsidRPr="00EB0C51">
              <w:rPr>
                <w:rFonts w:cs="Arial"/>
                <w:color w:val="000000"/>
                <w:sz w:val="20"/>
                <w:szCs w:val="20"/>
                <w:lang w:eastAsia="es-CO"/>
              </w:rPr>
              <w:t xml:space="preserve"> por parte de la C</w:t>
            </w:r>
            <w:r w:rsidR="009C47D5" w:rsidRPr="00EB0C51">
              <w:rPr>
                <w:rFonts w:cs="Arial"/>
                <w:color w:val="000000"/>
                <w:sz w:val="20"/>
                <w:szCs w:val="20"/>
                <w:lang w:eastAsia="es-CO"/>
              </w:rPr>
              <w:t>ontraloría General de la República C</w:t>
            </w:r>
            <w:r w:rsidR="006F12FE" w:rsidRPr="00EB0C51">
              <w:rPr>
                <w:rFonts w:cs="Arial"/>
                <w:color w:val="000000"/>
                <w:sz w:val="20"/>
                <w:szCs w:val="20"/>
                <w:lang w:eastAsia="es-CO"/>
              </w:rPr>
              <w:t>GR en cada vigenci</w:t>
            </w:r>
            <w:r w:rsidR="009C47D5" w:rsidRPr="00EB0C51">
              <w:rPr>
                <w:rFonts w:cs="Arial"/>
                <w:color w:val="000000"/>
                <w:sz w:val="20"/>
                <w:szCs w:val="20"/>
                <w:lang w:eastAsia="es-CO"/>
              </w:rPr>
              <w:t>a</w:t>
            </w:r>
            <w:r w:rsidR="006F12FE" w:rsidRPr="00EB0C51">
              <w:rPr>
                <w:rFonts w:cs="Arial"/>
                <w:color w:val="000000"/>
                <w:sz w:val="20"/>
                <w:szCs w:val="20"/>
                <w:lang w:eastAsia="es-CO"/>
              </w:rPr>
              <w:t xml:space="preserve"> fiscal, la ejecución de </w:t>
            </w:r>
            <w:r w:rsidR="00250EE1" w:rsidRPr="00EB0C51">
              <w:rPr>
                <w:rFonts w:cs="Arial"/>
                <w:color w:val="000000"/>
                <w:sz w:val="20"/>
                <w:szCs w:val="20"/>
                <w:lang w:eastAsia="es-CO"/>
              </w:rPr>
              <w:t>dichos</w:t>
            </w:r>
            <w:r w:rsidR="006F12FE" w:rsidRPr="00EB0C51">
              <w:rPr>
                <w:rFonts w:cs="Arial"/>
                <w:color w:val="000000"/>
                <w:sz w:val="20"/>
                <w:szCs w:val="20"/>
                <w:lang w:eastAsia="es-CO"/>
              </w:rPr>
              <w:t xml:space="preserve"> recursos s</w:t>
            </w:r>
            <w:r w:rsidR="00B54668" w:rsidRPr="00EB0C51">
              <w:rPr>
                <w:rFonts w:cs="Arial"/>
                <w:color w:val="000000"/>
                <w:sz w:val="20"/>
                <w:szCs w:val="20"/>
                <w:lang w:eastAsia="es-CO"/>
              </w:rPr>
              <w:t xml:space="preserve">e realiza </w:t>
            </w:r>
            <w:r w:rsidR="006F12FE" w:rsidRPr="00EB0C51">
              <w:rPr>
                <w:rFonts w:cs="Arial"/>
                <w:color w:val="000000"/>
                <w:sz w:val="20"/>
                <w:szCs w:val="20"/>
                <w:lang w:eastAsia="es-CO"/>
              </w:rPr>
              <w:t>en el segundo semestre del año.</w:t>
            </w:r>
          </w:p>
        </w:tc>
      </w:tr>
      <w:tr w:rsidR="006F12FE" w:rsidRPr="00EB0C51" w14:paraId="4EBBF040" w14:textId="77777777" w:rsidTr="001F72EB">
        <w:trPr>
          <w:trHeight w:val="1793"/>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2820707F" w14:textId="77777777" w:rsidR="000342E8" w:rsidRPr="00EB0C51" w:rsidRDefault="000342E8" w:rsidP="002058A0">
            <w:pPr>
              <w:jc w:val="center"/>
              <w:rPr>
                <w:rFonts w:cs="Arial"/>
                <w:color w:val="000000"/>
                <w:sz w:val="20"/>
                <w:szCs w:val="20"/>
                <w:lang w:eastAsia="es-CO"/>
              </w:rPr>
            </w:pPr>
          </w:p>
          <w:p w14:paraId="333B6DAD" w14:textId="77777777" w:rsidR="000342E8" w:rsidRPr="00EB0C51" w:rsidRDefault="000342E8" w:rsidP="002058A0">
            <w:pPr>
              <w:jc w:val="center"/>
              <w:rPr>
                <w:rFonts w:cs="Arial"/>
                <w:color w:val="000000"/>
                <w:sz w:val="20"/>
                <w:szCs w:val="20"/>
                <w:lang w:eastAsia="es-CO"/>
              </w:rPr>
            </w:pPr>
          </w:p>
          <w:p w14:paraId="2635AF70" w14:textId="77777777" w:rsidR="000342E8" w:rsidRPr="00EB0C51" w:rsidRDefault="000342E8" w:rsidP="002058A0">
            <w:pPr>
              <w:jc w:val="center"/>
              <w:rPr>
                <w:rFonts w:cs="Arial"/>
                <w:color w:val="000000"/>
                <w:sz w:val="20"/>
                <w:szCs w:val="20"/>
                <w:lang w:eastAsia="es-CO"/>
              </w:rPr>
            </w:pPr>
          </w:p>
          <w:p w14:paraId="0C842227" w14:textId="77777777" w:rsidR="000342E8" w:rsidRPr="00EB0C51" w:rsidRDefault="000342E8" w:rsidP="002058A0">
            <w:pPr>
              <w:jc w:val="center"/>
              <w:rPr>
                <w:rFonts w:cs="Arial"/>
                <w:color w:val="000000"/>
                <w:sz w:val="20"/>
                <w:szCs w:val="20"/>
                <w:lang w:eastAsia="es-CO"/>
              </w:rPr>
            </w:pPr>
          </w:p>
          <w:p w14:paraId="70233F32" w14:textId="77777777" w:rsidR="000342E8" w:rsidRPr="00EB0C51" w:rsidRDefault="000342E8" w:rsidP="002058A0">
            <w:pPr>
              <w:jc w:val="center"/>
              <w:rPr>
                <w:rFonts w:cs="Arial"/>
                <w:color w:val="000000"/>
                <w:sz w:val="20"/>
                <w:szCs w:val="20"/>
                <w:lang w:eastAsia="es-CO"/>
              </w:rPr>
            </w:pPr>
          </w:p>
          <w:p w14:paraId="0F395BD8" w14:textId="77777777" w:rsidR="000342E8" w:rsidRPr="00EB0C51" w:rsidRDefault="000342E8" w:rsidP="002058A0">
            <w:pPr>
              <w:jc w:val="center"/>
              <w:rPr>
                <w:rFonts w:cs="Arial"/>
                <w:color w:val="000000"/>
                <w:sz w:val="20"/>
                <w:szCs w:val="20"/>
                <w:lang w:eastAsia="es-CO"/>
              </w:rPr>
            </w:pPr>
          </w:p>
          <w:p w14:paraId="600AEA85" w14:textId="77777777" w:rsidR="000342E8" w:rsidRPr="00EB0C51" w:rsidRDefault="000342E8" w:rsidP="002058A0">
            <w:pPr>
              <w:jc w:val="center"/>
              <w:rPr>
                <w:rFonts w:cs="Arial"/>
                <w:color w:val="000000"/>
                <w:sz w:val="20"/>
                <w:szCs w:val="20"/>
                <w:lang w:eastAsia="es-CO"/>
              </w:rPr>
            </w:pPr>
          </w:p>
          <w:p w14:paraId="623E43D9" w14:textId="77777777" w:rsidR="000342E8" w:rsidRPr="00EB0C51" w:rsidRDefault="000342E8" w:rsidP="002058A0">
            <w:pPr>
              <w:jc w:val="center"/>
              <w:rPr>
                <w:rFonts w:cs="Arial"/>
                <w:color w:val="000000"/>
                <w:sz w:val="20"/>
                <w:szCs w:val="20"/>
                <w:lang w:eastAsia="es-CO"/>
              </w:rPr>
            </w:pPr>
          </w:p>
          <w:p w14:paraId="12645095" w14:textId="1DD3D27A"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29</w:t>
            </w:r>
          </w:p>
          <w:p w14:paraId="5CF361DD" w14:textId="77777777" w:rsidR="000342E8" w:rsidRPr="00EB0C51" w:rsidRDefault="000342E8" w:rsidP="002058A0">
            <w:pPr>
              <w:jc w:val="center"/>
              <w:rPr>
                <w:rFonts w:cs="Arial"/>
                <w:color w:val="000000"/>
                <w:sz w:val="20"/>
                <w:szCs w:val="20"/>
                <w:lang w:eastAsia="es-CO"/>
              </w:rPr>
            </w:pPr>
          </w:p>
          <w:p w14:paraId="5731B3D2" w14:textId="15BA7C87" w:rsidR="000342E8" w:rsidRPr="00EB0C51" w:rsidRDefault="000342E8" w:rsidP="002058A0">
            <w:pPr>
              <w:jc w:val="center"/>
              <w:rPr>
                <w:rFonts w:cs="Arial"/>
                <w:color w:val="000000"/>
                <w:sz w:val="20"/>
                <w:szCs w:val="20"/>
                <w:lang w:eastAsia="es-CO"/>
              </w:rPr>
            </w:pPr>
          </w:p>
          <w:p w14:paraId="2E48174B" w14:textId="1EB26054" w:rsidR="000342E8" w:rsidRPr="00EB0C51" w:rsidRDefault="000342E8" w:rsidP="002058A0">
            <w:pPr>
              <w:jc w:val="center"/>
              <w:rPr>
                <w:rFonts w:cs="Arial"/>
                <w:color w:val="000000"/>
                <w:sz w:val="20"/>
                <w:szCs w:val="20"/>
                <w:lang w:eastAsia="es-CO"/>
              </w:rPr>
            </w:pPr>
          </w:p>
          <w:p w14:paraId="3C264651" w14:textId="23645610" w:rsidR="000342E8" w:rsidRPr="00EB0C51" w:rsidRDefault="000342E8" w:rsidP="002058A0">
            <w:pPr>
              <w:jc w:val="center"/>
              <w:rPr>
                <w:rFonts w:cs="Arial"/>
                <w:color w:val="000000"/>
                <w:sz w:val="20"/>
                <w:szCs w:val="20"/>
                <w:lang w:eastAsia="es-CO"/>
              </w:rPr>
            </w:pPr>
          </w:p>
          <w:p w14:paraId="5B4665F9" w14:textId="36C2EA35" w:rsidR="000342E8" w:rsidRPr="00EB0C51" w:rsidRDefault="000342E8" w:rsidP="002058A0">
            <w:pPr>
              <w:jc w:val="center"/>
              <w:rPr>
                <w:rFonts w:cs="Arial"/>
                <w:color w:val="000000"/>
                <w:sz w:val="20"/>
                <w:szCs w:val="20"/>
                <w:lang w:eastAsia="es-CO"/>
              </w:rPr>
            </w:pPr>
          </w:p>
          <w:p w14:paraId="6E9FCA8B" w14:textId="032A27CB" w:rsidR="000342E8" w:rsidRPr="00EB0C51" w:rsidRDefault="000342E8" w:rsidP="002058A0">
            <w:pPr>
              <w:jc w:val="center"/>
              <w:rPr>
                <w:rFonts w:cs="Arial"/>
                <w:color w:val="000000"/>
                <w:sz w:val="20"/>
                <w:szCs w:val="20"/>
                <w:lang w:eastAsia="es-CO"/>
              </w:rPr>
            </w:pPr>
          </w:p>
          <w:p w14:paraId="03453C70" w14:textId="122C562E" w:rsidR="000342E8" w:rsidRPr="00EB0C51" w:rsidRDefault="000342E8" w:rsidP="002058A0">
            <w:pPr>
              <w:jc w:val="center"/>
              <w:rPr>
                <w:rFonts w:cs="Arial"/>
                <w:color w:val="000000"/>
                <w:sz w:val="20"/>
                <w:szCs w:val="20"/>
                <w:lang w:eastAsia="es-CO"/>
              </w:rPr>
            </w:pPr>
          </w:p>
          <w:p w14:paraId="49F2E3BE" w14:textId="0617DBB8" w:rsidR="000342E8" w:rsidRPr="00EB0C51" w:rsidRDefault="000342E8" w:rsidP="002058A0">
            <w:pPr>
              <w:jc w:val="center"/>
              <w:rPr>
                <w:rFonts w:cs="Arial"/>
                <w:color w:val="000000"/>
                <w:sz w:val="20"/>
                <w:szCs w:val="20"/>
                <w:lang w:eastAsia="es-CO"/>
              </w:rPr>
            </w:pPr>
          </w:p>
          <w:p w14:paraId="5C54CE20" w14:textId="3C7488E0" w:rsidR="000342E8" w:rsidRPr="00EB0C51" w:rsidRDefault="000342E8" w:rsidP="002058A0">
            <w:pPr>
              <w:jc w:val="center"/>
              <w:rPr>
                <w:rFonts w:cs="Arial"/>
                <w:color w:val="000000"/>
                <w:sz w:val="20"/>
                <w:szCs w:val="20"/>
                <w:lang w:eastAsia="es-CO"/>
              </w:rPr>
            </w:pPr>
          </w:p>
          <w:p w14:paraId="5DB3DEC0" w14:textId="587562BC" w:rsidR="000342E8" w:rsidRPr="00EB0C51" w:rsidRDefault="000342E8" w:rsidP="002058A0">
            <w:pPr>
              <w:jc w:val="center"/>
              <w:rPr>
                <w:rFonts w:cs="Arial"/>
                <w:color w:val="000000"/>
                <w:sz w:val="20"/>
                <w:szCs w:val="20"/>
                <w:lang w:eastAsia="es-CO"/>
              </w:rPr>
            </w:pPr>
          </w:p>
          <w:p w14:paraId="2A59B139" w14:textId="4DF092E6" w:rsidR="000342E8" w:rsidRPr="00EB0C51" w:rsidRDefault="000342E8" w:rsidP="002058A0">
            <w:pPr>
              <w:jc w:val="center"/>
              <w:rPr>
                <w:rFonts w:cs="Arial"/>
                <w:color w:val="000000"/>
                <w:sz w:val="20"/>
                <w:szCs w:val="20"/>
                <w:lang w:eastAsia="es-CO"/>
              </w:rPr>
            </w:pPr>
          </w:p>
          <w:p w14:paraId="21406E6D" w14:textId="3FD92284" w:rsidR="000342E8" w:rsidRPr="00EB0C51" w:rsidRDefault="000342E8" w:rsidP="002058A0">
            <w:pPr>
              <w:jc w:val="center"/>
              <w:rPr>
                <w:rFonts w:cs="Arial"/>
                <w:color w:val="000000"/>
                <w:sz w:val="20"/>
                <w:szCs w:val="20"/>
                <w:lang w:eastAsia="es-CO"/>
              </w:rPr>
            </w:pPr>
          </w:p>
          <w:p w14:paraId="080DF068" w14:textId="19CC8014" w:rsidR="000342E8" w:rsidRPr="00EB0C51" w:rsidRDefault="000342E8" w:rsidP="002058A0">
            <w:pPr>
              <w:jc w:val="center"/>
              <w:rPr>
                <w:rFonts w:cs="Arial"/>
                <w:color w:val="000000"/>
                <w:sz w:val="20"/>
                <w:szCs w:val="20"/>
                <w:lang w:eastAsia="es-CO"/>
              </w:rPr>
            </w:pPr>
          </w:p>
          <w:p w14:paraId="555A3EE1" w14:textId="022B1FC0" w:rsidR="000342E8" w:rsidRPr="00EB0C51" w:rsidRDefault="000342E8" w:rsidP="002058A0">
            <w:pPr>
              <w:jc w:val="center"/>
              <w:rPr>
                <w:rFonts w:cs="Arial"/>
                <w:color w:val="000000"/>
                <w:sz w:val="20"/>
                <w:szCs w:val="20"/>
                <w:lang w:eastAsia="es-CO"/>
              </w:rPr>
            </w:pPr>
          </w:p>
          <w:p w14:paraId="4B6DAC57" w14:textId="49796A29" w:rsidR="000342E8" w:rsidRPr="00EB0C51" w:rsidRDefault="000342E8" w:rsidP="002058A0">
            <w:pPr>
              <w:jc w:val="center"/>
              <w:rPr>
                <w:rFonts w:cs="Arial"/>
                <w:color w:val="000000"/>
                <w:sz w:val="20"/>
                <w:szCs w:val="20"/>
                <w:lang w:eastAsia="es-CO"/>
              </w:rPr>
            </w:pPr>
          </w:p>
          <w:p w14:paraId="51EA8E98" w14:textId="2E6D460B" w:rsidR="000342E8" w:rsidRPr="00EB0C51" w:rsidRDefault="000342E8" w:rsidP="002058A0">
            <w:pPr>
              <w:jc w:val="center"/>
              <w:rPr>
                <w:rFonts w:cs="Arial"/>
                <w:color w:val="000000"/>
                <w:sz w:val="20"/>
                <w:szCs w:val="20"/>
                <w:lang w:eastAsia="es-CO"/>
              </w:rPr>
            </w:pPr>
          </w:p>
          <w:p w14:paraId="3124F242" w14:textId="716E94C8" w:rsidR="000342E8" w:rsidRPr="00EB0C51" w:rsidRDefault="000342E8" w:rsidP="002058A0">
            <w:pPr>
              <w:jc w:val="center"/>
              <w:rPr>
                <w:rFonts w:cs="Arial"/>
                <w:color w:val="000000"/>
                <w:sz w:val="20"/>
                <w:szCs w:val="20"/>
                <w:lang w:eastAsia="es-CO"/>
              </w:rPr>
            </w:pPr>
          </w:p>
          <w:p w14:paraId="3A4EAF72" w14:textId="77AD8CBD" w:rsidR="000342E8" w:rsidRPr="00EB0C51" w:rsidRDefault="000342E8" w:rsidP="002058A0">
            <w:pPr>
              <w:jc w:val="center"/>
              <w:rPr>
                <w:rFonts w:cs="Arial"/>
                <w:color w:val="000000"/>
                <w:sz w:val="20"/>
                <w:szCs w:val="20"/>
                <w:lang w:eastAsia="es-CO"/>
              </w:rPr>
            </w:pPr>
          </w:p>
          <w:p w14:paraId="57FD372E" w14:textId="283AB7C1" w:rsidR="000342E8" w:rsidRPr="00EB0C51" w:rsidRDefault="000342E8" w:rsidP="002058A0">
            <w:pPr>
              <w:jc w:val="center"/>
              <w:rPr>
                <w:rFonts w:cs="Arial"/>
                <w:color w:val="000000"/>
                <w:sz w:val="20"/>
                <w:szCs w:val="20"/>
                <w:lang w:eastAsia="es-CO"/>
              </w:rPr>
            </w:pPr>
          </w:p>
          <w:p w14:paraId="7BA98546" w14:textId="316AD65A" w:rsidR="000342E8" w:rsidRPr="00EB0C51" w:rsidRDefault="000342E8" w:rsidP="000342E8">
            <w:pPr>
              <w:rPr>
                <w:rFonts w:cs="Arial"/>
                <w:color w:val="000000"/>
                <w:sz w:val="20"/>
                <w:szCs w:val="20"/>
                <w:lang w:eastAsia="es-CO"/>
              </w:rPr>
            </w:pPr>
          </w:p>
          <w:p w14:paraId="6AAE015A" w14:textId="06AEA12D" w:rsidR="000342E8" w:rsidRPr="00EB0C51" w:rsidRDefault="000342E8" w:rsidP="002058A0">
            <w:pPr>
              <w:jc w:val="center"/>
              <w:rPr>
                <w:rFonts w:cs="Arial"/>
                <w:color w:val="000000"/>
                <w:sz w:val="20"/>
                <w:szCs w:val="20"/>
                <w:lang w:eastAsia="es-CO"/>
              </w:rPr>
            </w:pPr>
          </w:p>
          <w:p w14:paraId="7469DCFD" w14:textId="1C4FC51B" w:rsidR="000342E8" w:rsidRPr="00EB0C51" w:rsidRDefault="000342E8" w:rsidP="002058A0">
            <w:pPr>
              <w:jc w:val="center"/>
              <w:rPr>
                <w:rFonts w:cs="Arial"/>
                <w:color w:val="000000"/>
                <w:sz w:val="20"/>
                <w:szCs w:val="20"/>
                <w:lang w:eastAsia="es-CO"/>
              </w:rPr>
            </w:pPr>
          </w:p>
          <w:p w14:paraId="3B496591" w14:textId="09CA2D77" w:rsidR="000342E8" w:rsidRPr="00EB0C51" w:rsidRDefault="000342E8" w:rsidP="002058A0">
            <w:pPr>
              <w:jc w:val="center"/>
              <w:rPr>
                <w:rFonts w:cs="Arial"/>
                <w:color w:val="000000"/>
                <w:sz w:val="20"/>
                <w:szCs w:val="20"/>
                <w:lang w:eastAsia="es-CO"/>
              </w:rPr>
            </w:pPr>
          </w:p>
          <w:p w14:paraId="2C3EF424" w14:textId="0628CE9E" w:rsidR="000342E8" w:rsidRPr="00EB0C51" w:rsidRDefault="000342E8" w:rsidP="002058A0">
            <w:pPr>
              <w:jc w:val="center"/>
              <w:rPr>
                <w:rFonts w:cs="Arial"/>
                <w:color w:val="000000"/>
                <w:sz w:val="20"/>
                <w:szCs w:val="20"/>
                <w:lang w:eastAsia="es-CO"/>
              </w:rPr>
            </w:pPr>
          </w:p>
          <w:p w14:paraId="668B2617" w14:textId="77777777" w:rsidR="000342E8" w:rsidRPr="00EB0C51" w:rsidRDefault="000342E8" w:rsidP="002058A0">
            <w:pPr>
              <w:jc w:val="center"/>
              <w:rPr>
                <w:rFonts w:cs="Arial"/>
                <w:color w:val="000000"/>
                <w:sz w:val="20"/>
                <w:szCs w:val="20"/>
                <w:lang w:eastAsia="es-CO"/>
              </w:rPr>
            </w:pPr>
          </w:p>
          <w:p w14:paraId="49F211F4" w14:textId="77777777" w:rsidR="000342E8" w:rsidRPr="00EB0C51" w:rsidRDefault="000342E8" w:rsidP="000342E8">
            <w:pPr>
              <w:rPr>
                <w:rFonts w:cs="Arial"/>
                <w:color w:val="000000"/>
                <w:sz w:val="20"/>
                <w:szCs w:val="20"/>
                <w:lang w:eastAsia="es-CO"/>
              </w:rPr>
            </w:pPr>
          </w:p>
          <w:p w14:paraId="21681C9B" w14:textId="77777777"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29</w:t>
            </w:r>
          </w:p>
          <w:p w14:paraId="48A1DC40" w14:textId="77777777" w:rsidR="000342E8" w:rsidRPr="00EB0C51" w:rsidRDefault="000342E8" w:rsidP="002058A0">
            <w:pPr>
              <w:jc w:val="center"/>
              <w:rPr>
                <w:rFonts w:cs="Arial"/>
                <w:color w:val="000000"/>
                <w:sz w:val="20"/>
                <w:szCs w:val="20"/>
                <w:lang w:eastAsia="es-CO"/>
              </w:rPr>
            </w:pPr>
          </w:p>
          <w:p w14:paraId="7256A353" w14:textId="6FA6D515" w:rsidR="000342E8" w:rsidRPr="00EB0C51" w:rsidRDefault="000342E8" w:rsidP="002058A0">
            <w:pPr>
              <w:jc w:val="center"/>
              <w:rPr>
                <w:rFonts w:cs="Arial"/>
                <w:color w:val="000000"/>
                <w:sz w:val="20"/>
                <w:szCs w:val="20"/>
                <w:lang w:eastAsia="es-CO"/>
              </w:rPr>
            </w:pPr>
          </w:p>
          <w:p w14:paraId="6E497FB6" w14:textId="14B55757" w:rsidR="000342E8" w:rsidRPr="00EB0C51" w:rsidRDefault="000342E8" w:rsidP="002058A0">
            <w:pPr>
              <w:jc w:val="center"/>
              <w:rPr>
                <w:rFonts w:cs="Arial"/>
                <w:color w:val="000000"/>
                <w:sz w:val="20"/>
                <w:szCs w:val="20"/>
                <w:lang w:eastAsia="es-CO"/>
              </w:rPr>
            </w:pPr>
          </w:p>
          <w:p w14:paraId="0BE45F94" w14:textId="5333625E" w:rsidR="000342E8" w:rsidRPr="00EB0C51" w:rsidRDefault="000342E8" w:rsidP="002058A0">
            <w:pPr>
              <w:jc w:val="center"/>
              <w:rPr>
                <w:rFonts w:cs="Arial"/>
                <w:color w:val="000000"/>
                <w:sz w:val="20"/>
                <w:szCs w:val="20"/>
                <w:lang w:eastAsia="es-CO"/>
              </w:rPr>
            </w:pPr>
          </w:p>
          <w:p w14:paraId="7551936D" w14:textId="5591B049" w:rsidR="000342E8" w:rsidRPr="00EB0C51" w:rsidRDefault="000342E8" w:rsidP="002058A0">
            <w:pPr>
              <w:jc w:val="center"/>
              <w:rPr>
                <w:rFonts w:cs="Arial"/>
                <w:color w:val="000000"/>
                <w:sz w:val="20"/>
                <w:szCs w:val="20"/>
                <w:lang w:eastAsia="es-CO"/>
              </w:rPr>
            </w:pPr>
          </w:p>
          <w:p w14:paraId="5124CBBE" w14:textId="0BA90F18" w:rsidR="000342E8" w:rsidRPr="00EB0C51" w:rsidRDefault="000342E8" w:rsidP="002058A0">
            <w:pPr>
              <w:jc w:val="center"/>
              <w:rPr>
                <w:rFonts w:cs="Arial"/>
                <w:color w:val="000000"/>
                <w:sz w:val="20"/>
                <w:szCs w:val="20"/>
                <w:lang w:eastAsia="es-CO"/>
              </w:rPr>
            </w:pPr>
          </w:p>
          <w:p w14:paraId="6FB4C1BD" w14:textId="04796E71" w:rsidR="000342E8" w:rsidRPr="00EB0C51" w:rsidRDefault="000342E8" w:rsidP="002058A0">
            <w:pPr>
              <w:jc w:val="center"/>
              <w:rPr>
                <w:rFonts w:cs="Arial"/>
                <w:color w:val="000000"/>
                <w:sz w:val="20"/>
                <w:szCs w:val="20"/>
                <w:lang w:eastAsia="es-CO"/>
              </w:rPr>
            </w:pPr>
          </w:p>
          <w:p w14:paraId="418EA56A" w14:textId="186CAE79" w:rsidR="000342E8" w:rsidRPr="00EB0C51" w:rsidRDefault="000342E8" w:rsidP="002058A0">
            <w:pPr>
              <w:jc w:val="center"/>
              <w:rPr>
                <w:rFonts w:cs="Arial"/>
                <w:color w:val="000000"/>
                <w:sz w:val="20"/>
                <w:szCs w:val="20"/>
                <w:lang w:eastAsia="es-CO"/>
              </w:rPr>
            </w:pPr>
          </w:p>
          <w:p w14:paraId="1C6E1F11" w14:textId="47AA911D" w:rsidR="000342E8" w:rsidRPr="00EB0C51" w:rsidRDefault="000342E8" w:rsidP="002058A0">
            <w:pPr>
              <w:jc w:val="center"/>
              <w:rPr>
                <w:rFonts w:cs="Arial"/>
                <w:color w:val="000000"/>
                <w:sz w:val="20"/>
                <w:szCs w:val="20"/>
                <w:lang w:eastAsia="es-CO"/>
              </w:rPr>
            </w:pPr>
          </w:p>
          <w:p w14:paraId="758DD961" w14:textId="5DD941E4" w:rsidR="000342E8" w:rsidRPr="00EB0C51" w:rsidRDefault="000342E8" w:rsidP="002058A0">
            <w:pPr>
              <w:jc w:val="center"/>
              <w:rPr>
                <w:rFonts w:cs="Arial"/>
                <w:color w:val="000000"/>
                <w:sz w:val="20"/>
                <w:szCs w:val="20"/>
                <w:lang w:eastAsia="es-CO"/>
              </w:rPr>
            </w:pPr>
          </w:p>
          <w:p w14:paraId="72C1B825" w14:textId="0CC24800" w:rsidR="000342E8" w:rsidRPr="00EB0C51" w:rsidRDefault="000342E8" w:rsidP="002058A0">
            <w:pPr>
              <w:jc w:val="center"/>
              <w:rPr>
                <w:rFonts w:cs="Arial"/>
                <w:color w:val="000000"/>
                <w:sz w:val="20"/>
                <w:szCs w:val="20"/>
                <w:lang w:eastAsia="es-CO"/>
              </w:rPr>
            </w:pPr>
          </w:p>
          <w:p w14:paraId="1450D27D" w14:textId="7BA7B882" w:rsidR="000342E8" w:rsidRPr="00EB0C51" w:rsidRDefault="000342E8" w:rsidP="002058A0">
            <w:pPr>
              <w:jc w:val="center"/>
              <w:rPr>
                <w:rFonts w:cs="Arial"/>
                <w:color w:val="000000"/>
                <w:sz w:val="20"/>
                <w:szCs w:val="20"/>
                <w:lang w:eastAsia="es-CO"/>
              </w:rPr>
            </w:pPr>
          </w:p>
          <w:p w14:paraId="6C5E4EC8" w14:textId="79013CB9" w:rsidR="000342E8" w:rsidRPr="00EB0C51" w:rsidRDefault="000342E8" w:rsidP="002058A0">
            <w:pPr>
              <w:jc w:val="center"/>
              <w:rPr>
                <w:rFonts w:cs="Arial"/>
                <w:color w:val="000000"/>
                <w:sz w:val="20"/>
                <w:szCs w:val="20"/>
                <w:lang w:eastAsia="es-CO"/>
              </w:rPr>
            </w:pPr>
          </w:p>
          <w:p w14:paraId="3F837EF7" w14:textId="32AAAA04" w:rsidR="000342E8" w:rsidRPr="00EB0C51" w:rsidRDefault="000342E8" w:rsidP="002058A0">
            <w:pPr>
              <w:jc w:val="center"/>
              <w:rPr>
                <w:rFonts w:cs="Arial"/>
                <w:color w:val="000000"/>
                <w:sz w:val="20"/>
                <w:szCs w:val="20"/>
                <w:lang w:eastAsia="es-CO"/>
              </w:rPr>
            </w:pPr>
          </w:p>
          <w:p w14:paraId="58491E96" w14:textId="0827571B" w:rsidR="000342E8" w:rsidRPr="00EB0C51" w:rsidRDefault="000342E8" w:rsidP="002058A0">
            <w:pPr>
              <w:jc w:val="center"/>
              <w:rPr>
                <w:rFonts w:cs="Arial"/>
                <w:color w:val="000000"/>
                <w:sz w:val="20"/>
                <w:szCs w:val="20"/>
                <w:lang w:eastAsia="es-CO"/>
              </w:rPr>
            </w:pPr>
          </w:p>
          <w:p w14:paraId="68456EE3" w14:textId="4ABBF0A0" w:rsidR="000342E8" w:rsidRPr="00EB0C51" w:rsidRDefault="000342E8" w:rsidP="002058A0">
            <w:pPr>
              <w:jc w:val="center"/>
              <w:rPr>
                <w:rFonts w:cs="Arial"/>
                <w:color w:val="000000"/>
                <w:sz w:val="20"/>
                <w:szCs w:val="20"/>
                <w:lang w:eastAsia="es-CO"/>
              </w:rPr>
            </w:pPr>
          </w:p>
          <w:p w14:paraId="270B1520" w14:textId="6F362EC9" w:rsidR="000342E8" w:rsidRPr="00EB0C51" w:rsidRDefault="000342E8" w:rsidP="002058A0">
            <w:pPr>
              <w:jc w:val="center"/>
              <w:rPr>
                <w:rFonts w:cs="Arial"/>
                <w:color w:val="000000"/>
                <w:sz w:val="20"/>
                <w:szCs w:val="20"/>
                <w:lang w:eastAsia="es-CO"/>
              </w:rPr>
            </w:pPr>
          </w:p>
          <w:p w14:paraId="0CADBDC6" w14:textId="00560603" w:rsidR="000342E8" w:rsidRPr="00EB0C51" w:rsidRDefault="000342E8" w:rsidP="002058A0">
            <w:pPr>
              <w:jc w:val="center"/>
              <w:rPr>
                <w:rFonts w:cs="Arial"/>
                <w:color w:val="000000"/>
                <w:sz w:val="20"/>
                <w:szCs w:val="20"/>
                <w:lang w:eastAsia="es-CO"/>
              </w:rPr>
            </w:pPr>
          </w:p>
          <w:p w14:paraId="7F315397" w14:textId="2260B208" w:rsidR="000342E8" w:rsidRPr="00EB0C51" w:rsidRDefault="000342E8" w:rsidP="002058A0">
            <w:pPr>
              <w:jc w:val="center"/>
              <w:rPr>
                <w:rFonts w:cs="Arial"/>
                <w:color w:val="000000"/>
                <w:sz w:val="20"/>
                <w:szCs w:val="20"/>
                <w:lang w:eastAsia="es-CO"/>
              </w:rPr>
            </w:pPr>
          </w:p>
          <w:p w14:paraId="729AAD9A" w14:textId="3302DED6" w:rsidR="000342E8" w:rsidRPr="00EB0C51" w:rsidRDefault="000342E8" w:rsidP="002058A0">
            <w:pPr>
              <w:jc w:val="center"/>
              <w:rPr>
                <w:rFonts w:cs="Arial"/>
                <w:color w:val="000000"/>
                <w:sz w:val="20"/>
                <w:szCs w:val="20"/>
                <w:lang w:eastAsia="es-CO"/>
              </w:rPr>
            </w:pPr>
          </w:p>
          <w:p w14:paraId="102B952E" w14:textId="7306CC97" w:rsidR="000342E8" w:rsidRPr="00EB0C51" w:rsidRDefault="000342E8" w:rsidP="002058A0">
            <w:pPr>
              <w:jc w:val="center"/>
              <w:rPr>
                <w:rFonts w:cs="Arial"/>
                <w:color w:val="000000"/>
                <w:sz w:val="20"/>
                <w:szCs w:val="20"/>
                <w:lang w:eastAsia="es-CO"/>
              </w:rPr>
            </w:pPr>
          </w:p>
          <w:p w14:paraId="66E3B69D" w14:textId="48E18551" w:rsidR="000342E8" w:rsidRPr="00EB0C51" w:rsidRDefault="000342E8" w:rsidP="002058A0">
            <w:pPr>
              <w:jc w:val="center"/>
              <w:rPr>
                <w:rFonts w:cs="Arial"/>
                <w:color w:val="000000"/>
                <w:sz w:val="20"/>
                <w:szCs w:val="20"/>
                <w:lang w:eastAsia="es-CO"/>
              </w:rPr>
            </w:pPr>
          </w:p>
          <w:p w14:paraId="0EC45DEE" w14:textId="1E541D59" w:rsidR="000342E8" w:rsidRPr="00EB0C51" w:rsidRDefault="000342E8" w:rsidP="002058A0">
            <w:pPr>
              <w:jc w:val="center"/>
              <w:rPr>
                <w:rFonts w:cs="Arial"/>
                <w:color w:val="000000"/>
                <w:sz w:val="20"/>
                <w:szCs w:val="20"/>
                <w:lang w:eastAsia="es-CO"/>
              </w:rPr>
            </w:pPr>
          </w:p>
          <w:p w14:paraId="2C1DC300" w14:textId="5D3ACA96" w:rsidR="000342E8" w:rsidRPr="00EB0C51" w:rsidRDefault="000342E8" w:rsidP="000342E8">
            <w:pPr>
              <w:rPr>
                <w:rFonts w:cs="Arial"/>
                <w:color w:val="000000"/>
                <w:sz w:val="20"/>
                <w:szCs w:val="20"/>
                <w:lang w:eastAsia="es-CO"/>
              </w:rPr>
            </w:pPr>
          </w:p>
          <w:p w14:paraId="337ABCED" w14:textId="77777777" w:rsidR="000342E8" w:rsidRPr="00EB0C51" w:rsidRDefault="000342E8" w:rsidP="000342E8">
            <w:pPr>
              <w:rPr>
                <w:rFonts w:cs="Arial"/>
                <w:color w:val="000000"/>
                <w:sz w:val="20"/>
                <w:szCs w:val="20"/>
                <w:lang w:eastAsia="es-CO"/>
              </w:rPr>
            </w:pPr>
          </w:p>
          <w:p w14:paraId="26980D32" w14:textId="00C4A4BD"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29</w:t>
            </w:r>
          </w:p>
        </w:tc>
        <w:tc>
          <w:tcPr>
            <w:tcW w:w="2588" w:type="dxa"/>
            <w:tcBorders>
              <w:top w:val="nil"/>
              <w:left w:val="nil"/>
              <w:bottom w:val="single" w:sz="4" w:space="0" w:color="auto"/>
              <w:right w:val="single" w:sz="4" w:space="0" w:color="auto"/>
            </w:tcBorders>
            <w:shd w:val="clear" w:color="auto" w:fill="auto"/>
            <w:vAlign w:val="center"/>
            <w:hideMark/>
          </w:tcPr>
          <w:p w14:paraId="2115741E" w14:textId="77777777" w:rsidR="000342E8" w:rsidRPr="00EB0C51" w:rsidRDefault="000342E8" w:rsidP="002058A0">
            <w:pPr>
              <w:jc w:val="both"/>
              <w:rPr>
                <w:rFonts w:cs="Arial"/>
                <w:color w:val="000000"/>
                <w:sz w:val="20"/>
                <w:szCs w:val="20"/>
                <w:lang w:eastAsia="es-CO"/>
              </w:rPr>
            </w:pPr>
          </w:p>
          <w:p w14:paraId="5E47843F" w14:textId="77777777" w:rsidR="000342E8" w:rsidRPr="00EB0C51" w:rsidRDefault="000342E8" w:rsidP="002058A0">
            <w:pPr>
              <w:jc w:val="both"/>
              <w:rPr>
                <w:rFonts w:cs="Arial"/>
                <w:color w:val="000000"/>
                <w:sz w:val="20"/>
                <w:szCs w:val="20"/>
                <w:lang w:eastAsia="es-CO"/>
              </w:rPr>
            </w:pPr>
          </w:p>
          <w:p w14:paraId="12E61412" w14:textId="77777777" w:rsidR="000342E8" w:rsidRPr="00EB0C51" w:rsidRDefault="000342E8" w:rsidP="002058A0">
            <w:pPr>
              <w:jc w:val="both"/>
              <w:rPr>
                <w:rFonts w:cs="Arial"/>
                <w:color w:val="000000"/>
                <w:sz w:val="20"/>
                <w:szCs w:val="20"/>
                <w:lang w:eastAsia="es-CO"/>
              </w:rPr>
            </w:pPr>
          </w:p>
          <w:p w14:paraId="56E5BC20" w14:textId="77777777" w:rsidR="000342E8" w:rsidRPr="00EB0C51" w:rsidRDefault="000342E8" w:rsidP="002058A0">
            <w:pPr>
              <w:jc w:val="both"/>
              <w:rPr>
                <w:rFonts w:cs="Arial"/>
                <w:color w:val="000000"/>
                <w:sz w:val="20"/>
                <w:szCs w:val="20"/>
                <w:lang w:eastAsia="es-CO"/>
              </w:rPr>
            </w:pPr>
          </w:p>
          <w:p w14:paraId="2BC75629" w14:textId="77777777" w:rsidR="000342E8" w:rsidRPr="00EB0C51" w:rsidRDefault="000342E8" w:rsidP="002058A0">
            <w:pPr>
              <w:jc w:val="both"/>
              <w:rPr>
                <w:rFonts w:cs="Arial"/>
                <w:color w:val="000000"/>
                <w:sz w:val="20"/>
                <w:szCs w:val="20"/>
                <w:lang w:eastAsia="es-CO"/>
              </w:rPr>
            </w:pPr>
          </w:p>
          <w:p w14:paraId="72A1F98F" w14:textId="77777777" w:rsidR="000342E8" w:rsidRPr="00EB0C51" w:rsidRDefault="000342E8" w:rsidP="002058A0">
            <w:pPr>
              <w:jc w:val="both"/>
              <w:rPr>
                <w:rFonts w:cs="Arial"/>
                <w:color w:val="000000"/>
                <w:sz w:val="20"/>
                <w:szCs w:val="20"/>
                <w:lang w:eastAsia="es-CO"/>
              </w:rPr>
            </w:pPr>
          </w:p>
          <w:p w14:paraId="6D2700BA" w14:textId="77777777" w:rsidR="000342E8" w:rsidRPr="00EB0C51" w:rsidRDefault="000342E8" w:rsidP="002058A0">
            <w:pPr>
              <w:jc w:val="both"/>
              <w:rPr>
                <w:rFonts w:cs="Arial"/>
                <w:color w:val="000000"/>
                <w:sz w:val="20"/>
                <w:szCs w:val="20"/>
                <w:lang w:eastAsia="es-CO"/>
              </w:rPr>
            </w:pPr>
          </w:p>
          <w:p w14:paraId="06697B60" w14:textId="77777777" w:rsidR="000342E8" w:rsidRPr="00EB0C51" w:rsidRDefault="000342E8" w:rsidP="002058A0">
            <w:pPr>
              <w:jc w:val="both"/>
              <w:rPr>
                <w:rFonts w:cs="Arial"/>
                <w:color w:val="000000"/>
                <w:sz w:val="20"/>
                <w:szCs w:val="20"/>
                <w:lang w:eastAsia="es-CO"/>
              </w:rPr>
            </w:pPr>
          </w:p>
          <w:p w14:paraId="1AD2573A" w14:textId="0C53D044"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 xml:space="preserve">Mejoramiento e  Integración de la Información en la Gestión Financiera Pública Nacional </w:t>
            </w:r>
          </w:p>
          <w:p w14:paraId="5642FDD0" w14:textId="63100720" w:rsidR="000342E8" w:rsidRPr="00EB0C51" w:rsidRDefault="000342E8" w:rsidP="002058A0">
            <w:pPr>
              <w:jc w:val="both"/>
              <w:rPr>
                <w:rFonts w:cs="Arial"/>
                <w:color w:val="000000"/>
                <w:sz w:val="20"/>
                <w:szCs w:val="20"/>
                <w:lang w:eastAsia="es-CO"/>
              </w:rPr>
            </w:pPr>
          </w:p>
          <w:p w14:paraId="78EE4C69" w14:textId="68F646A9" w:rsidR="000342E8" w:rsidRPr="00EB0C51" w:rsidRDefault="000342E8" w:rsidP="002058A0">
            <w:pPr>
              <w:jc w:val="both"/>
              <w:rPr>
                <w:rFonts w:cs="Arial"/>
                <w:color w:val="000000"/>
                <w:sz w:val="20"/>
                <w:szCs w:val="20"/>
                <w:lang w:eastAsia="es-CO"/>
              </w:rPr>
            </w:pPr>
          </w:p>
          <w:p w14:paraId="4B01BE99" w14:textId="1CF9E16E" w:rsidR="000342E8" w:rsidRPr="00EB0C51" w:rsidRDefault="000342E8" w:rsidP="002058A0">
            <w:pPr>
              <w:jc w:val="both"/>
              <w:rPr>
                <w:rFonts w:cs="Arial"/>
                <w:color w:val="000000"/>
                <w:sz w:val="20"/>
                <w:szCs w:val="20"/>
                <w:lang w:eastAsia="es-CO"/>
              </w:rPr>
            </w:pPr>
          </w:p>
          <w:p w14:paraId="3949F760" w14:textId="65A4037A" w:rsidR="000342E8" w:rsidRPr="00EB0C51" w:rsidRDefault="000342E8" w:rsidP="002058A0">
            <w:pPr>
              <w:jc w:val="both"/>
              <w:rPr>
                <w:rFonts w:cs="Arial"/>
                <w:color w:val="000000"/>
                <w:sz w:val="20"/>
                <w:szCs w:val="20"/>
                <w:lang w:eastAsia="es-CO"/>
              </w:rPr>
            </w:pPr>
          </w:p>
          <w:p w14:paraId="602644D9" w14:textId="372C1764" w:rsidR="000342E8" w:rsidRPr="00EB0C51" w:rsidRDefault="000342E8" w:rsidP="002058A0">
            <w:pPr>
              <w:jc w:val="both"/>
              <w:rPr>
                <w:rFonts w:cs="Arial"/>
                <w:color w:val="000000"/>
                <w:sz w:val="20"/>
                <w:szCs w:val="20"/>
                <w:lang w:eastAsia="es-CO"/>
              </w:rPr>
            </w:pPr>
          </w:p>
          <w:p w14:paraId="318A3A03" w14:textId="1EE04109" w:rsidR="000342E8" w:rsidRPr="00EB0C51" w:rsidRDefault="000342E8" w:rsidP="002058A0">
            <w:pPr>
              <w:jc w:val="both"/>
              <w:rPr>
                <w:rFonts w:cs="Arial"/>
                <w:color w:val="000000"/>
                <w:sz w:val="20"/>
                <w:szCs w:val="20"/>
                <w:lang w:eastAsia="es-CO"/>
              </w:rPr>
            </w:pPr>
          </w:p>
          <w:p w14:paraId="1C2BB5BC" w14:textId="53E7C15E" w:rsidR="000342E8" w:rsidRPr="00EB0C51" w:rsidRDefault="000342E8" w:rsidP="002058A0">
            <w:pPr>
              <w:jc w:val="both"/>
              <w:rPr>
                <w:rFonts w:cs="Arial"/>
                <w:color w:val="000000"/>
                <w:sz w:val="20"/>
                <w:szCs w:val="20"/>
                <w:lang w:eastAsia="es-CO"/>
              </w:rPr>
            </w:pPr>
          </w:p>
          <w:p w14:paraId="7CF20557" w14:textId="6BC3E4C5" w:rsidR="000342E8" w:rsidRPr="00EB0C51" w:rsidRDefault="000342E8" w:rsidP="002058A0">
            <w:pPr>
              <w:jc w:val="both"/>
              <w:rPr>
                <w:rFonts w:cs="Arial"/>
                <w:color w:val="000000"/>
                <w:sz w:val="20"/>
                <w:szCs w:val="20"/>
                <w:lang w:eastAsia="es-CO"/>
              </w:rPr>
            </w:pPr>
          </w:p>
          <w:p w14:paraId="552C57AB" w14:textId="212C2FF0" w:rsidR="000342E8" w:rsidRPr="00EB0C51" w:rsidRDefault="000342E8" w:rsidP="002058A0">
            <w:pPr>
              <w:jc w:val="both"/>
              <w:rPr>
                <w:rFonts w:cs="Arial"/>
                <w:color w:val="000000"/>
                <w:sz w:val="20"/>
                <w:szCs w:val="20"/>
                <w:lang w:eastAsia="es-CO"/>
              </w:rPr>
            </w:pPr>
          </w:p>
          <w:p w14:paraId="3737C47C" w14:textId="717988A9" w:rsidR="000342E8" w:rsidRPr="00EB0C51" w:rsidRDefault="000342E8" w:rsidP="002058A0">
            <w:pPr>
              <w:jc w:val="both"/>
              <w:rPr>
                <w:rFonts w:cs="Arial"/>
                <w:color w:val="000000"/>
                <w:sz w:val="20"/>
                <w:szCs w:val="20"/>
                <w:lang w:eastAsia="es-CO"/>
              </w:rPr>
            </w:pPr>
          </w:p>
          <w:p w14:paraId="5E7C9D66" w14:textId="6DAF425F" w:rsidR="000342E8" w:rsidRPr="00EB0C51" w:rsidRDefault="000342E8" w:rsidP="002058A0">
            <w:pPr>
              <w:jc w:val="both"/>
              <w:rPr>
                <w:rFonts w:cs="Arial"/>
                <w:color w:val="000000"/>
                <w:sz w:val="20"/>
                <w:szCs w:val="20"/>
                <w:lang w:eastAsia="es-CO"/>
              </w:rPr>
            </w:pPr>
          </w:p>
          <w:p w14:paraId="77921B10" w14:textId="3B252C06" w:rsidR="000342E8" w:rsidRPr="00EB0C51" w:rsidRDefault="000342E8" w:rsidP="002058A0">
            <w:pPr>
              <w:jc w:val="both"/>
              <w:rPr>
                <w:rFonts w:cs="Arial"/>
                <w:color w:val="000000"/>
                <w:sz w:val="20"/>
                <w:szCs w:val="20"/>
                <w:lang w:eastAsia="es-CO"/>
              </w:rPr>
            </w:pPr>
          </w:p>
          <w:p w14:paraId="1C16BBB9" w14:textId="2F2C5E02" w:rsidR="000342E8" w:rsidRPr="00EB0C51" w:rsidRDefault="000342E8" w:rsidP="002058A0">
            <w:pPr>
              <w:jc w:val="both"/>
              <w:rPr>
                <w:rFonts w:cs="Arial"/>
                <w:color w:val="000000"/>
                <w:sz w:val="20"/>
                <w:szCs w:val="20"/>
                <w:lang w:eastAsia="es-CO"/>
              </w:rPr>
            </w:pPr>
          </w:p>
          <w:p w14:paraId="541F363C" w14:textId="4C708EE3" w:rsidR="000342E8" w:rsidRPr="00EB0C51" w:rsidRDefault="000342E8" w:rsidP="002058A0">
            <w:pPr>
              <w:jc w:val="both"/>
              <w:rPr>
                <w:rFonts w:cs="Arial"/>
                <w:color w:val="000000"/>
                <w:sz w:val="20"/>
                <w:szCs w:val="20"/>
                <w:lang w:eastAsia="es-CO"/>
              </w:rPr>
            </w:pPr>
          </w:p>
          <w:p w14:paraId="1526744F" w14:textId="77777777" w:rsidR="000342E8" w:rsidRPr="00EB0C51" w:rsidRDefault="000342E8" w:rsidP="002058A0">
            <w:pPr>
              <w:jc w:val="both"/>
              <w:rPr>
                <w:rFonts w:cs="Arial"/>
                <w:color w:val="000000"/>
                <w:sz w:val="20"/>
                <w:szCs w:val="20"/>
                <w:lang w:eastAsia="es-CO"/>
              </w:rPr>
            </w:pPr>
          </w:p>
          <w:p w14:paraId="63B2B1EA" w14:textId="75019E95" w:rsidR="000342E8" w:rsidRPr="00EB0C51" w:rsidRDefault="000342E8" w:rsidP="002058A0">
            <w:pPr>
              <w:jc w:val="both"/>
              <w:rPr>
                <w:rFonts w:cs="Arial"/>
                <w:color w:val="000000"/>
                <w:sz w:val="20"/>
                <w:szCs w:val="20"/>
                <w:lang w:eastAsia="es-CO"/>
              </w:rPr>
            </w:pPr>
          </w:p>
          <w:p w14:paraId="5A2DC21F" w14:textId="287D132D" w:rsidR="000342E8" w:rsidRPr="00EB0C51" w:rsidRDefault="000342E8" w:rsidP="002058A0">
            <w:pPr>
              <w:jc w:val="both"/>
              <w:rPr>
                <w:rFonts w:cs="Arial"/>
                <w:color w:val="000000"/>
                <w:sz w:val="20"/>
                <w:szCs w:val="20"/>
                <w:lang w:eastAsia="es-CO"/>
              </w:rPr>
            </w:pPr>
          </w:p>
          <w:p w14:paraId="47656FAC" w14:textId="1D23B18A" w:rsidR="000342E8" w:rsidRPr="00EB0C51" w:rsidRDefault="000342E8" w:rsidP="002058A0">
            <w:pPr>
              <w:jc w:val="both"/>
              <w:rPr>
                <w:rFonts w:cs="Arial"/>
                <w:color w:val="000000"/>
                <w:sz w:val="20"/>
                <w:szCs w:val="20"/>
                <w:lang w:eastAsia="es-CO"/>
              </w:rPr>
            </w:pPr>
          </w:p>
          <w:p w14:paraId="7D5EB3DA" w14:textId="35269F4B" w:rsidR="000342E8" w:rsidRPr="00EB0C51" w:rsidRDefault="000342E8" w:rsidP="002058A0">
            <w:pPr>
              <w:jc w:val="both"/>
              <w:rPr>
                <w:rFonts w:cs="Arial"/>
                <w:color w:val="000000"/>
                <w:sz w:val="20"/>
                <w:szCs w:val="20"/>
                <w:lang w:eastAsia="es-CO"/>
              </w:rPr>
            </w:pPr>
          </w:p>
          <w:p w14:paraId="25B9C5B5" w14:textId="62E272D7" w:rsidR="000342E8" w:rsidRPr="00EB0C51" w:rsidRDefault="000342E8" w:rsidP="002058A0">
            <w:pPr>
              <w:jc w:val="both"/>
              <w:rPr>
                <w:rFonts w:cs="Arial"/>
                <w:color w:val="000000"/>
                <w:sz w:val="20"/>
                <w:szCs w:val="20"/>
                <w:lang w:eastAsia="es-CO"/>
              </w:rPr>
            </w:pPr>
          </w:p>
          <w:p w14:paraId="245C83E4" w14:textId="0C3C76E1" w:rsidR="000342E8" w:rsidRPr="00EB0C51" w:rsidRDefault="000342E8" w:rsidP="002058A0">
            <w:pPr>
              <w:jc w:val="both"/>
              <w:rPr>
                <w:rFonts w:cs="Arial"/>
                <w:color w:val="000000"/>
                <w:sz w:val="20"/>
                <w:szCs w:val="20"/>
                <w:lang w:eastAsia="es-CO"/>
              </w:rPr>
            </w:pPr>
          </w:p>
          <w:p w14:paraId="06A9604C" w14:textId="77777777" w:rsidR="000342E8" w:rsidRPr="00EB0C51" w:rsidRDefault="000342E8" w:rsidP="002058A0">
            <w:pPr>
              <w:jc w:val="both"/>
              <w:rPr>
                <w:rFonts w:cs="Arial"/>
                <w:color w:val="000000"/>
                <w:sz w:val="20"/>
                <w:szCs w:val="20"/>
                <w:lang w:eastAsia="es-CO"/>
              </w:rPr>
            </w:pPr>
          </w:p>
          <w:p w14:paraId="5D8757C4" w14:textId="77777777" w:rsidR="000342E8" w:rsidRPr="00EB0C51" w:rsidRDefault="000342E8" w:rsidP="002058A0">
            <w:pPr>
              <w:jc w:val="both"/>
              <w:rPr>
                <w:rFonts w:cs="Arial"/>
                <w:color w:val="000000"/>
                <w:sz w:val="20"/>
                <w:szCs w:val="20"/>
                <w:lang w:eastAsia="es-CO"/>
              </w:rPr>
            </w:pPr>
          </w:p>
          <w:p w14:paraId="3501A04A" w14:textId="77777777" w:rsidR="000342E8" w:rsidRPr="00EB0C51" w:rsidRDefault="000342E8" w:rsidP="002058A0">
            <w:pPr>
              <w:jc w:val="both"/>
              <w:rPr>
                <w:rFonts w:cs="Arial"/>
                <w:color w:val="000000"/>
                <w:sz w:val="20"/>
                <w:szCs w:val="20"/>
                <w:lang w:eastAsia="es-CO"/>
              </w:rPr>
            </w:pPr>
            <w:r w:rsidRPr="00EB0C51">
              <w:rPr>
                <w:rFonts w:cs="Arial"/>
                <w:color w:val="000000"/>
                <w:sz w:val="20"/>
                <w:szCs w:val="20"/>
                <w:lang w:eastAsia="es-CO"/>
              </w:rPr>
              <w:t>Mejoramiento e  Integración de la Información en la Gestión Financiera Pública Nacional</w:t>
            </w:r>
          </w:p>
          <w:p w14:paraId="30772B2D" w14:textId="77777777" w:rsidR="000342E8" w:rsidRPr="00EB0C51" w:rsidRDefault="000342E8" w:rsidP="002058A0">
            <w:pPr>
              <w:jc w:val="both"/>
              <w:rPr>
                <w:rFonts w:cs="Arial"/>
                <w:color w:val="000000"/>
                <w:sz w:val="20"/>
                <w:szCs w:val="20"/>
                <w:lang w:eastAsia="es-CO"/>
              </w:rPr>
            </w:pPr>
          </w:p>
          <w:p w14:paraId="74549DA9" w14:textId="2ADFECD2" w:rsidR="000342E8" w:rsidRPr="00EB0C51" w:rsidRDefault="000342E8" w:rsidP="002058A0">
            <w:pPr>
              <w:jc w:val="both"/>
              <w:rPr>
                <w:rFonts w:cs="Arial"/>
                <w:color w:val="000000"/>
                <w:sz w:val="20"/>
                <w:szCs w:val="20"/>
                <w:lang w:eastAsia="es-CO"/>
              </w:rPr>
            </w:pPr>
          </w:p>
          <w:p w14:paraId="6B8D0A61" w14:textId="1CD42021" w:rsidR="000342E8" w:rsidRPr="00EB0C51" w:rsidRDefault="000342E8" w:rsidP="002058A0">
            <w:pPr>
              <w:jc w:val="both"/>
              <w:rPr>
                <w:rFonts w:cs="Arial"/>
                <w:color w:val="000000"/>
                <w:sz w:val="20"/>
                <w:szCs w:val="20"/>
                <w:lang w:eastAsia="es-CO"/>
              </w:rPr>
            </w:pPr>
          </w:p>
          <w:p w14:paraId="10E15341" w14:textId="2F43A01C" w:rsidR="000342E8" w:rsidRPr="00EB0C51" w:rsidRDefault="000342E8" w:rsidP="002058A0">
            <w:pPr>
              <w:jc w:val="both"/>
              <w:rPr>
                <w:rFonts w:cs="Arial"/>
                <w:color w:val="000000"/>
                <w:sz w:val="20"/>
                <w:szCs w:val="20"/>
                <w:lang w:eastAsia="es-CO"/>
              </w:rPr>
            </w:pPr>
          </w:p>
          <w:p w14:paraId="50620E30" w14:textId="5CC7343B" w:rsidR="000342E8" w:rsidRPr="00EB0C51" w:rsidRDefault="000342E8" w:rsidP="002058A0">
            <w:pPr>
              <w:jc w:val="both"/>
              <w:rPr>
                <w:rFonts w:cs="Arial"/>
                <w:color w:val="000000"/>
                <w:sz w:val="20"/>
                <w:szCs w:val="20"/>
                <w:lang w:eastAsia="es-CO"/>
              </w:rPr>
            </w:pPr>
          </w:p>
          <w:p w14:paraId="612BB1BE" w14:textId="644EBEF5" w:rsidR="000342E8" w:rsidRPr="00EB0C51" w:rsidRDefault="000342E8" w:rsidP="002058A0">
            <w:pPr>
              <w:jc w:val="both"/>
              <w:rPr>
                <w:rFonts w:cs="Arial"/>
                <w:color w:val="000000"/>
                <w:sz w:val="20"/>
                <w:szCs w:val="20"/>
                <w:lang w:eastAsia="es-CO"/>
              </w:rPr>
            </w:pPr>
          </w:p>
          <w:p w14:paraId="3C009D4A" w14:textId="7E9EE304" w:rsidR="000342E8" w:rsidRPr="00EB0C51" w:rsidRDefault="000342E8" w:rsidP="002058A0">
            <w:pPr>
              <w:jc w:val="both"/>
              <w:rPr>
                <w:rFonts w:cs="Arial"/>
                <w:color w:val="000000"/>
                <w:sz w:val="20"/>
                <w:szCs w:val="20"/>
                <w:lang w:eastAsia="es-CO"/>
              </w:rPr>
            </w:pPr>
          </w:p>
          <w:p w14:paraId="30780711" w14:textId="07B3DF56" w:rsidR="000342E8" w:rsidRPr="00EB0C51" w:rsidRDefault="000342E8" w:rsidP="002058A0">
            <w:pPr>
              <w:jc w:val="both"/>
              <w:rPr>
                <w:rFonts w:cs="Arial"/>
                <w:color w:val="000000"/>
                <w:sz w:val="20"/>
                <w:szCs w:val="20"/>
                <w:lang w:eastAsia="es-CO"/>
              </w:rPr>
            </w:pPr>
          </w:p>
          <w:p w14:paraId="1A8B96A6" w14:textId="781F1ED1" w:rsidR="000342E8" w:rsidRPr="00EB0C51" w:rsidRDefault="000342E8" w:rsidP="002058A0">
            <w:pPr>
              <w:jc w:val="both"/>
              <w:rPr>
                <w:rFonts w:cs="Arial"/>
                <w:color w:val="000000"/>
                <w:sz w:val="20"/>
                <w:szCs w:val="20"/>
                <w:lang w:eastAsia="es-CO"/>
              </w:rPr>
            </w:pPr>
          </w:p>
          <w:p w14:paraId="5CEE20D3" w14:textId="366E23E2" w:rsidR="000342E8" w:rsidRPr="00EB0C51" w:rsidRDefault="000342E8" w:rsidP="002058A0">
            <w:pPr>
              <w:jc w:val="both"/>
              <w:rPr>
                <w:rFonts w:cs="Arial"/>
                <w:color w:val="000000"/>
                <w:sz w:val="20"/>
                <w:szCs w:val="20"/>
                <w:lang w:eastAsia="es-CO"/>
              </w:rPr>
            </w:pPr>
          </w:p>
          <w:p w14:paraId="3A6357CA" w14:textId="102BAD30" w:rsidR="000342E8" w:rsidRPr="00EB0C51" w:rsidRDefault="000342E8" w:rsidP="002058A0">
            <w:pPr>
              <w:jc w:val="both"/>
              <w:rPr>
                <w:rFonts w:cs="Arial"/>
                <w:color w:val="000000"/>
                <w:sz w:val="20"/>
                <w:szCs w:val="20"/>
                <w:lang w:eastAsia="es-CO"/>
              </w:rPr>
            </w:pPr>
          </w:p>
          <w:p w14:paraId="769FC4E1" w14:textId="6A50DFA6" w:rsidR="000342E8" w:rsidRPr="00EB0C51" w:rsidRDefault="000342E8" w:rsidP="002058A0">
            <w:pPr>
              <w:jc w:val="both"/>
              <w:rPr>
                <w:rFonts w:cs="Arial"/>
                <w:color w:val="000000"/>
                <w:sz w:val="20"/>
                <w:szCs w:val="20"/>
                <w:lang w:eastAsia="es-CO"/>
              </w:rPr>
            </w:pPr>
          </w:p>
          <w:p w14:paraId="3BA0E382" w14:textId="2644C3E6" w:rsidR="000342E8" w:rsidRPr="00EB0C51" w:rsidRDefault="000342E8" w:rsidP="002058A0">
            <w:pPr>
              <w:jc w:val="both"/>
              <w:rPr>
                <w:rFonts w:cs="Arial"/>
                <w:color w:val="000000"/>
                <w:sz w:val="20"/>
                <w:szCs w:val="20"/>
                <w:lang w:eastAsia="es-CO"/>
              </w:rPr>
            </w:pPr>
          </w:p>
          <w:p w14:paraId="371C27F2" w14:textId="4E353D23" w:rsidR="000342E8" w:rsidRPr="00EB0C51" w:rsidRDefault="000342E8" w:rsidP="002058A0">
            <w:pPr>
              <w:jc w:val="both"/>
              <w:rPr>
                <w:rFonts w:cs="Arial"/>
                <w:color w:val="000000"/>
                <w:sz w:val="20"/>
                <w:szCs w:val="20"/>
                <w:lang w:eastAsia="es-CO"/>
              </w:rPr>
            </w:pPr>
          </w:p>
          <w:p w14:paraId="6B7759D4" w14:textId="5CBE0C5B" w:rsidR="000342E8" w:rsidRPr="00EB0C51" w:rsidRDefault="000342E8" w:rsidP="002058A0">
            <w:pPr>
              <w:jc w:val="both"/>
              <w:rPr>
                <w:rFonts w:cs="Arial"/>
                <w:color w:val="000000"/>
                <w:sz w:val="20"/>
                <w:szCs w:val="20"/>
                <w:lang w:eastAsia="es-CO"/>
              </w:rPr>
            </w:pPr>
          </w:p>
          <w:p w14:paraId="01ECE018" w14:textId="77777777" w:rsidR="000342E8" w:rsidRPr="00EB0C51" w:rsidRDefault="000342E8" w:rsidP="002058A0">
            <w:pPr>
              <w:jc w:val="both"/>
              <w:rPr>
                <w:rFonts w:cs="Arial"/>
                <w:color w:val="000000"/>
                <w:sz w:val="20"/>
                <w:szCs w:val="20"/>
                <w:lang w:eastAsia="es-CO"/>
              </w:rPr>
            </w:pPr>
          </w:p>
          <w:p w14:paraId="4F5FAA9C" w14:textId="77777777" w:rsidR="000342E8" w:rsidRPr="00EB0C51" w:rsidRDefault="000342E8" w:rsidP="002058A0">
            <w:pPr>
              <w:jc w:val="both"/>
              <w:rPr>
                <w:rFonts w:cs="Arial"/>
                <w:color w:val="000000"/>
                <w:sz w:val="20"/>
                <w:szCs w:val="20"/>
                <w:lang w:eastAsia="es-CO"/>
              </w:rPr>
            </w:pPr>
          </w:p>
          <w:p w14:paraId="239A7BB3" w14:textId="77777777" w:rsidR="000342E8" w:rsidRPr="00EB0C51" w:rsidRDefault="000342E8" w:rsidP="002058A0">
            <w:pPr>
              <w:jc w:val="both"/>
              <w:rPr>
                <w:rFonts w:cs="Arial"/>
                <w:color w:val="000000"/>
                <w:sz w:val="20"/>
                <w:szCs w:val="20"/>
                <w:lang w:eastAsia="es-CO"/>
              </w:rPr>
            </w:pPr>
          </w:p>
          <w:p w14:paraId="1F0BA9EC" w14:textId="77777777" w:rsidR="000342E8" w:rsidRPr="00EB0C51" w:rsidRDefault="000342E8" w:rsidP="002058A0">
            <w:pPr>
              <w:jc w:val="both"/>
              <w:rPr>
                <w:rFonts w:cs="Arial"/>
                <w:color w:val="000000"/>
                <w:sz w:val="20"/>
                <w:szCs w:val="20"/>
                <w:lang w:eastAsia="es-CO"/>
              </w:rPr>
            </w:pPr>
          </w:p>
          <w:p w14:paraId="333CAD6D" w14:textId="77777777" w:rsidR="000342E8" w:rsidRPr="00EB0C51" w:rsidRDefault="000342E8" w:rsidP="002058A0">
            <w:pPr>
              <w:jc w:val="both"/>
              <w:rPr>
                <w:rFonts w:cs="Arial"/>
                <w:color w:val="000000"/>
                <w:sz w:val="20"/>
                <w:szCs w:val="20"/>
                <w:lang w:eastAsia="es-CO"/>
              </w:rPr>
            </w:pPr>
          </w:p>
          <w:p w14:paraId="60346335" w14:textId="77777777" w:rsidR="000342E8" w:rsidRPr="00EB0C51" w:rsidRDefault="000342E8" w:rsidP="002058A0">
            <w:pPr>
              <w:jc w:val="both"/>
              <w:rPr>
                <w:rFonts w:cs="Arial"/>
                <w:color w:val="000000"/>
                <w:sz w:val="20"/>
                <w:szCs w:val="20"/>
                <w:lang w:eastAsia="es-CO"/>
              </w:rPr>
            </w:pPr>
          </w:p>
          <w:p w14:paraId="1C8B524A" w14:textId="77777777" w:rsidR="000342E8" w:rsidRPr="00EB0C51" w:rsidRDefault="000342E8" w:rsidP="002058A0">
            <w:pPr>
              <w:jc w:val="both"/>
              <w:rPr>
                <w:rFonts w:cs="Arial"/>
                <w:color w:val="000000"/>
                <w:sz w:val="20"/>
                <w:szCs w:val="20"/>
                <w:lang w:eastAsia="es-CO"/>
              </w:rPr>
            </w:pPr>
          </w:p>
          <w:p w14:paraId="323EFAD3" w14:textId="54CECC95" w:rsidR="000342E8" w:rsidRPr="00EB0C51" w:rsidRDefault="000342E8" w:rsidP="002058A0">
            <w:pPr>
              <w:jc w:val="both"/>
              <w:rPr>
                <w:rFonts w:cs="Arial"/>
                <w:color w:val="000000"/>
                <w:sz w:val="20"/>
                <w:szCs w:val="20"/>
                <w:lang w:eastAsia="es-CO"/>
              </w:rPr>
            </w:pPr>
            <w:r w:rsidRPr="00EB0C51">
              <w:rPr>
                <w:rFonts w:cs="Arial"/>
                <w:color w:val="000000"/>
                <w:sz w:val="20"/>
                <w:szCs w:val="20"/>
                <w:lang w:eastAsia="es-CO"/>
              </w:rPr>
              <w:t>Mejoramiento e  Integración de la Información en la Gestión Financiera Pública Nacional</w:t>
            </w:r>
          </w:p>
        </w:tc>
        <w:tc>
          <w:tcPr>
            <w:tcW w:w="2153" w:type="dxa"/>
            <w:tcBorders>
              <w:top w:val="nil"/>
              <w:left w:val="nil"/>
              <w:bottom w:val="single" w:sz="4" w:space="0" w:color="auto"/>
              <w:right w:val="single" w:sz="4" w:space="0" w:color="auto"/>
            </w:tcBorders>
            <w:shd w:val="clear" w:color="auto" w:fill="auto"/>
            <w:vAlign w:val="center"/>
            <w:hideMark/>
          </w:tcPr>
          <w:p w14:paraId="4E4E34E3" w14:textId="77777777" w:rsidR="000342E8" w:rsidRPr="00EB0C51" w:rsidRDefault="000342E8" w:rsidP="007F45AA">
            <w:pPr>
              <w:jc w:val="both"/>
              <w:rPr>
                <w:rFonts w:cs="Arial"/>
                <w:color w:val="000000"/>
                <w:sz w:val="20"/>
                <w:szCs w:val="20"/>
                <w:lang w:eastAsia="es-CO"/>
              </w:rPr>
            </w:pPr>
          </w:p>
          <w:p w14:paraId="766A7EA6" w14:textId="77777777" w:rsidR="000342E8" w:rsidRPr="00EB0C51" w:rsidRDefault="000342E8" w:rsidP="007F45AA">
            <w:pPr>
              <w:jc w:val="both"/>
              <w:rPr>
                <w:rFonts w:cs="Arial"/>
                <w:color w:val="000000"/>
                <w:sz w:val="20"/>
                <w:szCs w:val="20"/>
                <w:lang w:eastAsia="es-CO"/>
              </w:rPr>
            </w:pPr>
          </w:p>
          <w:p w14:paraId="2F7E1527" w14:textId="77777777" w:rsidR="000342E8" w:rsidRPr="00EB0C51" w:rsidRDefault="000342E8" w:rsidP="007F45AA">
            <w:pPr>
              <w:jc w:val="both"/>
              <w:rPr>
                <w:rFonts w:cs="Arial"/>
                <w:color w:val="000000"/>
                <w:sz w:val="20"/>
                <w:szCs w:val="20"/>
                <w:lang w:eastAsia="es-CO"/>
              </w:rPr>
            </w:pPr>
          </w:p>
          <w:p w14:paraId="409852D9" w14:textId="77777777" w:rsidR="000342E8" w:rsidRPr="00EB0C51" w:rsidRDefault="000342E8" w:rsidP="007F45AA">
            <w:pPr>
              <w:jc w:val="both"/>
              <w:rPr>
                <w:rFonts w:cs="Arial"/>
                <w:color w:val="000000"/>
                <w:sz w:val="20"/>
                <w:szCs w:val="20"/>
                <w:lang w:eastAsia="es-CO"/>
              </w:rPr>
            </w:pPr>
          </w:p>
          <w:p w14:paraId="11A3D58E" w14:textId="77777777" w:rsidR="000342E8" w:rsidRPr="00EB0C51" w:rsidRDefault="000342E8" w:rsidP="007F45AA">
            <w:pPr>
              <w:jc w:val="both"/>
              <w:rPr>
                <w:rFonts w:cs="Arial"/>
                <w:color w:val="000000"/>
                <w:sz w:val="20"/>
                <w:szCs w:val="20"/>
                <w:lang w:eastAsia="es-CO"/>
              </w:rPr>
            </w:pPr>
          </w:p>
          <w:p w14:paraId="3B951796" w14:textId="650B19FF" w:rsidR="000342E8" w:rsidRPr="00EB0C51" w:rsidRDefault="000342E8" w:rsidP="007F45AA">
            <w:pPr>
              <w:jc w:val="both"/>
              <w:rPr>
                <w:rFonts w:cs="Arial"/>
                <w:color w:val="000000"/>
                <w:sz w:val="20"/>
                <w:szCs w:val="20"/>
                <w:lang w:eastAsia="es-CO"/>
              </w:rPr>
            </w:pPr>
          </w:p>
          <w:p w14:paraId="2163F59B" w14:textId="77777777" w:rsidR="000342E8" w:rsidRPr="00EB0C51" w:rsidRDefault="000342E8" w:rsidP="007F45AA">
            <w:pPr>
              <w:jc w:val="both"/>
              <w:rPr>
                <w:rFonts w:cs="Arial"/>
                <w:color w:val="000000"/>
                <w:sz w:val="20"/>
                <w:szCs w:val="20"/>
                <w:lang w:eastAsia="es-CO"/>
              </w:rPr>
            </w:pPr>
          </w:p>
          <w:p w14:paraId="390C5A91" w14:textId="77777777" w:rsidR="000342E8" w:rsidRPr="00EB0C51" w:rsidRDefault="000342E8" w:rsidP="007F45AA">
            <w:pPr>
              <w:jc w:val="both"/>
              <w:rPr>
                <w:rFonts w:cs="Arial"/>
                <w:color w:val="000000"/>
                <w:sz w:val="20"/>
                <w:szCs w:val="20"/>
                <w:lang w:eastAsia="es-CO"/>
              </w:rPr>
            </w:pPr>
          </w:p>
          <w:p w14:paraId="6F2B0056" w14:textId="61B6B360"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 xml:space="preserve">Oficina Asesora de Planeación </w:t>
            </w:r>
            <w:r w:rsidR="000342E8" w:rsidRPr="00EB0C51">
              <w:rPr>
                <w:rFonts w:cs="Arial"/>
                <w:color w:val="000000"/>
                <w:sz w:val="20"/>
                <w:szCs w:val="20"/>
                <w:lang w:eastAsia="es-CO"/>
              </w:rPr>
              <w:t>–</w:t>
            </w:r>
            <w:r w:rsidRPr="00EB0C51">
              <w:rPr>
                <w:rFonts w:cs="Arial"/>
                <w:color w:val="000000"/>
                <w:sz w:val="20"/>
                <w:szCs w:val="20"/>
                <w:lang w:eastAsia="es-CO"/>
              </w:rPr>
              <w:t xml:space="preserve"> OAP</w:t>
            </w:r>
          </w:p>
          <w:p w14:paraId="501CE8E2" w14:textId="77777777" w:rsidR="000342E8" w:rsidRPr="00EB0C51" w:rsidRDefault="000342E8" w:rsidP="007F45AA">
            <w:pPr>
              <w:jc w:val="both"/>
              <w:rPr>
                <w:rFonts w:cs="Arial"/>
                <w:color w:val="000000"/>
                <w:sz w:val="20"/>
                <w:szCs w:val="20"/>
                <w:lang w:eastAsia="es-CO"/>
              </w:rPr>
            </w:pPr>
          </w:p>
          <w:p w14:paraId="428F583A" w14:textId="29FB4DB6" w:rsidR="000342E8" w:rsidRPr="00EB0C51" w:rsidRDefault="000342E8" w:rsidP="007F45AA">
            <w:pPr>
              <w:jc w:val="both"/>
              <w:rPr>
                <w:rFonts w:cs="Arial"/>
                <w:color w:val="000000"/>
                <w:sz w:val="20"/>
                <w:szCs w:val="20"/>
                <w:lang w:eastAsia="es-CO"/>
              </w:rPr>
            </w:pPr>
          </w:p>
          <w:p w14:paraId="28E0FB36" w14:textId="5A121404" w:rsidR="000342E8" w:rsidRPr="00EB0C51" w:rsidRDefault="000342E8" w:rsidP="007F45AA">
            <w:pPr>
              <w:jc w:val="both"/>
              <w:rPr>
                <w:rFonts w:cs="Arial"/>
                <w:color w:val="000000"/>
                <w:sz w:val="20"/>
                <w:szCs w:val="20"/>
                <w:lang w:eastAsia="es-CO"/>
              </w:rPr>
            </w:pPr>
          </w:p>
          <w:p w14:paraId="0296CFA6" w14:textId="6EA8BFE2" w:rsidR="000342E8" w:rsidRPr="00EB0C51" w:rsidRDefault="000342E8" w:rsidP="007F45AA">
            <w:pPr>
              <w:jc w:val="both"/>
              <w:rPr>
                <w:rFonts w:cs="Arial"/>
                <w:color w:val="000000"/>
                <w:sz w:val="20"/>
                <w:szCs w:val="20"/>
                <w:lang w:eastAsia="es-CO"/>
              </w:rPr>
            </w:pPr>
          </w:p>
          <w:p w14:paraId="5AD6443A" w14:textId="6904510A" w:rsidR="000342E8" w:rsidRPr="00EB0C51" w:rsidRDefault="000342E8" w:rsidP="007F45AA">
            <w:pPr>
              <w:jc w:val="both"/>
              <w:rPr>
                <w:rFonts w:cs="Arial"/>
                <w:color w:val="000000"/>
                <w:sz w:val="20"/>
                <w:szCs w:val="20"/>
                <w:lang w:eastAsia="es-CO"/>
              </w:rPr>
            </w:pPr>
          </w:p>
          <w:p w14:paraId="65A5E304" w14:textId="2803105C" w:rsidR="000342E8" w:rsidRPr="00EB0C51" w:rsidRDefault="000342E8" w:rsidP="007F45AA">
            <w:pPr>
              <w:jc w:val="both"/>
              <w:rPr>
                <w:rFonts w:cs="Arial"/>
                <w:color w:val="000000"/>
                <w:sz w:val="20"/>
                <w:szCs w:val="20"/>
                <w:lang w:eastAsia="es-CO"/>
              </w:rPr>
            </w:pPr>
          </w:p>
          <w:p w14:paraId="18974F39" w14:textId="7FC70137" w:rsidR="000342E8" w:rsidRPr="00EB0C51" w:rsidRDefault="000342E8" w:rsidP="007F45AA">
            <w:pPr>
              <w:jc w:val="both"/>
              <w:rPr>
                <w:rFonts w:cs="Arial"/>
                <w:color w:val="000000"/>
                <w:sz w:val="20"/>
                <w:szCs w:val="20"/>
                <w:lang w:eastAsia="es-CO"/>
              </w:rPr>
            </w:pPr>
          </w:p>
          <w:p w14:paraId="10868E13" w14:textId="15052262" w:rsidR="000342E8" w:rsidRPr="00EB0C51" w:rsidRDefault="000342E8" w:rsidP="007F45AA">
            <w:pPr>
              <w:jc w:val="both"/>
              <w:rPr>
                <w:rFonts w:cs="Arial"/>
                <w:color w:val="000000"/>
                <w:sz w:val="20"/>
                <w:szCs w:val="20"/>
                <w:lang w:eastAsia="es-CO"/>
              </w:rPr>
            </w:pPr>
          </w:p>
          <w:p w14:paraId="0104B4EA" w14:textId="2C9D2809" w:rsidR="000342E8" w:rsidRPr="00EB0C51" w:rsidRDefault="000342E8" w:rsidP="007F45AA">
            <w:pPr>
              <w:jc w:val="both"/>
              <w:rPr>
                <w:rFonts w:cs="Arial"/>
                <w:color w:val="000000"/>
                <w:sz w:val="20"/>
                <w:szCs w:val="20"/>
                <w:lang w:eastAsia="es-CO"/>
              </w:rPr>
            </w:pPr>
          </w:p>
          <w:p w14:paraId="2415AF7F" w14:textId="6EFA7263" w:rsidR="000342E8" w:rsidRPr="00EB0C51" w:rsidRDefault="000342E8" w:rsidP="007F45AA">
            <w:pPr>
              <w:jc w:val="both"/>
              <w:rPr>
                <w:rFonts w:cs="Arial"/>
                <w:color w:val="000000"/>
                <w:sz w:val="20"/>
                <w:szCs w:val="20"/>
                <w:lang w:eastAsia="es-CO"/>
              </w:rPr>
            </w:pPr>
          </w:p>
          <w:p w14:paraId="190340F5" w14:textId="2CDFB1F9" w:rsidR="000342E8" w:rsidRPr="00EB0C51" w:rsidRDefault="000342E8" w:rsidP="007F45AA">
            <w:pPr>
              <w:jc w:val="both"/>
              <w:rPr>
                <w:rFonts w:cs="Arial"/>
                <w:color w:val="000000"/>
                <w:sz w:val="20"/>
                <w:szCs w:val="20"/>
                <w:lang w:eastAsia="es-CO"/>
              </w:rPr>
            </w:pPr>
          </w:p>
          <w:p w14:paraId="1CBB756D" w14:textId="5E949383" w:rsidR="000342E8" w:rsidRPr="00EB0C51" w:rsidRDefault="000342E8" w:rsidP="007F45AA">
            <w:pPr>
              <w:jc w:val="both"/>
              <w:rPr>
                <w:rFonts w:cs="Arial"/>
                <w:color w:val="000000"/>
                <w:sz w:val="20"/>
                <w:szCs w:val="20"/>
                <w:lang w:eastAsia="es-CO"/>
              </w:rPr>
            </w:pPr>
          </w:p>
          <w:p w14:paraId="04EBFC48" w14:textId="6C3A1B03" w:rsidR="000342E8" w:rsidRPr="00EB0C51" w:rsidRDefault="000342E8" w:rsidP="007F45AA">
            <w:pPr>
              <w:jc w:val="both"/>
              <w:rPr>
                <w:rFonts w:cs="Arial"/>
                <w:color w:val="000000"/>
                <w:sz w:val="20"/>
                <w:szCs w:val="20"/>
                <w:lang w:eastAsia="es-CO"/>
              </w:rPr>
            </w:pPr>
          </w:p>
          <w:p w14:paraId="0C2B3F86" w14:textId="7230ADDA" w:rsidR="000342E8" w:rsidRPr="00EB0C51" w:rsidRDefault="000342E8" w:rsidP="007F45AA">
            <w:pPr>
              <w:jc w:val="both"/>
              <w:rPr>
                <w:rFonts w:cs="Arial"/>
                <w:color w:val="000000"/>
                <w:sz w:val="20"/>
                <w:szCs w:val="20"/>
                <w:lang w:eastAsia="es-CO"/>
              </w:rPr>
            </w:pPr>
          </w:p>
          <w:p w14:paraId="508A6A8C" w14:textId="69265B7E" w:rsidR="000342E8" w:rsidRPr="00EB0C51" w:rsidRDefault="000342E8" w:rsidP="007F45AA">
            <w:pPr>
              <w:jc w:val="both"/>
              <w:rPr>
                <w:rFonts w:cs="Arial"/>
                <w:color w:val="000000"/>
                <w:sz w:val="20"/>
                <w:szCs w:val="20"/>
                <w:lang w:eastAsia="es-CO"/>
              </w:rPr>
            </w:pPr>
          </w:p>
          <w:p w14:paraId="7F90DA6B" w14:textId="73183F6B" w:rsidR="000342E8" w:rsidRPr="00EB0C51" w:rsidRDefault="000342E8" w:rsidP="007F45AA">
            <w:pPr>
              <w:jc w:val="both"/>
              <w:rPr>
                <w:rFonts w:cs="Arial"/>
                <w:color w:val="000000"/>
                <w:sz w:val="20"/>
                <w:szCs w:val="20"/>
                <w:lang w:eastAsia="es-CO"/>
              </w:rPr>
            </w:pPr>
          </w:p>
          <w:p w14:paraId="0445D227" w14:textId="059BD366" w:rsidR="000342E8" w:rsidRPr="00EB0C51" w:rsidRDefault="000342E8" w:rsidP="007F45AA">
            <w:pPr>
              <w:jc w:val="both"/>
              <w:rPr>
                <w:rFonts w:cs="Arial"/>
                <w:color w:val="000000"/>
                <w:sz w:val="20"/>
                <w:szCs w:val="20"/>
                <w:lang w:eastAsia="es-CO"/>
              </w:rPr>
            </w:pPr>
          </w:p>
          <w:p w14:paraId="4609B07E" w14:textId="7CC4B3B4" w:rsidR="000342E8" w:rsidRPr="00EB0C51" w:rsidRDefault="000342E8" w:rsidP="007F45AA">
            <w:pPr>
              <w:jc w:val="both"/>
              <w:rPr>
                <w:rFonts w:cs="Arial"/>
                <w:color w:val="000000"/>
                <w:sz w:val="20"/>
                <w:szCs w:val="20"/>
                <w:lang w:eastAsia="es-CO"/>
              </w:rPr>
            </w:pPr>
          </w:p>
          <w:p w14:paraId="212EE9BE" w14:textId="1FC9E07D" w:rsidR="000342E8" w:rsidRPr="00EB0C51" w:rsidRDefault="000342E8" w:rsidP="007F45AA">
            <w:pPr>
              <w:jc w:val="both"/>
              <w:rPr>
                <w:rFonts w:cs="Arial"/>
                <w:color w:val="000000"/>
                <w:sz w:val="20"/>
                <w:szCs w:val="20"/>
                <w:lang w:eastAsia="es-CO"/>
              </w:rPr>
            </w:pPr>
          </w:p>
          <w:p w14:paraId="1EB5D34F" w14:textId="29C6D86F" w:rsidR="000342E8" w:rsidRPr="00EB0C51" w:rsidRDefault="000342E8" w:rsidP="007F45AA">
            <w:pPr>
              <w:jc w:val="both"/>
              <w:rPr>
                <w:rFonts w:cs="Arial"/>
                <w:color w:val="000000"/>
                <w:sz w:val="20"/>
                <w:szCs w:val="20"/>
                <w:lang w:eastAsia="es-CO"/>
              </w:rPr>
            </w:pPr>
          </w:p>
          <w:p w14:paraId="4C69D6B7" w14:textId="135F13C2" w:rsidR="000342E8" w:rsidRPr="00EB0C51" w:rsidRDefault="000342E8" w:rsidP="007F45AA">
            <w:pPr>
              <w:jc w:val="both"/>
              <w:rPr>
                <w:rFonts w:cs="Arial"/>
                <w:color w:val="000000"/>
                <w:sz w:val="20"/>
                <w:szCs w:val="20"/>
                <w:lang w:eastAsia="es-CO"/>
              </w:rPr>
            </w:pPr>
          </w:p>
          <w:p w14:paraId="4185B4D2" w14:textId="4176B0BC" w:rsidR="000342E8" w:rsidRPr="00EB0C51" w:rsidRDefault="000342E8" w:rsidP="007F45AA">
            <w:pPr>
              <w:jc w:val="both"/>
              <w:rPr>
                <w:rFonts w:cs="Arial"/>
                <w:color w:val="000000"/>
                <w:sz w:val="20"/>
                <w:szCs w:val="20"/>
                <w:lang w:eastAsia="es-CO"/>
              </w:rPr>
            </w:pPr>
          </w:p>
          <w:p w14:paraId="0166EAFA" w14:textId="645121A8" w:rsidR="000342E8" w:rsidRPr="00EB0C51" w:rsidRDefault="000342E8" w:rsidP="007F45AA">
            <w:pPr>
              <w:jc w:val="both"/>
              <w:rPr>
                <w:rFonts w:cs="Arial"/>
                <w:color w:val="000000"/>
                <w:sz w:val="20"/>
                <w:szCs w:val="20"/>
                <w:lang w:eastAsia="es-CO"/>
              </w:rPr>
            </w:pPr>
          </w:p>
          <w:p w14:paraId="178503A6" w14:textId="77777777" w:rsidR="000342E8" w:rsidRPr="00EB0C51" w:rsidRDefault="000342E8" w:rsidP="007F45AA">
            <w:pPr>
              <w:jc w:val="both"/>
              <w:rPr>
                <w:rFonts w:cs="Arial"/>
                <w:color w:val="000000"/>
                <w:sz w:val="20"/>
                <w:szCs w:val="20"/>
                <w:lang w:eastAsia="es-CO"/>
              </w:rPr>
            </w:pPr>
          </w:p>
          <w:p w14:paraId="60E8FBA7" w14:textId="77777777" w:rsidR="000342E8" w:rsidRPr="00EB0C51" w:rsidRDefault="000342E8" w:rsidP="007F45AA">
            <w:pPr>
              <w:jc w:val="both"/>
              <w:rPr>
                <w:rFonts w:cs="Arial"/>
                <w:color w:val="000000"/>
                <w:sz w:val="20"/>
                <w:szCs w:val="20"/>
                <w:lang w:eastAsia="es-CO"/>
              </w:rPr>
            </w:pPr>
          </w:p>
          <w:p w14:paraId="77AE39C9" w14:textId="7F89DCD4" w:rsidR="000342E8" w:rsidRPr="00EB0C51" w:rsidRDefault="000342E8" w:rsidP="007F45AA">
            <w:pPr>
              <w:jc w:val="both"/>
              <w:rPr>
                <w:rFonts w:cs="Arial"/>
                <w:color w:val="000000"/>
                <w:sz w:val="20"/>
                <w:szCs w:val="20"/>
                <w:lang w:eastAsia="es-CO"/>
              </w:rPr>
            </w:pPr>
            <w:r w:rsidRPr="00EB0C51">
              <w:rPr>
                <w:rFonts w:cs="Arial"/>
                <w:color w:val="000000"/>
                <w:sz w:val="20"/>
                <w:szCs w:val="20"/>
                <w:lang w:eastAsia="es-CO"/>
              </w:rPr>
              <w:t>Oficina Asesora de Planeación – OAP</w:t>
            </w:r>
          </w:p>
          <w:p w14:paraId="2F31F83A" w14:textId="77777777" w:rsidR="000342E8" w:rsidRPr="00EB0C51" w:rsidRDefault="000342E8" w:rsidP="007F45AA">
            <w:pPr>
              <w:jc w:val="both"/>
              <w:rPr>
                <w:rFonts w:cs="Arial"/>
                <w:color w:val="000000"/>
                <w:sz w:val="20"/>
                <w:szCs w:val="20"/>
                <w:lang w:eastAsia="es-CO"/>
              </w:rPr>
            </w:pPr>
          </w:p>
          <w:p w14:paraId="1FAA2C9F" w14:textId="64E9BF89" w:rsidR="000342E8" w:rsidRPr="00EB0C51" w:rsidRDefault="000342E8" w:rsidP="007F45AA">
            <w:pPr>
              <w:jc w:val="both"/>
              <w:rPr>
                <w:rFonts w:cs="Arial"/>
                <w:color w:val="000000"/>
                <w:sz w:val="20"/>
                <w:szCs w:val="20"/>
                <w:lang w:eastAsia="es-CO"/>
              </w:rPr>
            </w:pPr>
          </w:p>
          <w:p w14:paraId="7665C880" w14:textId="39C9DF9F" w:rsidR="000342E8" w:rsidRPr="00EB0C51" w:rsidRDefault="000342E8" w:rsidP="007F45AA">
            <w:pPr>
              <w:jc w:val="both"/>
              <w:rPr>
                <w:rFonts w:cs="Arial"/>
                <w:color w:val="000000"/>
                <w:sz w:val="20"/>
                <w:szCs w:val="20"/>
                <w:lang w:eastAsia="es-CO"/>
              </w:rPr>
            </w:pPr>
          </w:p>
          <w:p w14:paraId="109499D3" w14:textId="2FDDFCEF" w:rsidR="000342E8" w:rsidRPr="00EB0C51" w:rsidRDefault="000342E8" w:rsidP="007F45AA">
            <w:pPr>
              <w:jc w:val="both"/>
              <w:rPr>
                <w:rFonts w:cs="Arial"/>
                <w:color w:val="000000"/>
                <w:sz w:val="20"/>
                <w:szCs w:val="20"/>
                <w:lang w:eastAsia="es-CO"/>
              </w:rPr>
            </w:pPr>
          </w:p>
          <w:p w14:paraId="723D2906" w14:textId="2F5BC0F8" w:rsidR="000342E8" w:rsidRPr="00EB0C51" w:rsidRDefault="000342E8" w:rsidP="007F45AA">
            <w:pPr>
              <w:jc w:val="both"/>
              <w:rPr>
                <w:rFonts w:cs="Arial"/>
                <w:color w:val="000000"/>
                <w:sz w:val="20"/>
                <w:szCs w:val="20"/>
                <w:lang w:eastAsia="es-CO"/>
              </w:rPr>
            </w:pPr>
          </w:p>
          <w:p w14:paraId="6E06B23F" w14:textId="11F11805" w:rsidR="000342E8" w:rsidRPr="00EB0C51" w:rsidRDefault="000342E8" w:rsidP="007F45AA">
            <w:pPr>
              <w:jc w:val="both"/>
              <w:rPr>
                <w:rFonts w:cs="Arial"/>
                <w:color w:val="000000"/>
                <w:sz w:val="20"/>
                <w:szCs w:val="20"/>
                <w:lang w:eastAsia="es-CO"/>
              </w:rPr>
            </w:pPr>
          </w:p>
          <w:p w14:paraId="6933387A" w14:textId="6D0A9727" w:rsidR="000342E8" w:rsidRPr="00EB0C51" w:rsidRDefault="000342E8" w:rsidP="007F45AA">
            <w:pPr>
              <w:jc w:val="both"/>
              <w:rPr>
                <w:rFonts w:cs="Arial"/>
                <w:color w:val="000000"/>
                <w:sz w:val="20"/>
                <w:szCs w:val="20"/>
                <w:lang w:eastAsia="es-CO"/>
              </w:rPr>
            </w:pPr>
          </w:p>
          <w:p w14:paraId="4A55B684" w14:textId="5547CFD3" w:rsidR="000342E8" w:rsidRPr="00EB0C51" w:rsidRDefault="000342E8" w:rsidP="007F45AA">
            <w:pPr>
              <w:jc w:val="both"/>
              <w:rPr>
                <w:rFonts w:cs="Arial"/>
                <w:color w:val="000000"/>
                <w:sz w:val="20"/>
                <w:szCs w:val="20"/>
                <w:lang w:eastAsia="es-CO"/>
              </w:rPr>
            </w:pPr>
          </w:p>
          <w:p w14:paraId="3EFCC4BE" w14:textId="021486DE" w:rsidR="000342E8" w:rsidRPr="00EB0C51" w:rsidRDefault="000342E8" w:rsidP="007F45AA">
            <w:pPr>
              <w:jc w:val="both"/>
              <w:rPr>
                <w:rFonts w:cs="Arial"/>
                <w:color w:val="000000"/>
                <w:sz w:val="20"/>
                <w:szCs w:val="20"/>
                <w:lang w:eastAsia="es-CO"/>
              </w:rPr>
            </w:pPr>
          </w:p>
          <w:p w14:paraId="68869DF4" w14:textId="0F669966" w:rsidR="000342E8" w:rsidRPr="00EB0C51" w:rsidRDefault="000342E8" w:rsidP="007F45AA">
            <w:pPr>
              <w:jc w:val="both"/>
              <w:rPr>
                <w:rFonts w:cs="Arial"/>
                <w:color w:val="000000"/>
                <w:sz w:val="20"/>
                <w:szCs w:val="20"/>
                <w:lang w:eastAsia="es-CO"/>
              </w:rPr>
            </w:pPr>
          </w:p>
          <w:p w14:paraId="6E179CEB" w14:textId="1AEBCC6C" w:rsidR="000342E8" w:rsidRPr="00EB0C51" w:rsidRDefault="000342E8" w:rsidP="007F45AA">
            <w:pPr>
              <w:jc w:val="both"/>
              <w:rPr>
                <w:rFonts w:cs="Arial"/>
                <w:color w:val="000000"/>
                <w:sz w:val="20"/>
                <w:szCs w:val="20"/>
                <w:lang w:eastAsia="es-CO"/>
              </w:rPr>
            </w:pPr>
          </w:p>
          <w:p w14:paraId="630E182F" w14:textId="2EC2B1D2" w:rsidR="000342E8" w:rsidRPr="00EB0C51" w:rsidRDefault="000342E8" w:rsidP="007F45AA">
            <w:pPr>
              <w:jc w:val="both"/>
              <w:rPr>
                <w:rFonts w:cs="Arial"/>
                <w:color w:val="000000"/>
                <w:sz w:val="20"/>
                <w:szCs w:val="20"/>
                <w:lang w:eastAsia="es-CO"/>
              </w:rPr>
            </w:pPr>
          </w:p>
          <w:p w14:paraId="7E2C8A98" w14:textId="0DCDEA19" w:rsidR="000342E8" w:rsidRPr="00EB0C51" w:rsidRDefault="000342E8" w:rsidP="007F45AA">
            <w:pPr>
              <w:jc w:val="both"/>
              <w:rPr>
                <w:rFonts w:cs="Arial"/>
                <w:color w:val="000000"/>
                <w:sz w:val="20"/>
                <w:szCs w:val="20"/>
                <w:lang w:eastAsia="es-CO"/>
              </w:rPr>
            </w:pPr>
          </w:p>
          <w:p w14:paraId="2F9A84BE" w14:textId="55E347B0" w:rsidR="000342E8" w:rsidRPr="00EB0C51" w:rsidRDefault="000342E8" w:rsidP="007F45AA">
            <w:pPr>
              <w:jc w:val="both"/>
              <w:rPr>
                <w:rFonts w:cs="Arial"/>
                <w:color w:val="000000"/>
                <w:sz w:val="20"/>
                <w:szCs w:val="20"/>
                <w:lang w:eastAsia="es-CO"/>
              </w:rPr>
            </w:pPr>
          </w:p>
          <w:p w14:paraId="0B41FC8A" w14:textId="7D81E630" w:rsidR="000342E8" w:rsidRPr="00EB0C51" w:rsidRDefault="000342E8" w:rsidP="007F45AA">
            <w:pPr>
              <w:jc w:val="both"/>
              <w:rPr>
                <w:rFonts w:cs="Arial"/>
                <w:color w:val="000000"/>
                <w:sz w:val="20"/>
                <w:szCs w:val="20"/>
                <w:lang w:eastAsia="es-CO"/>
              </w:rPr>
            </w:pPr>
          </w:p>
          <w:p w14:paraId="7B68B825" w14:textId="7B6D5541" w:rsidR="000342E8" w:rsidRPr="00EB0C51" w:rsidRDefault="000342E8" w:rsidP="007F45AA">
            <w:pPr>
              <w:jc w:val="both"/>
              <w:rPr>
                <w:rFonts w:cs="Arial"/>
                <w:color w:val="000000"/>
                <w:sz w:val="20"/>
                <w:szCs w:val="20"/>
                <w:lang w:eastAsia="es-CO"/>
              </w:rPr>
            </w:pPr>
          </w:p>
          <w:p w14:paraId="2C6C9B85" w14:textId="5D970F5D" w:rsidR="000342E8" w:rsidRPr="00EB0C51" w:rsidRDefault="000342E8" w:rsidP="007F45AA">
            <w:pPr>
              <w:jc w:val="both"/>
              <w:rPr>
                <w:rFonts w:cs="Arial"/>
                <w:color w:val="000000"/>
                <w:sz w:val="20"/>
                <w:szCs w:val="20"/>
                <w:lang w:eastAsia="es-CO"/>
              </w:rPr>
            </w:pPr>
          </w:p>
          <w:p w14:paraId="073538A8" w14:textId="77777777" w:rsidR="000342E8" w:rsidRPr="00EB0C51" w:rsidRDefault="000342E8" w:rsidP="007F45AA">
            <w:pPr>
              <w:jc w:val="both"/>
              <w:rPr>
                <w:rFonts w:cs="Arial"/>
                <w:color w:val="000000"/>
                <w:sz w:val="20"/>
                <w:szCs w:val="20"/>
                <w:lang w:eastAsia="es-CO"/>
              </w:rPr>
            </w:pPr>
          </w:p>
          <w:p w14:paraId="6D5DA274" w14:textId="77777777" w:rsidR="000342E8" w:rsidRPr="00EB0C51" w:rsidRDefault="000342E8" w:rsidP="007F45AA">
            <w:pPr>
              <w:jc w:val="both"/>
              <w:rPr>
                <w:rFonts w:cs="Arial"/>
                <w:color w:val="000000"/>
                <w:sz w:val="20"/>
                <w:szCs w:val="20"/>
                <w:lang w:eastAsia="es-CO"/>
              </w:rPr>
            </w:pPr>
          </w:p>
          <w:p w14:paraId="538BDC33" w14:textId="77777777" w:rsidR="000342E8" w:rsidRPr="00EB0C51" w:rsidRDefault="000342E8" w:rsidP="007F45AA">
            <w:pPr>
              <w:jc w:val="both"/>
              <w:rPr>
                <w:rFonts w:cs="Arial"/>
                <w:color w:val="000000"/>
                <w:sz w:val="20"/>
                <w:szCs w:val="20"/>
                <w:lang w:eastAsia="es-CO"/>
              </w:rPr>
            </w:pPr>
          </w:p>
          <w:p w14:paraId="7BA47C7F" w14:textId="77777777" w:rsidR="000342E8" w:rsidRPr="00EB0C51" w:rsidRDefault="000342E8" w:rsidP="007F45AA">
            <w:pPr>
              <w:jc w:val="both"/>
              <w:rPr>
                <w:rFonts w:cs="Arial"/>
                <w:color w:val="000000"/>
                <w:sz w:val="20"/>
                <w:szCs w:val="20"/>
                <w:lang w:eastAsia="es-CO"/>
              </w:rPr>
            </w:pPr>
          </w:p>
          <w:p w14:paraId="3E2E0452" w14:textId="77777777" w:rsidR="000342E8" w:rsidRPr="00EB0C51" w:rsidRDefault="000342E8" w:rsidP="007F45AA">
            <w:pPr>
              <w:jc w:val="both"/>
              <w:rPr>
                <w:rFonts w:cs="Arial"/>
                <w:color w:val="000000"/>
                <w:sz w:val="20"/>
                <w:szCs w:val="20"/>
                <w:lang w:eastAsia="es-CO"/>
              </w:rPr>
            </w:pPr>
          </w:p>
          <w:p w14:paraId="76964142" w14:textId="77777777" w:rsidR="000342E8" w:rsidRPr="00EB0C51" w:rsidRDefault="000342E8" w:rsidP="007F45AA">
            <w:pPr>
              <w:jc w:val="both"/>
              <w:rPr>
                <w:rFonts w:cs="Arial"/>
                <w:color w:val="000000"/>
                <w:sz w:val="20"/>
                <w:szCs w:val="20"/>
                <w:lang w:eastAsia="es-CO"/>
              </w:rPr>
            </w:pPr>
          </w:p>
          <w:p w14:paraId="61CDCC79" w14:textId="77777777" w:rsidR="000342E8" w:rsidRPr="00EB0C51" w:rsidRDefault="000342E8" w:rsidP="007F45AA">
            <w:pPr>
              <w:jc w:val="both"/>
              <w:rPr>
                <w:rFonts w:cs="Arial"/>
                <w:color w:val="000000"/>
                <w:sz w:val="20"/>
                <w:szCs w:val="20"/>
                <w:lang w:eastAsia="es-CO"/>
              </w:rPr>
            </w:pPr>
          </w:p>
          <w:p w14:paraId="35294B51" w14:textId="7D528539" w:rsidR="000342E8" w:rsidRPr="00EB0C51" w:rsidRDefault="000342E8" w:rsidP="007F45AA">
            <w:pPr>
              <w:jc w:val="both"/>
              <w:rPr>
                <w:rFonts w:cs="Arial"/>
                <w:color w:val="000000"/>
                <w:sz w:val="20"/>
                <w:szCs w:val="20"/>
                <w:lang w:eastAsia="es-CO"/>
              </w:rPr>
            </w:pPr>
            <w:r w:rsidRPr="00EB0C51">
              <w:rPr>
                <w:rFonts w:cs="Arial"/>
                <w:color w:val="000000"/>
                <w:sz w:val="20"/>
                <w:szCs w:val="20"/>
                <w:lang w:eastAsia="es-CO"/>
              </w:rPr>
              <w:t>Oficina Asesora de Planeación - OAP</w:t>
            </w:r>
          </w:p>
        </w:tc>
        <w:tc>
          <w:tcPr>
            <w:tcW w:w="1847" w:type="dxa"/>
            <w:tcBorders>
              <w:top w:val="nil"/>
              <w:left w:val="nil"/>
              <w:bottom w:val="single" w:sz="4" w:space="0" w:color="auto"/>
              <w:right w:val="single" w:sz="4" w:space="0" w:color="auto"/>
            </w:tcBorders>
            <w:shd w:val="clear" w:color="auto" w:fill="auto"/>
            <w:noWrap/>
            <w:vAlign w:val="center"/>
            <w:hideMark/>
          </w:tcPr>
          <w:p w14:paraId="0C7B23DD" w14:textId="77777777" w:rsidR="000342E8" w:rsidRPr="00EB0C51" w:rsidRDefault="00286DFF" w:rsidP="002058A0">
            <w:pPr>
              <w:rPr>
                <w:rFonts w:cs="Arial"/>
                <w:color w:val="000000"/>
                <w:sz w:val="20"/>
                <w:szCs w:val="20"/>
                <w:lang w:eastAsia="es-CO"/>
              </w:rPr>
            </w:pPr>
            <w:r w:rsidRPr="00EB0C51">
              <w:rPr>
                <w:rFonts w:cs="Arial"/>
                <w:color w:val="000000"/>
                <w:sz w:val="20"/>
                <w:szCs w:val="20"/>
                <w:lang w:eastAsia="es-CO"/>
              </w:rPr>
              <w:lastRenderedPageBreak/>
              <w:t xml:space="preserve">  </w:t>
            </w:r>
          </w:p>
          <w:p w14:paraId="1A7FD0D5" w14:textId="07EE30BE" w:rsidR="000342E8" w:rsidRPr="00EB0C51" w:rsidRDefault="000342E8" w:rsidP="002058A0">
            <w:pPr>
              <w:rPr>
                <w:rFonts w:cs="Arial"/>
                <w:color w:val="000000"/>
                <w:sz w:val="20"/>
                <w:szCs w:val="20"/>
                <w:lang w:eastAsia="es-CO"/>
              </w:rPr>
            </w:pPr>
          </w:p>
          <w:p w14:paraId="57D0AC88" w14:textId="7B77D07E" w:rsidR="000342E8" w:rsidRPr="00EB0C51" w:rsidRDefault="000342E8" w:rsidP="002058A0">
            <w:pPr>
              <w:rPr>
                <w:rFonts w:cs="Arial"/>
                <w:color w:val="000000"/>
                <w:sz w:val="20"/>
                <w:szCs w:val="20"/>
                <w:lang w:eastAsia="es-CO"/>
              </w:rPr>
            </w:pPr>
          </w:p>
          <w:p w14:paraId="3E8671FA" w14:textId="46CF5591" w:rsidR="000342E8" w:rsidRPr="00EB0C51" w:rsidRDefault="000342E8" w:rsidP="002058A0">
            <w:pPr>
              <w:rPr>
                <w:rFonts w:cs="Arial"/>
                <w:color w:val="000000"/>
                <w:sz w:val="20"/>
                <w:szCs w:val="20"/>
                <w:lang w:eastAsia="es-CO"/>
              </w:rPr>
            </w:pPr>
          </w:p>
          <w:p w14:paraId="1B127C09" w14:textId="2F2D2F60" w:rsidR="000342E8" w:rsidRPr="00EB0C51" w:rsidRDefault="000342E8" w:rsidP="002058A0">
            <w:pPr>
              <w:rPr>
                <w:rFonts w:cs="Arial"/>
                <w:color w:val="000000"/>
                <w:sz w:val="20"/>
                <w:szCs w:val="20"/>
                <w:lang w:eastAsia="es-CO"/>
              </w:rPr>
            </w:pPr>
          </w:p>
          <w:p w14:paraId="737F4200" w14:textId="77777777" w:rsidR="000342E8" w:rsidRPr="00EB0C51" w:rsidRDefault="000342E8" w:rsidP="002058A0">
            <w:pPr>
              <w:rPr>
                <w:rFonts w:cs="Arial"/>
                <w:color w:val="000000"/>
                <w:sz w:val="20"/>
                <w:szCs w:val="20"/>
                <w:lang w:eastAsia="es-CO"/>
              </w:rPr>
            </w:pPr>
          </w:p>
          <w:p w14:paraId="782B31EA" w14:textId="77777777" w:rsidR="000342E8" w:rsidRPr="00EB0C51" w:rsidRDefault="000342E8" w:rsidP="002058A0">
            <w:pPr>
              <w:rPr>
                <w:rFonts w:cs="Arial"/>
                <w:color w:val="000000"/>
                <w:sz w:val="20"/>
                <w:szCs w:val="20"/>
                <w:lang w:eastAsia="es-CO"/>
              </w:rPr>
            </w:pPr>
          </w:p>
          <w:p w14:paraId="41DD7982" w14:textId="77777777" w:rsidR="000342E8" w:rsidRPr="00EB0C51" w:rsidRDefault="000342E8" w:rsidP="002058A0">
            <w:pPr>
              <w:rPr>
                <w:rFonts w:cs="Arial"/>
                <w:color w:val="000000"/>
                <w:sz w:val="20"/>
                <w:szCs w:val="20"/>
                <w:lang w:eastAsia="es-CO"/>
              </w:rPr>
            </w:pPr>
          </w:p>
          <w:p w14:paraId="028D8CAA" w14:textId="3AD78CA4" w:rsidR="006F12FE" w:rsidRPr="00EB0C51" w:rsidRDefault="000342E8" w:rsidP="002058A0">
            <w:pPr>
              <w:rPr>
                <w:rFonts w:cs="Arial"/>
                <w:color w:val="000000"/>
                <w:sz w:val="20"/>
                <w:szCs w:val="20"/>
                <w:lang w:eastAsia="es-CO"/>
              </w:rPr>
            </w:pPr>
            <w:r w:rsidRPr="00EB0C51">
              <w:rPr>
                <w:rFonts w:cs="Arial"/>
                <w:color w:val="000000"/>
                <w:sz w:val="20"/>
                <w:szCs w:val="20"/>
                <w:lang w:eastAsia="es-CO"/>
              </w:rPr>
              <w:t xml:space="preserve">  </w:t>
            </w:r>
            <w:r w:rsidR="006F12FE" w:rsidRPr="00EB0C51">
              <w:rPr>
                <w:rFonts w:cs="Arial"/>
                <w:color w:val="000000"/>
                <w:sz w:val="20"/>
                <w:szCs w:val="20"/>
                <w:lang w:eastAsia="es-CO"/>
              </w:rPr>
              <w:t>14.200.000.000</w:t>
            </w:r>
          </w:p>
          <w:p w14:paraId="15F08DB1" w14:textId="609A80CC" w:rsidR="000342E8" w:rsidRPr="00EB0C51" w:rsidRDefault="000342E8" w:rsidP="002058A0">
            <w:pPr>
              <w:rPr>
                <w:rFonts w:cs="Arial"/>
                <w:color w:val="000000"/>
                <w:sz w:val="20"/>
                <w:szCs w:val="20"/>
                <w:lang w:eastAsia="es-CO"/>
              </w:rPr>
            </w:pPr>
          </w:p>
          <w:p w14:paraId="224BEB5A" w14:textId="55909BFC" w:rsidR="000342E8" w:rsidRPr="00EB0C51" w:rsidRDefault="000342E8" w:rsidP="002058A0">
            <w:pPr>
              <w:rPr>
                <w:rFonts w:cs="Arial"/>
                <w:color w:val="000000"/>
                <w:sz w:val="20"/>
                <w:szCs w:val="20"/>
                <w:lang w:eastAsia="es-CO"/>
              </w:rPr>
            </w:pPr>
          </w:p>
          <w:p w14:paraId="27BCE68B" w14:textId="14E52DBA" w:rsidR="000342E8" w:rsidRPr="00EB0C51" w:rsidRDefault="000342E8" w:rsidP="002058A0">
            <w:pPr>
              <w:rPr>
                <w:rFonts w:cs="Arial"/>
                <w:color w:val="000000"/>
                <w:sz w:val="20"/>
                <w:szCs w:val="20"/>
                <w:lang w:eastAsia="es-CO"/>
              </w:rPr>
            </w:pPr>
          </w:p>
          <w:p w14:paraId="3717FA22" w14:textId="2DE3C1B8" w:rsidR="000342E8" w:rsidRPr="00EB0C51" w:rsidRDefault="000342E8" w:rsidP="002058A0">
            <w:pPr>
              <w:rPr>
                <w:rFonts w:cs="Arial"/>
                <w:color w:val="000000"/>
                <w:sz w:val="20"/>
                <w:szCs w:val="20"/>
                <w:lang w:eastAsia="es-CO"/>
              </w:rPr>
            </w:pPr>
          </w:p>
          <w:p w14:paraId="158B81BE" w14:textId="23FD1DF5" w:rsidR="000342E8" w:rsidRPr="00EB0C51" w:rsidRDefault="000342E8" w:rsidP="002058A0">
            <w:pPr>
              <w:rPr>
                <w:rFonts w:cs="Arial"/>
                <w:color w:val="000000"/>
                <w:sz w:val="20"/>
                <w:szCs w:val="20"/>
                <w:lang w:eastAsia="es-CO"/>
              </w:rPr>
            </w:pPr>
          </w:p>
          <w:p w14:paraId="407301DE" w14:textId="171B6E87" w:rsidR="000342E8" w:rsidRPr="00EB0C51" w:rsidRDefault="000342E8" w:rsidP="002058A0">
            <w:pPr>
              <w:rPr>
                <w:rFonts w:cs="Arial"/>
                <w:color w:val="000000"/>
                <w:sz w:val="20"/>
                <w:szCs w:val="20"/>
                <w:lang w:eastAsia="es-CO"/>
              </w:rPr>
            </w:pPr>
          </w:p>
          <w:p w14:paraId="126BF275" w14:textId="52413BEF" w:rsidR="000342E8" w:rsidRPr="00EB0C51" w:rsidRDefault="000342E8" w:rsidP="002058A0">
            <w:pPr>
              <w:rPr>
                <w:rFonts w:cs="Arial"/>
                <w:color w:val="000000"/>
                <w:sz w:val="20"/>
                <w:szCs w:val="20"/>
                <w:lang w:eastAsia="es-CO"/>
              </w:rPr>
            </w:pPr>
          </w:p>
          <w:p w14:paraId="2BA519F7" w14:textId="77E1DFE9" w:rsidR="000342E8" w:rsidRPr="00EB0C51" w:rsidRDefault="000342E8" w:rsidP="002058A0">
            <w:pPr>
              <w:rPr>
                <w:rFonts w:cs="Arial"/>
                <w:color w:val="000000"/>
                <w:sz w:val="20"/>
                <w:szCs w:val="20"/>
                <w:lang w:eastAsia="es-CO"/>
              </w:rPr>
            </w:pPr>
          </w:p>
          <w:p w14:paraId="2F57DCEA" w14:textId="58C2CCCE" w:rsidR="000342E8" w:rsidRPr="00EB0C51" w:rsidRDefault="000342E8" w:rsidP="002058A0">
            <w:pPr>
              <w:rPr>
                <w:rFonts w:cs="Arial"/>
                <w:color w:val="000000"/>
                <w:sz w:val="20"/>
                <w:szCs w:val="20"/>
                <w:lang w:eastAsia="es-CO"/>
              </w:rPr>
            </w:pPr>
          </w:p>
          <w:p w14:paraId="4437E5D5" w14:textId="2F7904E8" w:rsidR="000342E8" w:rsidRPr="00EB0C51" w:rsidRDefault="000342E8" w:rsidP="002058A0">
            <w:pPr>
              <w:rPr>
                <w:rFonts w:cs="Arial"/>
                <w:color w:val="000000"/>
                <w:sz w:val="20"/>
                <w:szCs w:val="20"/>
                <w:lang w:eastAsia="es-CO"/>
              </w:rPr>
            </w:pPr>
          </w:p>
          <w:p w14:paraId="50BDFAAB" w14:textId="2346496A" w:rsidR="000342E8" w:rsidRPr="00EB0C51" w:rsidRDefault="000342E8" w:rsidP="002058A0">
            <w:pPr>
              <w:rPr>
                <w:rFonts w:cs="Arial"/>
                <w:color w:val="000000"/>
                <w:sz w:val="20"/>
                <w:szCs w:val="20"/>
                <w:lang w:eastAsia="es-CO"/>
              </w:rPr>
            </w:pPr>
          </w:p>
          <w:p w14:paraId="5A7B326F" w14:textId="434ABEBD" w:rsidR="000342E8" w:rsidRPr="00EB0C51" w:rsidRDefault="000342E8" w:rsidP="002058A0">
            <w:pPr>
              <w:rPr>
                <w:rFonts w:cs="Arial"/>
                <w:color w:val="000000"/>
                <w:sz w:val="20"/>
                <w:szCs w:val="20"/>
                <w:lang w:eastAsia="es-CO"/>
              </w:rPr>
            </w:pPr>
          </w:p>
          <w:p w14:paraId="25844083" w14:textId="5DABB1FD" w:rsidR="000342E8" w:rsidRPr="00EB0C51" w:rsidRDefault="000342E8" w:rsidP="002058A0">
            <w:pPr>
              <w:rPr>
                <w:rFonts w:cs="Arial"/>
                <w:color w:val="000000"/>
                <w:sz w:val="20"/>
                <w:szCs w:val="20"/>
                <w:lang w:eastAsia="es-CO"/>
              </w:rPr>
            </w:pPr>
          </w:p>
          <w:p w14:paraId="1ED80CEE" w14:textId="6174CE04" w:rsidR="000342E8" w:rsidRPr="00EB0C51" w:rsidRDefault="000342E8" w:rsidP="002058A0">
            <w:pPr>
              <w:rPr>
                <w:rFonts w:cs="Arial"/>
                <w:color w:val="000000"/>
                <w:sz w:val="20"/>
                <w:szCs w:val="20"/>
                <w:lang w:eastAsia="es-CO"/>
              </w:rPr>
            </w:pPr>
          </w:p>
          <w:p w14:paraId="59105B33" w14:textId="63879502" w:rsidR="000342E8" w:rsidRPr="00EB0C51" w:rsidRDefault="000342E8" w:rsidP="002058A0">
            <w:pPr>
              <w:rPr>
                <w:rFonts w:cs="Arial"/>
                <w:color w:val="000000"/>
                <w:sz w:val="20"/>
                <w:szCs w:val="20"/>
                <w:lang w:eastAsia="es-CO"/>
              </w:rPr>
            </w:pPr>
          </w:p>
          <w:p w14:paraId="636C53A1" w14:textId="4DD12287" w:rsidR="000342E8" w:rsidRPr="00EB0C51" w:rsidRDefault="000342E8" w:rsidP="002058A0">
            <w:pPr>
              <w:rPr>
                <w:rFonts w:cs="Arial"/>
                <w:color w:val="000000"/>
                <w:sz w:val="20"/>
                <w:szCs w:val="20"/>
                <w:lang w:eastAsia="es-CO"/>
              </w:rPr>
            </w:pPr>
          </w:p>
          <w:p w14:paraId="6B26631E" w14:textId="3AB55A14" w:rsidR="000342E8" w:rsidRPr="00EB0C51" w:rsidRDefault="000342E8" w:rsidP="002058A0">
            <w:pPr>
              <w:rPr>
                <w:rFonts w:cs="Arial"/>
                <w:color w:val="000000"/>
                <w:sz w:val="20"/>
                <w:szCs w:val="20"/>
                <w:lang w:eastAsia="es-CO"/>
              </w:rPr>
            </w:pPr>
          </w:p>
          <w:p w14:paraId="5A4D858F" w14:textId="6B09A60C" w:rsidR="000342E8" w:rsidRPr="00EB0C51" w:rsidRDefault="000342E8" w:rsidP="002058A0">
            <w:pPr>
              <w:rPr>
                <w:rFonts w:cs="Arial"/>
                <w:color w:val="000000"/>
                <w:sz w:val="20"/>
                <w:szCs w:val="20"/>
                <w:lang w:eastAsia="es-CO"/>
              </w:rPr>
            </w:pPr>
          </w:p>
          <w:p w14:paraId="6C341829" w14:textId="258FDC33" w:rsidR="000342E8" w:rsidRPr="00EB0C51" w:rsidRDefault="000342E8" w:rsidP="002058A0">
            <w:pPr>
              <w:rPr>
                <w:rFonts w:cs="Arial"/>
                <w:color w:val="000000"/>
                <w:sz w:val="20"/>
                <w:szCs w:val="20"/>
                <w:lang w:eastAsia="es-CO"/>
              </w:rPr>
            </w:pPr>
          </w:p>
          <w:p w14:paraId="1AFF5B62" w14:textId="516183AF" w:rsidR="000342E8" w:rsidRPr="00EB0C51" w:rsidRDefault="000342E8" w:rsidP="002058A0">
            <w:pPr>
              <w:rPr>
                <w:rFonts w:cs="Arial"/>
                <w:color w:val="000000"/>
                <w:sz w:val="20"/>
                <w:szCs w:val="20"/>
                <w:lang w:eastAsia="es-CO"/>
              </w:rPr>
            </w:pPr>
          </w:p>
          <w:p w14:paraId="2505BC8C" w14:textId="681F16E1" w:rsidR="000342E8" w:rsidRPr="00EB0C51" w:rsidRDefault="000342E8" w:rsidP="002058A0">
            <w:pPr>
              <w:rPr>
                <w:rFonts w:cs="Arial"/>
                <w:color w:val="000000"/>
                <w:sz w:val="20"/>
                <w:szCs w:val="20"/>
                <w:lang w:eastAsia="es-CO"/>
              </w:rPr>
            </w:pPr>
          </w:p>
          <w:p w14:paraId="0BBDB5A5" w14:textId="77777777" w:rsidR="000342E8" w:rsidRPr="00EB0C51" w:rsidRDefault="000342E8" w:rsidP="002058A0">
            <w:pPr>
              <w:rPr>
                <w:rFonts w:cs="Arial"/>
                <w:color w:val="000000"/>
                <w:sz w:val="20"/>
                <w:szCs w:val="20"/>
                <w:lang w:eastAsia="es-CO"/>
              </w:rPr>
            </w:pPr>
          </w:p>
          <w:p w14:paraId="52EB4E8E" w14:textId="1FCB3EA7" w:rsidR="000342E8" w:rsidRPr="00EB0C51" w:rsidRDefault="000342E8" w:rsidP="002058A0">
            <w:pPr>
              <w:rPr>
                <w:rFonts w:cs="Arial"/>
                <w:color w:val="000000"/>
                <w:sz w:val="20"/>
                <w:szCs w:val="20"/>
                <w:lang w:eastAsia="es-CO"/>
              </w:rPr>
            </w:pPr>
          </w:p>
          <w:p w14:paraId="532F5A4B" w14:textId="5AA7CFFA" w:rsidR="000342E8" w:rsidRPr="00EB0C51" w:rsidRDefault="000342E8" w:rsidP="002058A0">
            <w:pPr>
              <w:rPr>
                <w:rFonts w:cs="Arial"/>
                <w:color w:val="000000"/>
                <w:sz w:val="20"/>
                <w:szCs w:val="20"/>
                <w:lang w:eastAsia="es-CO"/>
              </w:rPr>
            </w:pPr>
          </w:p>
          <w:p w14:paraId="72E296C3" w14:textId="79BEBB16" w:rsidR="000342E8" w:rsidRPr="00EB0C51" w:rsidRDefault="000342E8" w:rsidP="002058A0">
            <w:pPr>
              <w:rPr>
                <w:rFonts w:cs="Arial"/>
                <w:color w:val="000000"/>
                <w:sz w:val="20"/>
                <w:szCs w:val="20"/>
                <w:lang w:eastAsia="es-CO"/>
              </w:rPr>
            </w:pPr>
          </w:p>
          <w:p w14:paraId="385A9B87" w14:textId="77777777" w:rsidR="000342E8" w:rsidRPr="00EB0C51" w:rsidRDefault="000342E8" w:rsidP="002058A0">
            <w:pPr>
              <w:rPr>
                <w:rFonts w:cs="Arial"/>
                <w:color w:val="000000"/>
                <w:sz w:val="20"/>
                <w:szCs w:val="20"/>
                <w:lang w:eastAsia="es-CO"/>
              </w:rPr>
            </w:pPr>
          </w:p>
          <w:p w14:paraId="64173B51" w14:textId="7FB091C4" w:rsidR="000342E8" w:rsidRPr="00EB0C51" w:rsidRDefault="000342E8" w:rsidP="002058A0">
            <w:pPr>
              <w:rPr>
                <w:rFonts w:cs="Arial"/>
                <w:color w:val="000000"/>
                <w:sz w:val="20"/>
                <w:szCs w:val="20"/>
                <w:lang w:eastAsia="es-CO"/>
              </w:rPr>
            </w:pPr>
            <w:r w:rsidRPr="00EB0C51">
              <w:rPr>
                <w:rFonts w:cs="Arial"/>
                <w:color w:val="000000"/>
                <w:sz w:val="20"/>
                <w:szCs w:val="20"/>
                <w:lang w:eastAsia="es-CO"/>
              </w:rPr>
              <w:t xml:space="preserve"> 14.200.000.000</w:t>
            </w:r>
          </w:p>
          <w:p w14:paraId="6B6B3407" w14:textId="77777777" w:rsidR="000342E8" w:rsidRPr="00EB0C51" w:rsidRDefault="000342E8" w:rsidP="002058A0">
            <w:pPr>
              <w:rPr>
                <w:rFonts w:cs="Arial"/>
                <w:color w:val="000000"/>
                <w:sz w:val="20"/>
                <w:szCs w:val="20"/>
                <w:lang w:eastAsia="es-CO"/>
              </w:rPr>
            </w:pPr>
          </w:p>
          <w:p w14:paraId="4A208939" w14:textId="264A7AF0" w:rsidR="000342E8" w:rsidRPr="00EB0C51" w:rsidRDefault="000342E8" w:rsidP="002058A0">
            <w:pPr>
              <w:rPr>
                <w:rFonts w:cs="Arial"/>
                <w:color w:val="000000"/>
                <w:sz w:val="20"/>
                <w:szCs w:val="20"/>
                <w:lang w:eastAsia="es-CO"/>
              </w:rPr>
            </w:pPr>
          </w:p>
          <w:p w14:paraId="125B1338" w14:textId="4AFD1081" w:rsidR="000342E8" w:rsidRPr="00EB0C51" w:rsidRDefault="000342E8" w:rsidP="002058A0">
            <w:pPr>
              <w:rPr>
                <w:rFonts w:cs="Arial"/>
                <w:color w:val="000000"/>
                <w:sz w:val="20"/>
                <w:szCs w:val="20"/>
                <w:lang w:eastAsia="es-CO"/>
              </w:rPr>
            </w:pPr>
          </w:p>
          <w:p w14:paraId="696EF170" w14:textId="603147F4" w:rsidR="000342E8" w:rsidRPr="00EB0C51" w:rsidRDefault="000342E8" w:rsidP="002058A0">
            <w:pPr>
              <w:rPr>
                <w:rFonts w:cs="Arial"/>
                <w:color w:val="000000"/>
                <w:sz w:val="20"/>
                <w:szCs w:val="20"/>
                <w:lang w:eastAsia="es-CO"/>
              </w:rPr>
            </w:pPr>
          </w:p>
          <w:p w14:paraId="5DA2358E" w14:textId="32ED613A" w:rsidR="000342E8" w:rsidRPr="00EB0C51" w:rsidRDefault="000342E8" w:rsidP="002058A0">
            <w:pPr>
              <w:rPr>
                <w:rFonts w:cs="Arial"/>
                <w:color w:val="000000"/>
                <w:sz w:val="20"/>
                <w:szCs w:val="20"/>
                <w:lang w:eastAsia="es-CO"/>
              </w:rPr>
            </w:pPr>
          </w:p>
          <w:p w14:paraId="57B7C356" w14:textId="3FCDAF35" w:rsidR="000342E8" w:rsidRPr="00EB0C51" w:rsidRDefault="000342E8" w:rsidP="002058A0">
            <w:pPr>
              <w:rPr>
                <w:rFonts w:cs="Arial"/>
                <w:color w:val="000000"/>
                <w:sz w:val="20"/>
                <w:szCs w:val="20"/>
                <w:lang w:eastAsia="es-CO"/>
              </w:rPr>
            </w:pPr>
          </w:p>
          <w:p w14:paraId="50C74C7C" w14:textId="08CE0EC9" w:rsidR="000342E8" w:rsidRPr="00EB0C51" w:rsidRDefault="000342E8" w:rsidP="002058A0">
            <w:pPr>
              <w:rPr>
                <w:rFonts w:cs="Arial"/>
                <w:color w:val="000000"/>
                <w:sz w:val="20"/>
                <w:szCs w:val="20"/>
                <w:lang w:eastAsia="es-CO"/>
              </w:rPr>
            </w:pPr>
          </w:p>
          <w:p w14:paraId="6419F169" w14:textId="524F326B" w:rsidR="000342E8" w:rsidRPr="00EB0C51" w:rsidRDefault="000342E8" w:rsidP="002058A0">
            <w:pPr>
              <w:rPr>
                <w:rFonts w:cs="Arial"/>
                <w:color w:val="000000"/>
                <w:sz w:val="20"/>
                <w:szCs w:val="20"/>
                <w:lang w:eastAsia="es-CO"/>
              </w:rPr>
            </w:pPr>
          </w:p>
          <w:p w14:paraId="434E1494" w14:textId="25784636" w:rsidR="000342E8" w:rsidRPr="00EB0C51" w:rsidRDefault="000342E8" w:rsidP="002058A0">
            <w:pPr>
              <w:rPr>
                <w:rFonts w:cs="Arial"/>
                <w:color w:val="000000"/>
                <w:sz w:val="20"/>
                <w:szCs w:val="20"/>
                <w:lang w:eastAsia="es-CO"/>
              </w:rPr>
            </w:pPr>
          </w:p>
          <w:p w14:paraId="122A544C" w14:textId="7CF09071" w:rsidR="000342E8" w:rsidRPr="00EB0C51" w:rsidRDefault="000342E8" w:rsidP="002058A0">
            <w:pPr>
              <w:rPr>
                <w:rFonts w:cs="Arial"/>
                <w:color w:val="000000"/>
                <w:sz w:val="20"/>
                <w:szCs w:val="20"/>
                <w:lang w:eastAsia="es-CO"/>
              </w:rPr>
            </w:pPr>
          </w:p>
          <w:p w14:paraId="33E23F08" w14:textId="0998D2AD" w:rsidR="000342E8" w:rsidRPr="00EB0C51" w:rsidRDefault="000342E8" w:rsidP="002058A0">
            <w:pPr>
              <w:rPr>
                <w:rFonts w:cs="Arial"/>
                <w:color w:val="000000"/>
                <w:sz w:val="20"/>
                <w:szCs w:val="20"/>
                <w:lang w:eastAsia="es-CO"/>
              </w:rPr>
            </w:pPr>
          </w:p>
          <w:p w14:paraId="46D6F63D" w14:textId="3FB14F43" w:rsidR="000342E8" w:rsidRPr="00EB0C51" w:rsidRDefault="000342E8" w:rsidP="002058A0">
            <w:pPr>
              <w:rPr>
                <w:rFonts w:cs="Arial"/>
                <w:color w:val="000000"/>
                <w:sz w:val="20"/>
                <w:szCs w:val="20"/>
                <w:lang w:eastAsia="es-CO"/>
              </w:rPr>
            </w:pPr>
          </w:p>
          <w:p w14:paraId="103A93A9" w14:textId="323F7776" w:rsidR="000342E8" w:rsidRPr="00EB0C51" w:rsidRDefault="000342E8" w:rsidP="002058A0">
            <w:pPr>
              <w:rPr>
                <w:rFonts w:cs="Arial"/>
                <w:color w:val="000000"/>
                <w:sz w:val="20"/>
                <w:szCs w:val="20"/>
                <w:lang w:eastAsia="es-CO"/>
              </w:rPr>
            </w:pPr>
          </w:p>
          <w:p w14:paraId="47D6C521" w14:textId="155565F9" w:rsidR="000342E8" w:rsidRPr="00EB0C51" w:rsidRDefault="000342E8" w:rsidP="002058A0">
            <w:pPr>
              <w:rPr>
                <w:rFonts w:cs="Arial"/>
                <w:color w:val="000000"/>
                <w:sz w:val="20"/>
                <w:szCs w:val="20"/>
                <w:lang w:eastAsia="es-CO"/>
              </w:rPr>
            </w:pPr>
          </w:p>
          <w:p w14:paraId="0835B2EA" w14:textId="0F1D69FE" w:rsidR="000342E8" w:rsidRPr="00EB0C51" w:rsidRDefault="000342E8" w:rsidP="002058A0">
            <w:pPr>
              <w:rPr>
                <w:rFonts w:cs="Arial"/>
                <w:color w:val="000000"/>
                <w:sz w:val="20"/>
                <w:szCs w:val="20"/>
                <w:lang w:eastAsia="es-CO"/>
              </w:rPr>
            </w:pPr>
          </w:p>
          <w:p w14:paraId="7677E47A" w14:textId="708506CA" w:rsidR="000342E8" w:rsidRPr="00EB0C51" w:rsidRDefault="000342E8" w:rsidP="002058A0">
            <w:pPr>
              <w:rPr>
                <w:rFonts w:cs="Arial"/>
                <w:color w:val="000000"/>
                <w:sz w:val="20"/>
                <w:szCs w:val="20"/>
                <w:lang w:eastAsia="es-CO"/>
              </w:rPr>
            </w:pPr>
          </w:p>
          <w:p w14:paraId="3A6277EE" w14:textId="6E9FCBBC" w:rsidR="000342E8" w:rsidRPr="00EB0C51" w:rsidRDefault="000342E8" w:rsidP="002058A0">
            <w:pPr>
              <w:rPr>
                <w:rFonts w:cs="Arial"/>
                <w:color w:val="000000"/>
                <w:sz w:val="20"/>
                <w:szCs w:val="20"/>
                <w:lang w:eastAsia="es-CO"/>
              </w:rPr>
            </w:pPr>
          </w:p>
          <w:p w14:paraId="0357E92E" w14:textId="5E99432E" w:rsidR="000342E8" w:rsidRPr="00EB0C51" w:rsidRDefault="000342E8" w:rsidP="002058A0">
            <w:pPr>
              <w:rPr>
                <w:rFonts w:cs="Arial"/>
                <w:color w:val="000000"/>
                <w:sz w:val="20"/>
                <w:szCs w:val="20"/>
                <w:lang w:eastAsia="es-CO"/>
              </w:rPr>
            </w:pPr>
          </w:p>
          <w:p w14:paraId="38B321C4" w14:textId="4B231ED0" w:rsidR="000342E8" w:rsidRPr="00EB0C51" w:rsidRDefault="000342E8" w:rsidP="002058A0">
            <w:pPr>
              <w:rPr>
                <w:rFonts w:cs="Arial"/>
                <w:color w:val="000000"/>
                <w:sz w:val="20"/>
                <w:szCs w:val="20"/>
                <w:lang w:eastAsia="es-CO"/>
              </w:rPr>
            </w:pPr>
          </w:p>
          <w:p w14:paraId="1D61FDC3" w14:textId="77777777" w:rsidR="000342E8" w:rsidRPr="00EB0C51" w:rsidRDefault="000342E8" w:rsidP="002058A0">
            <w:pPr>
              <w:rPr>
                <w:rFonts w:cs="Arial"/>
                <w:color w:val="000000"/>
                <w:sz w:val="20"/>
                <w:szCs w:val="20"/>
                <w:lang w:eastAsia="es-CO"/>
              </w:rPr>
            </w:pPr>
          </w:p>
          <w:p w14:paraId="7F01E635" w14:textId="77777777" w:rsidR="000342E8" w:rsidRPr="00EB0C51" w:rsidRDefault="000342E8" w:rsidP="002058A0">
            <w:pPr>
              <w:rPr>
                <w:rFonts w:cs="Arial"/>
                <w:color w:val="000000"/>
                <w:sz w:val="20"/>
                <w:szCs w:val="20"/>
                <w:lang w:eastAsia="es-CO"/>
              </w:rPr>
            </w:pPr>
          </w:p>
          <w:p w14:paraId="445E992F" w14:textId="77777777" w:rsidR="000342E8" w:rsidRPr="00EB0C51" w:rsidRDefault="000342E8" w:rsidP="002058A0">
            <w:pPr>
              <w:rPr>
                <w:rFonts w:cs="Arial"/>
                <w:color w:val="000000"/>
                <w:sz w:val="20"/>
                <w:szCs w:val="20"/>
                <w:lang w:eastAsia="es-CO"/>
              </w:rPr>
            </w:pPr>
          </w:p>
          <w:p w14:paraId="13A1DEFB" w14:textId="77777777" w:rsidR="000342E8" w:rsidRPr="00EB0C51" w:rsidRDefault="000342E8" w:rsidP="002058A0">
            <w:pPr>
              <w:rPr>
                <w:rFonts w:cs="Arial"/>
                <w:color w:val="000000"/>
                <w:sz w:val="20"/>
                <w:szCs w:val="20"/>
                <w:lang w:eastAsia="es-CO"/>
              </w:rPr>
            </w:pPr>
          </w:p>
          <w:p w14:paraId="040223C6" w14:textId="77777777" w:rsidR="000342E8" w:rsidRPr="00EB0C51" w:rsidRDefault="000342E8" w:rsidP="002058A0">
            <w:pPr>
              <w:rPr>
                <w:rFonts w:cs="Arial"/>
                <w:color w:val="000000"/>
                <w:sz w:val="20"/>
                <w:szCs w:val="20"/>
                <w:lang w:eastAsia="es-CO"/>
              </w:rPr>
            </w:pPr>
          </w:p>
          <w:p w14:paraId="1A13E5F9" w14:textId="77777777" w:rsidR="000342E8" w:rsidRPr="00EB0C51" w:rsidRDefault="000342E8" w:rsidP="002058A0">
            <w:pPr>
              <w:rPr>
                <w:rFonts w:cs="Arial"/>
                <w:color w:val="000000"/>
                <w:sz w:val="20"/>
                <w:szCs w:val="20"/>
                <w:lang w:eastAsia="es-CO"/>
              </w:rPr>
            </w:pPr>
          </w:p>
          <w:p w14:paraId="0C3B3407" w14:textId="6FE4AAD1" w:rsidR="000342E8" w:rsidRPr="00EB0C51" w:rsidRDefault="000342E8" w:rsidP="002058A0">
            <w:pPr>
              <w:rPr>
                <w:rFonts w:cs="Arial"/>
                <w:color w:val="000000"/>
                <w:sz w:val="20"/>
                <w:szCs w:val="20"/>
                <w:lang w:eastAsia="es-CO"/>
              </w:rPr>
            </w:pPr>
            <w:r w:rsidRPr="00EB0C51">
              <w:rPr>
                <w:rFonts w:cs="Arial"/>
                <w:color w:val="000000"/>
                <w:sz w:val="20"/>
                <w:szCs w:val="20"/>
                <w:lang w:eastAsia="es-CO"/>
              </w:rPr>
              <w:t xml:space="preserve">  14.200.000.000</w:t>
            </w:r>
          </w:p>
        </w:tc>
        <w:tc>
          <w:tcPr>
            <w:tcW w:w="1452" w:type="dxa"/>
            <w:tcBorders>
              <w:top w:val="nil"/>
              <w:left w:val="nil"/>
              <w:bottom w:val="single" w:sz="4" w:space="0" w:color="auto"/>
              <w:right w:val="single" w:sz="4" w:space="0" w:color="auto"/>
            </w:tcBorders>
            <w:shd w:val="clear" w:color="auto" w:fill="auto"/>
            <w:noWrap/>
            <w:vAlign w:val="center"/>
            <w:hideMark/>
          </w:tcPr>
          <w:p w14:paraId="50065956" w14:textId="77777777" w:rsidR="000342E8" w:rsidRPr="00EB0C51" w:rsidRDefault="000342E8" w:rsidP="002058A0">
            <w:pPr>
              <w:jc w:val="center"/>
              <w:rPr>
                <w:rFonts w:cs="Arial"/>
                <w:color w:val="000000"/>
                <w:sz w:val="20"/>
                <w:szCs w:val="20"/>
                <w:lang w:eastAsia="es-CO"/>
              </w:rPr>
            </w:pPr>
          </w:p>
          <w:p w14:paraId="30370C2A" w14:textId="77777777" w:rsidR="000342E8" w:rsidRPr="00EB0C51" w:rsidRDefault="000342E8" w:rsidP="002058A0">
            <w:pPr>
              <w:jc w:val="center"/>
              <w:rPr>
                <w:rFonts w:cs="Arial"/>
                <w:color w:val="000000"/>
                <w:sz w:val="20"/>
                <w:szCs w:val="20"/>
                <w:lang w:eastAsia="es-CO"/>
              </w:rPr>
            </w:pPr>
          </w:p>
          <w:p w14:paraId="3BA8ACFA" w14:textId="77777777" w:rsidR="000342E8" w:rsidRPr="00EB0C51" w:rsidRDefault="000342E8" w:rsidP="002058A0">
            <w:pPr>
              <w:jc w:val="center"/>
              <w:rPr>
                <w:rFonts w:cs="Arial"/>
                <w:color w:val="000000"/>
                <w:sz w:val="20"/>
                <w:szCs w:val="20"/>
                <w:lang w:eastAsia="es-CO"/>
              </w:rPr>
            </w:pPr>
          </w:p>
          <w:p w14:paraId="28B22A4F" w14:textId="3F5E31A6" w:rsidR="000342E8" w:rsidRPr="00EB0C51" w:rsidRDefault="000342E8" w:rsidP="002058A0">
            <w:pPr>
              <w:jc w:val="center"/>
              <w:rPr>
                <w:rFonts w:cs="Arial"/>
                <w:color w:val="000000"/>
                <w:sz w:val="20"/>
                <w:szCs w:val="20"/>
                <w:lang w:eastAsia="es-CO"/>
              </w:rPr>
            </w:pPr>
          </w:p>
          <w:p w14:paraId="1BA37AA2" w14:textId="69A45DB5" w:rsidR="000342E8" w:rsidRPr="00EB0C51" w:rsidRDefault="000342E8" w:rsidP="002058A0">
            <w:pPr>
              <w:jc w:val="center"/>
              <w:rPr>
                <w:rFonts w:cs="Arial"/>
                <w:color w:val="000000"/>
                <w:sz w:val="20"/>
                <w:szCs w:val="20"/>
                <w:lang w:eastAsia="es-CO"/>
              </w:rPr>
            </w:pPr>
          </w:p>
          <w:p w14:paraId="61ABE62F" w14:textId="1AAA7577" w:rsidR="000342E8" w:rsidRPr="00EB0C51" w:rsidRDefault="000342E8" w:rsidP="002058A0">
            <w:pPr>
              <w:jc w:val="center"/>
              <w:rPr>
                <w:rFonts w:cs="Arial"/>
                <w:color w:val="000000"/>
                <w:sz w:val="20"/>
                <w:szCs w:val="20"/>
                <w:lang w:eastAsia="es-CO"/>
              </w:rPr>
            </w:pPr>
          </w:p>
          <w:p w14:paraId="18690849" w14:textId="77777777" w:rsidR="000342E8" w:rsidRPr="00EB0C51" w:rsidRDefault="000342E8" w:rsidP="002058A0">
            <w:pPr>
              <w:jc w:val="center"/>
              <w:rPr>
                <w:rFonts w:cs="Arial"/>
                <w:color w:val="000000"/>
                <w:sz w:val="20"/>
                <w:szCs w:val="20"/>
                <w:lang w:eastAsia="es-CO"/>
              </w:rPr>
            </w:pPr>
          </w:p>
          <w:p w14:paraId="6AD76696" w14:textId="77777777" w:rsidR="000342E8" w:rsidRPr="00EB0C51" w:rsidRDefault="000342E8" w:rsidP="002058A0">
            <w:pPr>
              <w:jc w:val="center"/>
              <w:rPr>
                <w:rFonts w:cs="Arial"/>
                <w:color w:val="000000"/>
                <w:sz w:val="20"/>
                <w:szCs w:val="20"/>
                <w:lang w:eastAsia="es-CO"/>
              </w:rPr>
            </w:pPr>
          </w:p>
          <w:p w14:paraId="2FE54DED" w14:textId="560DCF52"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15%</w:t>
            </w:r>
          </w:p>
          <w:p w14:paraId="7CD2BC23" w14:textId="77777777" w:rsidR="000342E8" w:rsidRPr="00EB0C51" w:rsidRDefault="000342E8" w:rsidP="002058A0">
            <w:pPr>
              <w:jc w:val="center"/>
              <w:rPr>
                <w:rFonts w:cs="Arial"/>
                <w:color w:val="000000"/>
                <w:sz w:val="20"/>
                <w:szCs w:val="20"/>
                <w:lang w:eastAsia="es-CO"/>
              </w:rPr>
            </w:pPr>
          </w:p>
          <w:p w14:paraId="01B05AD4" w14:textId="6487749D" w:rsidR="000342E8" w:rsidRPr="00EB0C51" w:rsidRDefault="000342E8" w:rsidP="002058A0">
            <w:pPr>
              <w:jc w:val="center"/>
              <w:rPr>
                <w:rFonts w:cs="Arial"/>
                <w:color w:val="000000"/>
                <w:sz w:val="20"/>
                <w:szCs w:val="20"/>
                <w:lang w:eastAsia="es-CO"/>
              </w:rPr>
            </w:pPr>
          </w:p>
          <w:p w14:paraId="3B918912" w14:textId="59444FCE" w:rsidR="000342E8" w:rsidRPr="00EB0C51" w:rsidRDefault="000342E8" w:rsidP="002058A0">
            <w:pPr>
              <w:jc w:val="center"/>
              <w:rPr>
                <w:rFonts w:cs="Arial"/>
                <w:color w:val="000000"/>
                <w:sz w:val="20"/>
                <w:szCs w:val="20"/>
                <w:lang w:eastAsia="es-CO"/>
              </w:rPr>
            </w:pPr>
          </w:p>
          <w:p w14:paraId="2CB66AA1" w14:textId="6D255F54" w:rsidR="000342E8" w:rsidRPr="00EB0C51" w:rsidRDefault="000342E8" w:rsidP="002058A0">
            <w:pPr>
              <w:jc w:val="center"/>
              <w:rPr>
                <w:rFonts w:cs="Arial"/>
                <w:color w:val="000000"/>
                <w:sz w:val="20"/>
                <w:szCs w:val="20"/>
                <w:lang w:eastAsia="es-CO"/>
              </w:rPr>
            </w:pPr>
          </w:p>
          <w:p w14:paraId="4DC7063C" w14:textId="67471B37" w:rsidR="000342E8" w:rsidRPr="00EB0C51" w:rsidRDefault="000342E8" w:rsidP="002058A0">
            <w:pPr>
              <w:jc w:val="center"/>
              <w:rPr>
                <w:rFonts w:cs="Arial"/>
                <w:color w:val="000000"/>
                <w:sz w:val="20"/>
                <w:szCs w:val="20"/>
                <w:lang w:eastAsia="es-CO"/>
              </w:rPr>
            </w:pPr>
          </w:p>
          <w:p w14:paraId="2DEBEAA4" w14:textId="4E95715D" w:rsidR="000342E8" w:rsidRPr="00EB0C51" w:rsidRDefault="000342E8" w:rsidP="002058A0">
            <w:pPr>
              <w:jc w:val="center"/>
              <w:rPr>
                <w:rFonts w:cs="Arial"/>
                <w:color w:val="000000"/>
                <w:sz w:val="20"/>
                <w:szCs w:val="20"/>
                <w:lang w:eastAsia="es-CO"/>
              </w:rPr>
            </w:pPr>
          </w:p>
          <w:p w14:paraId="562AEA2E" w14:textId="4766C80B" w:rsidR="000342E8" w:rsidRPr="00EB0C51" w:rsidRDefault="000342E8" w:rsidP="002058A0">
            <w:pPr>
              <w:jc w:val="center"/>
              <w:rPr>
                <w:rFonts w:cs="Arial"/>
                <w:color w:val="000000"/>
                <w:sz w:val="20"/>
                <w:szCs w:val="20"/>
                <w:lang w:eastAsia="es-CO"/>
              </w:rPr>
            </w:pPr>
          </w:p>
          <w:p w14:paraId="4D1525F6" w14:textId="106F98E3" w:rsidR="000342E8" w:rsidRPr="00EB0C51" w:rsidRDefault="000342E8" w:rsidP="002058A0">
            <w:pPr>
              <w:jc w:val="center"/>
              <w:rPr>
                <w:rFonts w:cs="Arial"/>
                <w:color w:val="000000"/>
                <w:sz w:val="20"/>
                <w:szCs w:val="20"/>
                <w:lang w:eastAsia="es-CO"/>
              </w:rPr>
            </w:pPr>
          </w:p>
          <w:p w14:paraId="2448F111" w14:textId="1D54E049" w:rsidR="000342E8" w:rsidRPr="00EB0C51" w:rsidRDefault="000342E8" w:rsidP="002058A0">
            <w:pPr>
              <w:jc w:val="center"/>
              <w:rPr>
                <w:rFonts w:cs="Arial"/>
                <w:color w:val="000000"/>
                <w:sz w:val="20"/>
                <w:szCs w:val="20"/>
                <w:lang w:eastAsia="es-CO"/>
              </w:rPr>
            </w:pPr>
          </w:p>
          <w:p w14:paraId="5C2D1274" w14:textId="4829E659" w:rsidR="000342E8" w:rsidRPr="00EB0C51" w:rsidRDefault="000342E8" w:rsidP="002058A0">
            <w:pPr>
              <w:jc w:val="center"/>
              <w:rPr>
                <w:rFonts w:cs="Arial"/>
                <w:color w:val="000000"/>
                <w:sz w:val="20"/>
                <w:szCs w:val="20"/>
                <w:lang w:eastAsia="es-CO"/>
              </w:rPr>
            </w:pPr>
          </w:p>
          <w:p w14:paraId="0A76C7FE" w14:textId="09E2FEB8" w:rsidR="000342E8" w:rsidRPr="00EB0C51" w:rsidRDefault="000342E8" w:rsidP="002058A0">
            <w:pPr>
              <w:jc w:val="center"/>
              <w:rPr>
                <w:rFonts w:cs="Arial"/>
                <w:color w:val="000000"/>
                <w:sz w:val="20"/>
                <w:szCs w:val="20"/>
                <w:lang w:eastAsia="es-CO"/>
              </w:rPr>
            </w:pPr>
          </w:p>
          <w:p w14:paraId="64528918" w14:textId="4D625D05" w:rsidR="000342E8" w:rsidRPr="00EB0C51" w:rsidRDefault="000342E8" w:rsidP="002058A0">
            <w:pPr>
              <w:jc w:val="center"/>
              <w:rPr>
                <w:rFonts w:cs="Arial"/>
                <w:color w:val="000000"/>
                <w:sz w:val="20"/>
                <w:szCs w:val="20"/>
                <w:lang w:eastAsia="es-CO"/>
              </w:rPr>
            </w:pPr>
          </w:p>
          <w:p w14:paraId="519779F5" w14:textId="3B2E907C" w:rsidR="000342E8" w:rsidRPr="00EB0C51" w:rsidRDefault="000342E8" w:rsidP="002058A0">
            <w:pPr>
              <w:jc w:val="center"/>
              <w:rPr>
                <w:rFonts w:cs="Arial"/>
                <w:color w:val="000000"/>
                <w:sz w:val="20"/>
                <w:szCs w:val="20"/>
                <w:lang w:eastAsia="es-CO"/>
              </w:rPr>
            </w:pPr>
          </w:p>
          <w:p w14:paraId="0469AEC8" w14:textId="6562D7F1" w:rsidR="000342E8" w:rsidRPr="00EB0C51" w:rsidRDefault="000342E8" w:rsidP="002058A0">
            <w:pPr>
              <w:jc w:val="center"/>
              <w:rPr>
                <w:rFonts w:cs="Arial"/>
                <w:color w:val="000000"/>
                <w:sz w:val="20"/>
                <w:szCs w:val="20"/>
                <w:lang w:eastAsia="es-CO"/>
              </w:rPr>
            </w:pPr>
          </w:p>
          <w:p w14:paraId="1C03159D" w14:textId="3D60F270" w:rsidR="000342E8" w:rsidRPr="00EB0C51" w:rsidRDefault="000342E8" w:rsidP="002058A0">
            <w:pPr>
              <w:jc w:val="center"/>
              <w:rPr>
                <w:rFonts w:cs="Arial"/>
                <w:color w:val="000000"/>
                <w:sz w:val="20"/>
                <w:szCs w:val="20"/>
                <w:lang w:eastAsia="es-CO"/>
              </w:rPr>
            </w:pPr>
          </w:p>
          <w:p w14:paraId="4B419AB0" w14:textId="2ED83046" w:rsidR="000342E8" w:rsidRPr="00EB0C51" w:rsidRDefault="000342E8" w:rsidP="002058A0">
            <w:pPr>
              <w:jc w:val="center"/>
              <w:rPr>
                <w:rFonts w:cs="Arial"/>
                <w:color w:val="000000"/>
                <w:sz w:val="20"/>
                <w:szCs w:val="20"/>
                <w:lang w:eastAsia="es-CO"/>
              </w:rPr>
            </w:pPr>
          </w:p>
          <w:p w14:paraId="36C0BB35" w14:textId="1ADAA890" w:rsidR="000342E8" w:rsidRPr="00EB0C51" w:rsidRDefault="000342E8" w:rsidP="002058A0">
            <w:pPr>
              <w:jc w:val="center"/>
              <w:rPr>
                <w:rFonts w:cs="Arial"/>
                <w:color w:val="000000"/>
                <w:sz w:val="20"/>
                <w:szCs w:val="20"/>
                <w:lang w:eastAsia="es-CO"/>
              </w:rPr>
            </w:pPr>
          </w:p>
          <w:p w14:paraId="51815AA7" w14:textId="6020F860" w:rsidR="000342E8" w:rsidRPr="00EB0C51" w:rsidRDefault="000342E8" w:rsidP="002058A0">
            <w:pPr>
              <w:jc w:val="center"/>
              <w:rPr>
                <w:rFonts w:cs="Arial"/>
                <w:color w:val="000000"/>
                <w:sz w:val="20"/>
                <w:szCs w:val="20"/>
                <w:lang w:eastAsia="es-CO"/>
              </w:rPr>
            </w:pPr>
          </w:p>
          <w:p w14:paraId="6BE56A5E" w14:textId="5B2E7CC7" w:rsidR="000342E8" w:rsidRPr="00EB0C51" w:rsidRDefault="000342E8" w:rsidP="002058A0">
            <w:pPr>
              <w:jc w:val="center"/>
              <w:rPr>
                <w:rFonts w:cs="Arial"/>
                <w:color w:val="000000"/>
                <w:sz w:val="20"/>
                <w:szCs w:val="20"/>
                <w:lang w:eastAsia="es-CO"/>
              </w:rPr>
            </w:pPr>
          </w:p>
          <w:p w14:paraId="2175B609" w14:textId="3BD545A5" w:rsidR="000342E8" w:rsidRPr="00EB0C51" w:rsidRDefault="000342E8" w:rsidP="002058A0">
            <w:pPr>
              <w:jc w:val="center"/>
              <w:rPr>
                <w:rFonts w:cs="Arial"/>
                <w:color w:val="000000"/>
                <w:sz w:val="20"/>
                <w:szCs w:val="20"/>
                <w:lang w:eastAsia="es-CO"/>
              </w:rPr>
            </w:pPr>
          </w:p>
          <w:p w14:paraId="7FDDA4A1" w14:textId="77777777" w:rsidR="000342E8" w:rsidRPr="00EB0C51" w:rsidRDefault="000342E8" w:rsidP="002058A0">
            <w:pPr>
              <w:jc w:val="center"/>
              <w:rPr>
                <w:rFonts w:cs="Arial"/>
                <w:color w:val="000000"/>
                <w:sz w:val="20"/>
                <w:szCs w:val="20"/>
                <w:lang w:eastAsia="es-CO"/>
              </w:rPr>
            </w:pPr>
          </w:p>
          <w:p w14:paraId="3DE66DA2" w14:textId="5350E067" w:rsidR="000342E8" w:rsidRPr="00EB0C51" w:rsidRDefault="000342E8" w:rsidP="002058A0">
            <w:pPr>
              <w:jc w:val="center"/>
              <w:rPr>
                <w:rFonts w:cs="Arial"/>
                <w:color w:val="000000"/>
                <w:sz w:val="20"/>
                <w:szCs w:val="20"/>
                <w:lang w:eastAsia="es-CO"/>
              </w:rPr>
            </w:pPr>
          </w:p>
          <w:p w14:paraId="60BDC2F5" w14:textId="6AED0E4A" w:rsidR="000342E8" w:rsidRPr="00EB0C51" w:rsidRDefault="000342E8" w:rsidP="002058A0">
            <w:pPr>
              <w:jc w:val="center"/>
              <w:rPr>
                <w:rFonts w:cs="Arial"/>
                <w:color w:val="000000"/>
                <w:sz w:val="20"/>
                <w:szCs w:val="20"/>
                <w:lang w:eastAsia="es-CO"/>
              </w:rPr>
            </w:pPr>
          </w:p>
          <w:p w14:paraId="234A0C32" w14:textId="6AC28F70" w:rsidR="000342E8" w:rsidRPr="00EB0C51" w:rsidRDefault="000342E8" w:rsidP="002058A0">
            <w:pPr>
              <w:jc w:val="center"/>
              <w:rPr>
                <w:rFonts w:cs="Arial"/>
                <w:color w:val="000000"/>
                <w:sz w:val="20"/>
                <w:szCs w:val="20"/>
                <w:lang w:eastAsia="es-CO"/>
              </w:rPr>
            </w:pPr>
          </w:p>
          <w:p w14:paraId="45059B25" w14:textId="031DC405" w:rsidR="000342E8" w:rsidRPr="00EB0C51" w:rsidRDefault="000342E8" w:rsidP="002058A0">
            <w:pPr>
              <w:jc w:val="center"/>
              <w:rPr>
                <w:rFonts w:cs="Arial"/>
                <w:color w:val="000000"/>
                <w:sz w:val="20"/>
                <w:szCs w:val="20"/>
                <w:lang w:eastAsia="es-CO"/>
              </w:rPr>
            </w:pPr>
          </w:p>
          <w:p w14:paraId="27F5A4AC" w14:textId="77777777" w:rsidR="000342E8" w:rsidRPr="00EB0C51" w:rsidRDefault="000342E8" w:rsidP="002058A0">
            <w:pPr>
              <w:jc w:val="center"/>
              <w:rPr>
                <w:rFonts w:cs="Arial"/>
                <w:color w:val="000000"/>
                <w:sz w:val="20"/>
                <w:szCs w:val="20"/>
                <w:lang w:eastAsia="es-CO"/>
              </w:rPr>
            </w:pPr>
          </w:p>
          <w:p w14:paraId="782C5BFE" w14:textId="77777777"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15%</w:t>
            </w:r>
          </w:p>
          <w:p w14:paraId="107E781A" w14:textId="77777777" w:rsidR="000342E8" w:rsidRPr="00EB0C51" w:rsidRDefault="000342E8" w:rsidP="002058A0">
            <w:pPr>
              <w:jc w:val="center"/>
              <w:rPr>
                <w:rFonts w:cs="Arial"/>
                <w:color w:val="000000"/>
                <w:sz w:val="20"/>
                <w:szCs w:val="20"/>
                <w:lang w:eastAsia="es-CO"/>
              </w:rPr>
            </w:pPr>
          </w:p>
          <w:p w14:paraId="419A34AC" w14:textId="15BB1E73" w:rsidR="000342E8" w:rsidRPr="00EB0C51" w:rsidRDefault="000342E8" w:rsidP="002058A0">
            <w:pPr>
              <w:jc w:val="center"/>
              <w:rPr>
                <w:rFonts w:cs="Arial"/>
                <w:color w:val="000000"/>
                <w:sz w:val="20"/>
                <w:szCs w:val="20"/>
                <w:lang w:eastAsia="es-CO"/>
              </w:rPr>
            </w:pPr>
          </w:p>
          <w:p w14:paraId="468BE297" w14:textId="7F809943" w:rsidR="000342E8" w:rsidRPr="00EB0C51" w:rsidRDefault="000342E8" w:rsidP="002058A0">
            <w:pPr>
              <w:jc w:val="center"/>
              <w:rPr>
                <w:rFonts w:cs="Arial"/>
                <w:color w:val="000000"/>
                <w:sz w:val="20"/>
                <w:szCs w:val="20"/>
                <w:lang w:eastAsia="es-CO"/>
              </w:rPr>
            </w:pPr>
          </w:p>
          <w:p w14:paraId="03849A73" w14:textId="1125F20A" w:rsidR="000342E8" w:rsidRPr="00EB0C51" w:rsidRDefault="000342E8" w:rsidP="002058A0">
            <w:pPr>
              <w:jc w:val="center"/>
              <w:rPr>
                <w:rFonts w:cs="Arial"/>
                <w:color w:val="000000"/>
                <w:sz w:val="20"/>
                <w:szCs w:val="20"/>
                <w:lang w:eastAsia="es-CO"/>
              </w:rPr>
            </w:pPr>
          </w:p>
          <w:p w14:paraId="77C32F50" w14:textId="15FB0D6C" w:rsidR="000342E8" w:rsidRPr="00EB0C51" w:rsidRDefault="000342E8" w:rsidP="002058A0">
            <w:pPr>
              <w:jc w:val="center"/>
              <w:rPr>
                <w:rFonts w:cs="Arial"/>
                <w:color w:val="000000"/>
                <w:sz w:val="20"/>
                <w:szCs w:val="20"/>
                <w:lang w:eastAsia="es-CO"/>
              </w:rPr>
            </w:pPr>
          </w:p>
          <w:p w14:paraId="5B3E975D" w14:textId="0B41AE4B" w:rsidR="000342E8" w:rsidRPr="00EB0C51" w:rsidRDefault="000342E8" w:rsidP="002058A0">
            <w:pPr>
              <w:jc w:val="center"/>
              <w:rPr>
                <w:rFonts w:cs="Arial"/>
                <w:color w:val="000000"/>
                <w:sz w:val="20"/>
                <w:szCs w:val="20"/>
                <w:lang w:eastAsia="es-CO"/>
              </w:rPr>
            </w:pPr>
          </w:p>
          <w:p w14:paraId="71C82F1C" w14:textId="27C44A65" w:rsidR="000342E8" w:rsidRPr="00EB0C51" w:rsidRDefault="000342E8" w:rsidP="002058A0">
            <w:pPr>
              <w:jc w:val="center"/>
              <w:rPr>
                <w:rFonts w:cs="Arial"/>
                <w:color w:val="000000"/>
                <w:sz w:val="20"/>
                <w:szCs w:val="20"/>
                <w:lang w:eastAsia="es-CO"/>
              </w:rPr>
            </w:pPr>
          </w:p>
          <w:p w14:paraId="3066DD08" w14:textId="753A5BA9" w:rsidR="000342E8" w:rsidRPr="00EB0C51" w:rsidRDefault="000342E8" w:rsidP="002058A0">
            <w:pPr>
              <w:jc w:val="center"/>
              <w:rPr>
                <w:rFonts w:cs="Arial"/>
                <w:color w:val="000000"/>
                <w:sz w:val="20"/>
                <w:szCs w:val="20"/>
                <w:lang w:eastAsia="es-CO"/>
              </w:rPr>
            </w:pPr>
          </w:p>
          <w:p w14:paraId="5ADB67D7" w14:textId="2E2B9047" w:rsidR="000342E8" w:rsidRPr="00EB0C51" w:rsidRDefault="000342E8" w:rsidP="002058A0">
            <w:pPr>
              <w:jc w:val="center"/>
              <w:rPr>
                <w:rFonts w:cs="Arial"/>
                <w:color w:val="000000"/>
                <w:sz w:val="20"/>
                <w:szCs w:val="20"/>
                <w:lang w:eastAsia="es-CO"/>
              </w:rPr>
            </w:pPr>
          </w:p>
          <w:p w14:paraId="584AC038" w14:textId="46BD08AC" w:rsidR="000342E8" w:rsidRPr="00EB0C51" w:rsidRDefault="000342E8" w:rsidP="002058A0">
            <w:pPr>
              <w:jc w:val="center"/>
              <w:rPr>
                <w:rFonts w:cs="Arial"/>
                <w:color w:val="000000"/>
                <w:sz w:val="20"/>
                <w:szCs w:val="20"/>
                <w:lang w:eastAsia="es-CO"/>
              </w:rPr>
            </w:pPr>
          </w:p>
          <w:p w14:paraId="5D0290A4" w14:textId="4673BB78" w:rsidR="000342E8" w:rsidRPr="00EB0C51" w:rsidRDefault="000342E8" w:rsidP="002058A0">
            <w:pPr>
              <w:jc w:val="center"/>
              <w:rPr>
                <w:rFonts w:cs="Arial"/>
                <w:color w:val="000000"/>
                <w:sz w:val="20"/>
                <w:szCs w:val="20"/>
                <w:lang w:eastAsia="es-CO"/>
              </w:rPr>
            </w:pPr>
          </w:p>
          <w:p w14:paraId="60EBC6E7" w14:textId="503A83BA" w:rsidR="000342E8" w:rsidRPr="00EB0C51" w:rsidRDefault="000342E8" w:rsidP="002058A0">
            <w:pPr>
              <w:jc w:val="center"/>
              <w:rPr>
                <w:rFonts w:cs="Arial"/>
                <w:color w:val="000000"/>
                <w:sz w:val="20"/>
                <w:szCs w:val="20"/>
                <w:lang w:eastAsia="es-CO"/>
              </w:rPr>
            </w:pPr>
          </w:p>
          <w:p w14:paraId="6FDC616A" w14:textId="74922075" w:rsidR="000342E8" w:rsidRPr="00EB0C51" w:rsidRDefault="000342E8" w:rsidP="002058A0">
            <w:pPr>
              <w:jc w:val="center"/>
              <w:rPr>
                <w:rFonts w:cs="Arial"/>
                <w:color w:val="000000"/>
                <w:sz w:val="20"/>
                <w:szCs w:val="20"/>
                <w:lang w:eastAsia="es-CO"/>
              </w:rPr>
            </w:pPr>
          </w:p>
          <w:p w14:paraId="24F41993" w14:textId="4385D3A0" w:rsidR="000342E8" w:rsidRPr="00EB0C51" w:rsidRDefault="000342E8" w:rsidP="002058A0">
            <w:pPr>
              <w:jc w:val="center"/>
              <w:rPr>
                <w:rFonts w:cs="Arial"/>
                <w:color w:val="000000"/>
                <w:sz w:val="20"/>
                <w:szCs w:val="20"/>
                <w:lang w:eastAsia="es-CO"/>
              </w:rPr>
            </w:pPr>
          </w:p>
          <w:p w14:paraId="001475F3" w14:textId="2BFD9012" w:rsidR="000342E8" w:rsidRPr="00EB0C51" w:rsidRDefault="000342E8" w:rsidP="002058A0">
            <w:pPr>
              <w:jc w:val="center"/>
              <w:rPr>
                <w:rFonts w:cs="Arial"/>
                <w:color w:val="000000"/>
                <w:sz w:val="20"/>
                <w:szCs w:val="20"/>
                <w:lang w:eastAsia="es-CO"/>
              </w:rPr>
            </w:pPr>
          </w:p>
          <w:p w14:paraId="398CBD23" w14:textId="6740AA79" w:rsidR="000342E8" w:rsidRPr="00EB0C51" w:rsidRDefault="000342E8" w:rsidP="002058A0">
            <w:pPr>
              <w:jc w:val="center"/>
              <w:rPr>
                <w:rFonts w:cs="Arial"/>
                <w:color w:val="000000"/>
                <w:sz w:val="20"/>
                <w:szCs w:val="20"/>
                <w:lang w:eastAsia="es-CO"/>
              </w:rPr>
            </w:pPr>
          </w:p>
          <w:p w14:paraId="36D8DE17" w14:textId="38CCF50B" w:rsidR="000342E8" w:rsidRPr="00EB0C51" w:rsidRDefault="000342E8" w:rsidP="002058A0">
            <w:pPr>
              <w:jc w:val="center"/>
              <w:rPr>
                <w:rFonts w:cs="Arial"/>
                <w:color w:val="000000"/>
                <w:sz w:val="20"/>
                <w:szCs w:val="20"/>
                <w:lang w:eastAsia="es-CO"/>
              </w:rPr>
            </w:pPr>
          </w:p>
          <w:p w14:paraId="29E174EC" w14:textId="494F57FA" w:rsidR="000342E8" w:rsidRPr="00EB0C51" w:rsidRDefault="000342E8" w:rsidP="002058A0">
            <w:pPr>
              <w:jc w:val="center"/>
              <w:rPr>
                <w:rFonts w:cs="Arial"/>
                <w:color w:val="000000"/>
                <w:sz w:val="20"/>
                <w:szCs w:val="20"/>
                <w:lang w:eastAsia="es-CO"/>
              </w:rPr>
            </w:pPr>
          </w:p>
          <w:p w14:paraId="03EEEE49" w14:textId="00381F8B" w:rsidR="000342E8" w:rsidRPr="00EB0C51" w:rsidRDefault="000342E8" w:rsidP="002058A0">
            <w:pPr>
              <w:jc w:val="center"/>
              <w:rPr>
                <w:rFonts w:cs="Arial"/>
                <w:color w:val="000000"/>
                <w:sz w:val="20"/>
                <w:szCs w:val="20"/>
                <w:lang w:eastAsia="es-CO"/>
              </w:rPr>
            </w:pPr>
          </w:p>
          <w:p w14:paraId="041ED3BE" w14:textId="2DADD500" w:rsidR="000342E8" w:rsidRPr="00EB0C51" w:rsidRDefault="000342E8" w:rsidP="002058A0">
            <w:pPr>
              <w:jc w:val="center"/>
              <w:rPr>
                <w:rFonts w:cs="Arial"/>
                <w:color w:val="000000"/>
                <w:sz w:val="20"/>
                <w:szCs w:val="20"/>
                <w:lang w:eastAsia="es-CO"/>
              </w:rPr>
            </w:pPr>
          </w:p>
          <w:p w14:paraId="00D132F6" w14:textId="77777777" w:rsidR="000342E8" w:rsidRPr="00EB0C51" w:rsidRDefault="000342E8" w:rsidP="002058A0">
            <w:pPr>
              <w:jc w:val="center"/>
              <w:rPr>
                <w:rFonts w:cs="Arial"/>
                <w:color w:val="000000"/>
                <w:sz w:val="20"/>
                <w:szCs w:val="20"/>
                <w:lang w:eastAsia="es-CO"/>
              </w:rPr>
            </w:pPr>
          </w:p>
          <w:p w14:paraId="160BE66C" w14:textId="77777777" w:rsidR="008D5338" w:rsidRPr="00EB0C51" w:rsidRDefault="008D5338" w:rsidP="002058A0">
            <w:pPr>
              <w:jc w:val="center"/>
              <w:rPr>
                <w:rFonts w:cs="Arial"/>
                <w:color w:val="000000"/>
                <w:sz w:val="20"/>
                <w:szCs w:val="20"/>
                <w:lang w:eastAsia="es-CO"/>
              </w:rPr>
            </w:pPr>
          </w:p>
          <w:p w14:paraId="6F2435A0" w14:textId="77777777" w:rsidR="008D5338" w:rsidRPr="00EB0C51" w:rsidRDefault="008D5338" w:rsidP="002058A0">
            <w:pPr>
              <w:jc w:val="center"/>
              <w:rPr>
                <w:rFonts w:cs="Arial"/>
                <w:color w:val="000000"/>
                <w:sz w:val="20"/>
                <w:szCs w:val="20"/>
                <w:lang w:eastAsia="es-CO"/>
              </w:rPr>
            </w:pPr>
          </w:p>
          <w:p w14:paraId="7B39199B" w14:textId="77777777" w:rsidR="008D5338" w:rsidRPr="00EB0C51" w:rsidRDefault="008D5338" w:rsidP="002058A0">
            <w:pPr>
              <w:jc w:val="center"/>
              <w:rPr>
                <w:rFonts w:cs="Arial"/>
                <w:color w:val="000000"/>
                <w:sz w:val="20"/>
                <w:szCs w:val="20"/>
                <w:lang w:eastAsia="es-CO"/>
              </w:rPr>
            </w:pPr>
          </w:p>
          <w:p w14:paraId="6523D270" w14:textId="77777777" w:rsidR="008D5338" w:rsidRPr="00EB0C51" w:rsidRDefault="008D5338" w:rsidP="002058A0">
            <w:pPr>
              <w:jc w:val="center"/>
              <w:rPr>
                <w:rFonts w:cs="Arial"/>
                <w:color w:val="000000"/>
                <w:sz w:val="20"/>
                <w:szCs w:val="20"/>
                <w:lang w:eastAsia="es-CO"/>
              </w:rPr>
            </w:pPr>
          </w:p>
          <w:p w14:paraId="56479C9A" w14:textId="5898488B"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15%</w:t>
            </w:r>
          </w:p>
        </w:tc>
        <w:tc>
          <w:tcPr>
            <w:tcW w:w="1086" w:type="dxa"/>
            <w:tcBorders>
              <w:top w:val="nil"/>
              <w:left w:val="nil"/>
              <w:bottom w:val="single" w:sz="4" w:space="0" w:color="auto"/>
              <w:right w:val="single" w:sz="4" w:space="0" w:color="auto"/>
            </w:tcBorders>
            <w:shd w:val="clear" w:color="auto" w:fill="auto"/>
            <w:noWrap/>
            <w:vAlign w:val="center"/>
            <w:hideMark/>
          </w:tcPr>
          <w:p w14:paraId="3BDC4E9F" w14:textId="77777777" w:rsidR="000342E8" w:rsidRPr="00EB0C51" w:rsidRDefault="000342E8" w:rsidP="002058A0">
            <w:pPr>
              <w:jc w:val="center"/>
              <w:rPr>
                <w:rFonts w:cs="Arial"/>
                <w:color w:val="000000"/>
                <w:sz w:val="20"/>
                <w:szCs w:val="20"/>
                <w:lang w:eastAsia="es-CO"/>
              </w:rPr>
            </w:pPr>
          </w:p>
          <w:p w14:paraId="415AB51E" w14:textId="77777777" w:rsidR="000342E8" w:rsidRPr="00EB0C51" w:rsidRDefault="000342E8" w:rsidP="002058A0">
            <w:pPr>
              <w:jc w:val="center"/>
              <w:rPr>
                <w:rFonts w:cs="Arial"/>
                <w:color w:val="000000"/>
                <w:sz w:val="20"/>
                <w:szCs w:val="20"/>
                <w:lang w:eastAsia="es-CO"/>
              </w:rPr>
            </w:pPr>
          </w:p>
          <w:p w14:paraId="54FAC95E" w14:textId="7594E715" w:rsidR="000342E8" w:rsidRPr="00EB0C51" w:rsidRDefault="000342E8" w:rsidP="002058A0">
            <w:pPr>
              <w:jc w:val="center"/>
              <w:rPr>
                <w:rFonts w:cs="Arial"/>
                <w:color w:val="000000"/>
                <w:sz w:val="20"/>
                <w:szCs w:val="20"/>
                <w:lang w:eastAsia="es-CO"/>
              </w:rPr>
            </w:pPr>
          </w:p>
          <w:p w14:paraId="6C7218B2" w14:textId="702A5F78" w:rsidR="000342E8" w:rsidRPr="00EB0C51" w:rsidRDefault="000342E8" w:rsidP="002058A0">
            <w:pPr>
              <w:jc w:val="center"/>
              <w:rPr>
                <w:rFonts w:cs="Arial"/>
                <w:color w:val="000000"/>
                <w:sz w:val="20"/>
                <w:szCs w:val="20"/>
                <w:lang w:eastAsia="es-CO"/>
              </w:rPr>
            </w:pPr>
          </w:p>
          <w:p w14:paraId="249D73B5" w14:textId="476CBCFF" w:rsidR="000342E8" w:rsidRPr="00EB0C51" w:rsidRDefault="000342E8" w:rsidP="002058A0">
            <w:pPr>
              <w:jc w:val="center"/>
              <w:rPr>
                <w:rFonts w:cs="Arial"/>
                <w:color w:val="000000"/>
                <w:sz w:val="20"/>
                <w:szCs w:val="20"/>
                <w:lang w:eastAsia="es-CO"/>
              </w:rPr>
            </w:pPr>
          </w:p>
          <w:p w14:paraId="319B5F19" w14:textId="309C2178" w:rsidR="000342E8" w:rsidRPr="00EB0C51" w:rsidRDefault="000342E8" w:rsidP="002058A0">
            <w:pPr>
              <w:jc w:val="center"/>
              <w:rPr>
                <w:rFonts w:cs="Arial"/>
                <w:color w:val="000000"/>
                <w:sz w:val="20"/>
                <w:szCs w:val="20"/>
                <w:lang w:eastAsia="es-CO"/>
              </w:rPr>
            </w:pPr>
          </w:p>
          <w:p w14:paraId="70BCB4D5" w14:textId="77777777" w:rsidR="000342E8" w:rsidRPr="00EB0C51" w:rsidRDefault="000342E8" w:rsidP="002058A0">
            <w:pPr>
              <w:jc w:val="center"/>
              <w:rPr>
                <w:rFonts w:cs="Arial"/>
                <w:color w:val="000000"/>
                <w:sz w:val="20"/>
                <w:szCs w:val="20"/>
                <w:lang w:eastAsia="es-CO"/>
              </w:rPr>
            </w:pPr>
          </w:p>
          <w:p w14:paraId="4B888B26" w14:textId="77777777" w:rsidR="000342E8" w:rsidRPr="00EB0C51" w:rsidRDefault="000342E8" w:rsidP="002058A0">
            <w:pPr>
              <w:jc w:val="center"/>
              <w:rPr>
                <w:rFonts w:cs="Arial"/>
                <w:color w:val="000000"/>
                <w:sz w:val="20"/>
                <w:szCs w:val="20"/>
                <w:lang w:eastAsia="es-CO"/>
              </w:rPr>
            </w:pPr>
          </w:p>
          <w:p w14:paraId="186FDC31" w14:textId="340C00D4"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p w14:paraId="53F393F5" w14:textId="77777777" w:rsidR="000342E8" w:rsidRPr="00EB0C51" w:rsidRDefault="000342E8" w:rsidP="002058A0">
            <w:pPr>
              <w:jc w:val="center"/>
              <w:rPr>
                <w:rFonts w:cs="Arial"/>
                <w:color w:val="000000"/>
                <w:sz w:val="20"/>
                <w:szCs w:val="20"/>
                <w:lang w:eastAsia="es-CO"/>
              </w:rPr>
            </w:pPr>
          </w:p>
          <w:p w14:paraId="41B01283" w14:textId="504F0B3E" w:rsidR="000342E8" w:rsidRPr="00EB0C51" w:rsidRDefault="000342E8" w:rsidP="002058A0">
            <w:pPr>
              <w:jc w:val="center"/>
              <w:rPr>
                <w:rFonts w:cs="Arial"/>
                <w:color w:val="000000"/>
                <w:sz w:val="20"/>
                <w:szCs w:val="20"/>
                <w:lang w:eastAsia="es-CO"/>
              </w:rPr>
            </w:pPr>
          </w:p>
          <w:p w14:paraId="036F2C95" w14:textId="5B0E088C" w:rsidR="000342E8" w:rsidRPr="00EB0C51" w:rsidRDefault="000342E8" w:rsidP="002058A0">
            <w:pPr>
              <w:jc w:val="center"/>
              <w:rPr>
                <w:rFonts w:cs="Arial"/>
                <w:color w:val="000000"/>
                <w:sz w:val="20"/>
                <w:szCs w:val="20"/>
                <w:lang w:eastAsia="es-CO"/>
              </w:rPr>
            </w:pPr>
          </w:p>
          <w:p w14:paraId="446ADA72" w14:textId="524B1D5B" w:rsidR="000342E8" w:rsidRPr="00EB0C51" w:rsidRDefault="000342E8" w:rsidP="002058A0">
            <w:pPr>
              <w:jc w:val="center"/>
              <w:rPr>
                <w:rFonts w:cs="Arial"/>
                <w:color w:val="000000"/>
                <w:sz w:val="20"/>
                <w:szCs w:val="20"/>
                <w:lang w:eastAsia="es-CO"/>
              </w:rPr>
            </w:pPr>
          </w:p>
          <w:p w14:paraId="26B21303" w14:textId="18902399" w:rsidR="000342E8" w:rsidRPr="00EB0C51" w:rsidRDefault="000342E8" w:rsidP="002058A0">
            <w:pPr>
              <w:jc w:val="center"/>
              <w:rPr>
                <w:rFonts w:cs="Arial"/>
                <w:color w:val="000000"/>
                <w:sz w:val="20"/>
                <w:szCs w:val="20"/>
                <w:lang w:eastAsia="es-CO"/>
              </w:rPr>
            </w:pPr>
          </w:p>
          <w:p w14:paraId="6CB25F53" w14:textId="11FFDC94" w:rsidR="000342E8" w:rsidRPr="00EB0C51" w:rsidRDefault="000342E8" w:rsidP="002058A0">
            <w:pPr>
              <w:jc w:val="center"/>
              <w:rPr>
                <w:rFonts w:cs="Arial"/>
                <w:color w:val="000000"/>
                <w:sz w:val="20"/>
                <w:szCs w:val="20"/>
                <w:lang w:eastAsia="es-CO"/>
              </w:rPr>
            </w:pPr>
          </w:p>
          <w:p w14:paraId="1FBDE31F" w14:textId="52BEEF6E" w:rsidR="000342E8" w:rsidRPr="00EB0C51" w:rsidRDefault="000342E8" w:rsidP="002058A0">
            <w:pPr>
              <w:jc w:val="center"/>
              <w:rPr>
                <w:rFonts w:cs="Arial"/>
                <w:color w:val="000000"/>
                <w:sz w:val="20"/>
                <w:szCs w:val="20"/>
                <w:lang w:eastAsia="es-CO"/>
              </w:rPr>
            </w:pPr>
          </w:p>
          <w:p w14:paraId="01F440A2" w14:textId="12602906" w:rsidR="000342E8" w:rsidRPr="00EB0C51" w:rsidRDefault="000342E8" w:rsidP="002058A0">
            <w:pPr>
              <w:jc w:val="center"/>
              <w:rPr>
                <w:rFonts w:cs="Arial"/>
                <w:color w:val="000000"/>
                <w:sz w:val="20"/>
                <w:szCs w:val="20"/>
                <w:lang w:eastAsia="es-CO"/>
              </w:rPr>
            </w:pPr>
          </w:p>
          <w:p w14:paraId="0E127811" w14:textId="77777777" w:rsidR="000342E8" w:rsidRPr="00EB0C51" w:rsidRDefault="000342E8" w:rsidP="002058A0">
            <w:pPr>
              <w:jc w:val="center"/>
              <w:rPr>
                <w:rFonts w:cs="Arial"/>
                <w:color w:val="000000"/>
                <w:sz w:val="20"/>
                <w:szCs w:val="20"/>
                <w:lang w:eastAsia="es-CO"/>
              </w:rPr>
            </w:pPr>
          </w:p>
          <w:p w14:paraId="4757F743" w14:textId="77777777" w:rsidR="000342E8" w:rsidRPr="00EB0C51" w:rsidRDefault="000342E8" w:rsidP="002058A0">
            <w:pPr>
              <w:jc w:val="center"/>
              <w:rPr>
                <w:rFonts w:cs="Arial"/>
                <w:color w:val="000000"/>
                <w:sz w:val="20"/>
                <w:szCs w:val="20"/>
                <w:lang w:eastAsia="es-CO"/>
              </w:rPr>
            </w:pPr>
          </w:p>
          <w:p w14:paraId="3729E0DE" w14:textId="77777777" w:rsidR="000342E8" w:rsidRPr="00EB0C51" w:rsidRDefault="000342E8" w:rsidP="002058A0">
            <w:pPr>
              <w:jc w:val="center"/>
              <w:rPr>
                <w:rFonts w:cs="Arial"/>
                <w:color w:val="000000"/>
                <w:sz w:val="20"/>
                <w:szCs w:val="20"/>
                <w:lang w:eastAsia="es-CO"/>
              </w:rPr>
            </w:pPr>
          </w:p>
          <w:p w14:paraId="2CAC7D8F" w14:textId="77777777" w:rsidR="000342E8" w:rsidRPr="00EB0C51" w:rsidRDefault="000342E8" w:rsidP="002058A0">
            <w:pPr>
              <w:jc w:val="center"/>
              <w:rPr>
                <w:rFonts w:cs="Arial"/>
                <w:color w:val="000000"/>
                <w:sz w:val="20"/>
                <w:szCs w:val="20"/>
                <w:lang w:eastAsia="es-CO"/>
              </w:rPr>
            </w:pPr>
          </w:p>
          <w:p w14:paraId="3A16FB9E" w14:textId="77777777" w:rsidR="000342E8" w:rsidRPr="00EB0C51" w:rsidRDefault="000342E8" w:rsidP="002058A0">
            <w:pPr>
              <w:jc w:val="center"/>
              <w:rPr>
                <w:rFonts w:cs="Arial"/>
                <w:color w:val="000000"/>
                <w:sz w:val="20"/>
                <w:szCs w:val="20"/>
                <w:lang w:eastAsia="es-CO"/>
              </w:rPr>
            </w:pPr>
          </w:p>
          <w:p w14:paraId="3C268F2D" w14:textId="77777777" w:rsidR="000342E8" w:rsidRPr="00EB0C51" w:rsidRDefault="000342E8" w:rsidP="002058A0">
            <w:pPr>
              <w:jc w:val="center"/>
              <w:rPr>
                <w:rFonts w:cs="Arial"/>
                <w:color w:val="000000"/>
                <w:sz w:val="20"/>
                <w:szCs w:val="20"/>
                <w:lang w:eastAsia="es-CO"/>
              </w:rPr>
            </w:pPr>
          </w:p>
          <w:p w14:paraId="3D4DBA17" w14:textId="77777777" w:rsidR="000342E8" w:rsidRPr="00EB0C51" w:rsidRDefault="000342E8" w:rsidP="002058A0">
            <w:pPr>
              <w:jc w:val="center"/>
              <w:rPr>
                <w:rFonts w:cs="Arial"/>
                <w:color w:val="000000"/>
                <w:sz w:val="20"/>
                <w:szCs w:val="20"/>
                <w:lang w:eastAsia="es-CO"/>
              </w:rPr>
            </w:pPr>
          </w:p>
          <w:p w14:paraId="2783E01C" w14:textId="77777777" w:rsidR="000342E8" w:rsidRPr="00EB0C51" w:rsidRDefault="000342E8" w:rsidP="002058A0">
            <w:pPr>
              <w:jc w:val="center"/>
              <w:rPr>
                <w:rFonts w:cs="Arial"/>
                <w:color w:val="000000"/>
                <w:sz w:val="20"/>
                <w:szCs w:val="20"/>
                <w:lang w:eastAsia="es-CO"/>
              </w:rPr>
            </w:pPr>
          </w:p>
          <w:p w14:paraId="7A9B44A3" w14:textId="77777777" w:rsidR="000342E8" w:rsidRPr="00EB0C51" w:rsidRDefault="000342E8" w:rsidP="002058A0">
            <w:pPr>
              <w:jc w:val="center"/>
              <w:rPr>
                <w:rFonts w:cs="Arial"/>
                <w:color w:val="000000"/>
                <w:sz w:val="20"/>
                <w:szCs w:val="20"/>
                <w:lang w:eastAsia="es-CO"/>
              </w:rPr>
            </w:pPr>
          </w:p>
          <w:p w14:paraId="283649A7" w14:textId="77777777" w:rsidR="000342E8" w:rsidRPr="00EB0C51" w:rsidRDefault="000342E8" w:rsidP="002058A0">
            <w:pPr>
              <w:jc w:val="center"/>
              <w:rPr>
                <w:rFonts w:cs="Arial"/>
                <w:color w:val="000000"/>
                <w:sz w:val="20"/>
                <w:szCs w:val="20"/>
                <w:lang w:eastAsia="es-CO"/>
              </w:rPr>
            </w:pPr>
          </w:p>
          <w:p w14:paraId="322BBA7B" w14:textId="77777777" w:rsidR="000342E8" w:rsidRPr="00EB0C51" w:rsidRDefault="000342E8" w:rsidP="002058A0">
            <w:pPr>
              <w:jc w:val="center"/>
              <w:rPr>
                <w:rFonts w:cs="Arial"/>
                <w:color w:val="000000"/>
                <w:sz w:val="20"/>
                <w:szCs w:val="20"/>
                <w:lang w:eastAsia="es-CO"/>
              </w:rPr>
            </w:pPr>
          </w:p>
          <w:p w14:paraId="0B458A55" w14:textId="77777777" w:rsidR="000342E8" w:rsidRPr="00EB0C51" w:rsidRDefault="000342E8" w:rsidP="002058A0">
            <w:pPr>
              <w:jc w:val="center"/>
              <w:rPr>
                <w:rFonts w:cs="Arial"/>
                <w:color w:val="000000"/>
                <w:sz w:val="20"/>
                <w:szCs w:val="20"/>
                <w:lang w:eastAsia="es-CO"/>
              </w:rPr>
            </w:pPr>
          </w:p>
          <w:p w14:paraId="5FFDA408" w14:textId="77777777" w:rsidR="000342E8" w:rsidRPr="00EB0C51" w:rsidRDefault="000342E8" w:rsidP="002058A0">
            <w:pPr>
              <w:jc w:val="center"/>
              <w:rPr>
                <w:rFonts w:cs="Arial"/>
                <w:color w:val="000000"/>
                <w:sz w:val="20"/>
                <w:szCs w:val="20"/>
                <w:lang w:eastAsia="es-CO"/>
              </w:rPr>
            </w:pPr>
          </w:p>
          <w:p w14:paraId="03875711" w14:textId="749CBF60" w:rsidR="000342E8" w:rsidRPr="00EB0C51" w:rsidRDefault="000342E8" w:rsidP="002058A0">
            <w:pPr>
              <w:jc w:val="center"/>
              <w:rPr>
                <w:rFonts w:cs="Arial"/>
                <w:color w:val="000000"/>
                <w:sz w:val="20"/>
                <w:szCs w:val="20"/>
                <w:lang w:eastAsia="es-CO"/>
              </w:rPr>
            </w:pPr>
          </w:p>
          <w:p w14:paraId="3C66AA51" w14:textId="49A0CA5B" w:rsidR="000342E8" w:rsidRPr="00EB0C51" w:rsidRDefault="000342E8" w:rsidP="002058A0">
            <w:pPr>
              <w:jc w:val="center"/>
              <w:rPr>
                <w:rFonts w:cs="Arial"/>
                <w:color w:val="000000"/>
                <w:sz w:val="20"/>
                <w:szCs w:val="20"/>
                <w:lang w:eastAsia="es-CO"/>
              </w:rPr>
            </w:pPr>
          </w:p>
          <w:p w14:paraId="387FD23C" w14:textId="1AB12516" w:rsidR="000342E8" w:rsidRPr="00EB0C51" w:rsidRDefault="000342E8" w:rsidP="002058A0">
            <w:pPr>
              <w:jc w:val="center"/>
              <w:rPr>
                <w:rFonts w:cs="Arial"/>
                <w:color w:val="000000"/>
                <w:sz w:val="20"/>
                <w:szCs w:val="20"/>
                <w:lang w:eastAsia="es-CO"/>
              </w:rPr>
            </w:pPr>
          </w:p>
          <w:p w14:paraId="18E875F1" w14:textId="290153D4" w:rsidR="000342E8" w:rsidRPr="00EB0C51" w:rsidRDefault="000342E8" w:rsidP="002058A0">
            <w:pPr>
              <w:jc w:val="center"/>
              <w:rPr>
                <w:rFonts w:cs="Arial"/>
                <w:color w:val="000000"/>
                <w:sz w:val="20"/>
                <w:szCs w:val="20"/>
                <w:lang w:eastAsia="es-CO"/>
              </w:rPr>
            </w:pPr>
          </w:p>
          <w:p w14:paraId="6A35D29A" w14:textId="77777777" w:rsidR="000342E8" w:rsidRPr="00EB0C51" w:rsidRDefault="000342E8" w:rsidP="000342E8">
            <w:pPr>
              <w:rPr>
                <w:rFonts w:cs="Arial"/>
                <w:color w:val="000000"/>
                <w:sz w:val="20"/>
                <w:szCs w:val="20"/>
                <w:lang w:eastAsia="es-CO"/>
              </w:rPr>
            </w:pPr>
          </w:p>
          <w:p w14:paraId="1F4AF38A" w14:textId="208AAFCF"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6%</w:t>
            </w:r>
          </w:p>
          <w:p w14:paraId="1F0CB8CB" w14:textId="77777777" w:rsidR="000342E8" w:rsidRPr="00EB0C51" w:rsidRDefault="000342E8" w:rsidP="002058A0">
            <w:pPr>
              <w:jc w:val="center"/>
              <w:rPr>
                <w:rFonts w:cs="Arial"/>
                <w:color w:val="000000"/>
                <w:sz w:val="20"/>
                <w:szCs w:val="20"/>
                <w:lang w:eastAsia="es-CO"/>
              </w:rPr>
            </w:pPr>
          </w:p>
          <w:p w14:paraId="71332914" w14:textId="7B2EBEA2" w:rsidR="000342E8" w:rsidRPr="00EB0C51" w:rsidRDefault="000342E8" w:rsidP="002058A0">
            <w:pPr>
              <w:jc w:val="center"/>
              <w:rPr>
                <w:rFonts w:cs="Arial"/>
                <w:color w:val="000000"/>
                <w:sz w:val="20"/>
                <w:szCs w:val="20"/>
                <w:lang w:eastAsia="es-CO"/>
              </w:rPr>
            </w:pPr>
          </w:p>
          <w:p w14:paraId="4B544722" w14:textId="7B39CDF9" w:rsidR="000342E8" w:rsidRPr="00EB0C51" w:rsidRDefault="000342E8" w:rsidP="002058A0">
            <w:pPr>
              <w:jc w:val="center"/>
              <w:rPr>
                <w:rFonts w:cs="Arial"/>
                <w:color w:val="000000"/>
                <w:sz w:val="20"/>
                <w:szCs w:val="20"/>
                <w:lang w:eastAsia="es-CO"/>
              </w:rPr>
            </w:pPr>
          </w:p>
          <w:p w14:paraId="739FB580" w14:textId="5102ED01" w:rsidR="000342E8" w:rsidRPr="00EB0C51" w:rsidRDefault="000342E8" w:rsidP="002058A0">
            <w:pPr>
              <w:jc w:val="center"/>
              <w:rPr>
                <w:rFonts w:cs="Arial"/>
                <w:color w:val="000000"/>
                <w:sz w:val="20"/>
                <w:szCs w:val="20"/>
                <w:lang w:eastAsia="es-CO"/>
              </w:rPr>
            </w:pPr>
          </w:p>
          <w:p w14:paraId="784B22CA" w14:textId="7582A101" w:rsidR="000342E8" w:rsidRPr="00EB0C51" w:rsidRDefault="000342E8" w:rsidP="002058A0">
            <w:pPr>
              <w:jc w:val="center"/>
              <w:rPr>
                <w:rFonts w:cs="Arial"/>
                <w:color w:val="000000"/>
                <w:sz w:val="20"/>
                <w:szCs w:val="20"/>
                <w:lang w:eastAsia="es-CO"/>
              </w:rPr>
            </w:pPr>
          </w:p>
          <w:p w14:paraId="2F67ACDC" w14:textId="375F3363" w:rsidR="000342E8" w:rsidRPr="00EB0C51" w:rsidRDefault="000342E8" w:rsidP="002058A0">
            <w:pPr>
              <w:jc w:val="center"/>
              <w:rPr>
                <w:rFonts w:cs="Arial"/>
                <w:color w:val="000000"/>
                <w:sz w:val="20"/>
                <w:szCs w:val="20"/>
                <w:lang w:eastAsia="es-CO"/>
              </w:rPr>
            </w:pPr>
          </w:p>
          <w:p w14:paraId="5A433108" w14:textId="5EBCF877" w:rsidR="000342E8" w:rsidRPr="00EB0C51" w:rsidRDefault="000342E8" w:rsidP="002058A0">
            <w:pPr>
              <w:jc w:val="center"/>
              <w:rPr>
                <w:rFonts w:cs="Arial"/>
                <w:color w:val="000000"/>
                <w:sz w:val="20"/>
                <w:szCs w:val="20"/>
                <w:lang w:eastAsia="es-CO"/>
              </w:rPr>
            </w:pPr>
          </w:p>
          <w:p w14:paraId="1294D10A" w14:textId="72241E02" w:rsidR="000342E8" w:rsidRPr="00EB0C51" w:rsidRDefault="000342E8" w:rsidP="002058A0">
            <w:pPr>
              <w:jc w:val="center"/>
              <w:rPr>
                <w:rFonts w:cs="Arial"/>
                <w:color w:val="000000"/>
                <w:sz w:val="20"/>
                <w:szCs w:val="20"/>
                <w:lang w:eastAsia="es-CO"/>
              </w:rPr>
            </w:pPr>
          </w:p>
          <w:p w14:paraId="6EA02776" w14:textId="1116DA13" w:rsidR="000342E8" w:rsidRPr="00EB0C51" w:rsidRDefault="000342E8" w:rsidP="002058A0">
            <w:pPr>
              <w:jc w:val="center"/>
              <w:rPr>
                <w:rFonts w:cs="Arial"/>
                <w:color w:val="000000"/>
                <w:sz w:val="20"/>
                <w:szCs w:val="20"/>
                <w:lang w:eastAsia="es-CO"/>
              </w:rPr>
            </w:pPr>
          </w:p>
          <w:p w14:paraId="34B8B649" w14:textId="2D35EEE1" w:rsidR="000342E8" w:rsidRPr="00EB0C51" w:rsidRDefault="000342E8" w:rsidP="002058A0">
            <w:pPr>
              <w:jc w:val="center"/>
              <w:rPr>
                <w:rFonts w:cs="Arial"/>
                <w:color w:val="000000"/>
                <w:sz w:val="20"/>
                <w:szCs w:val="20"/>
                <w:lang w:eastAsia="es-CO"/>
              </w:rPr>
            </w:pPr>
          </w:p>
          <w:p w14:paraId="0919F7D9" w14:textId="4445E599" w:rsidR="000342E8" w:rsidRPr="00EB0C51" w:rsidRDefault="000342E8" w:rsidP="002058A0">
            <w:pPr>
              <w:jc w:val="center"/>
              <w:rPr>
                <w:rFonts w:cs="Arial"/>
                <w:color w:val="000000"/>
                <w:sz w:val="20"/>
                <w:szCs w:val="20"/>
                <w:lang w:eastAsia="es-CO"/>
              </w:rPr>
            </w:pPr>
          </w:p>
          <w:p w14:paraId="4885E70A" w14:textId="53FD36E9" w:rsidR="000342E8" w:rsidRPr="00EB0C51" w:rsidRDefault="000342E8" w:rsidP="002058A0">
            <w:pPr>
              <w:jc w:val="center"/>
              <w:rPr>
                <w:rFonts w:cs="Arial"/>
                <w:color w:val="000000"/>
                <w:sz w:val="20"/>
                <w:szCs w:val="20"/>
                <w:lang w:eastAsia="es-CO"/>
              </w:rPr>
            </w:pPr>
          </w:p>
          <w:p w14:paraId="34305F0A" w14:textId="3EBAC6AB" w:rsidR="000342E8" w:rsidRPr="00EB0C51" w:rsidRDefault="000342E8" w:rsidP="002058A0">
            <w:pPr>
              <w:jc w:val="center"/>
              <w:rPr>
                <w:rFonts w:cs="Arial"/>
                <w:color w:val="000000"/>
                <w:sz w:val="20"/>
                <w:szCs w:val="20"/>
                <w:lang w:eastAsia="es-CO"/>
              </w:rPr>
            </w:pPr>
          </w:p>
          <w:p w14:paraId="1E646544" w14:textId="0C8D9EB3" w:rsidR="000342E8" w:rsidRPr="00EB0C51" w:rsidRDefault="000342E8" w:rsidP="002058A0">
            <w:pPr>
              <w:jc w:val="center"/>
              <w:rPr>
                <w:rFonts w:cs="Arial"/>
                <w:color w:val="000000"/>
                <w:sz w:val="20"/>
                <w:szCs w:val="20"/>
                <w:lang w:eastAsia="es-CO"/>
              </w:rPr>
            </w:pPr>
          </w:p>
          <w:p w14:paraId="300DE6F6" w14:textId="20622C1C" w:rsidR="000342E8" w:rsidRPr="00EB0C51" w:rsidRDefault="000342E8" w:rsidP="002058A0">
            <w:pPr>
              <w:jc w:val="center"/>
              <w:rPr>
                <w:rFonts w:cs="Arial"/>
                <w:color w:val="000000"/>
                <w:sz w:val="20"/>
                <w:szCs w:val="20"/>
                <w:lang w:eastAsia="es-CO"/>
              </w:rPr>
            </w:pPr>
          </w:p>
          <w:p w14:paraId="7142DF3F" w14:textId="2D7B731E" w:rsidR="000342E8" w:rsidRPr="00EB0C51" w:rsidRDefault="000342E8" w:rsidP="002058A0">
            <w:pPr>
              <w:jc w:val="center"/>
              <w:rPr>
                <w:rFonts w:cs="Arial"/>
                <w:color w:val="000000"/>
                <w:sz w:val="20"/>
                <w:szCs w:val="20"/>
                <w:lang w:eastAsia="es-CO"/>
              </w:rPr>
            </w:pPr>
          </w:p>
          <w:p w14:paraId="73FC09DB" w14:textId="27130D19" w:rsidR="000342E8" w:rsidRPr="00EB0C51" w:rsidRDefault="000342E8" w:rsidP="002058A0">
            <w:pPr>
              <w:jc w:val="center"/>
              <w:rPr>
                <w:rFonts w:cs="Arial"/>
                <w:color w:val="000000"/>
                <w:sz w:val="20"/>
                <w:szCs w:val="20"/>
                <w:lang w:eastAsia="es-CO"/>
              </w:rPr>
            </w:pPr>
          </w:p>
          <w:p w14:paraId="20EA3959" w14:textId="54A6C6D3" w:rsidR="000342E8" w:rsidRPr="00EB0C51" w:rsidRDefault="000342E8" w:rsidP="002058A0">
            <w:pPr>
              <w:jc w:val="center"/>
              <w:rPr>
                <w:rFonts w:cs="Arial"/>
                <w:color w:val="000000"/>
                <w:sz w:val="20"/>
                <w:szCs w:val="20"/>
                <w:lang w:eastAsia="es-CO"/>
              </w:rPr>
            </w:pPr>
          </w:p>
          <w:p w14:paraId="1D266F09" w14:textId="667E72B3" w:rsidR="000342E8" w:rsidRPr="00EB0C51" w:rsidRDefault="000342E8" w:rsidP="002058A0">
            <w:pPr>
              <w:jc w:val="center"/>
              <w:rPr>
                <w:rFonts w:cs="Arial"/>
                <w:color w:val="000000"/>
                <w:sz w:val="20"/>
                <w:szCs w:val="20"/>
                <w:lang w:eastAsia="es-CO"/>
              </w:rPr>
            </w:pPr>
          </w:p>
          <w:p w14:paraId="1C033357" w14:textId="41D5632D" w:rsidR="000342E8" w:rsidRPr="00EB0C51" w:rsidRDefault="000342E8" w:rsidP="002058A0">
            <w:pPr>
              <w:jc w:val="center"/>
              <w:rPr>
                <w:rFonts w:cs="Arial"/>
                <w:color w:val="000000"/>
                <w:sz w:val="20"/>
                <w:szCs w:val="20"/>
                <w:lang w:eastAsia="es-CO"/>
              </w:rPr>
            </w:pPr>
          </w:p>
          <w:p w14:paraId="324A95A2" w14:textId="725B2AFC" w:rsidR="000342E8" w:rsidRPr="00EB0C51" w:rsidRDefault="000342E8" w:rsidP="002058A0">
            <w:pPr>
              <w:jc w:val="center"/>
              <w:rPr>
                <w:rFonts w:cs="Arial"/>
                <w:color w:val="000000"/>
                <w:sz w:val="20"/>
                <w:szCs w:val="20"/>
                <w:lang w:eastAsia="es-CO"/>
              </w:rPr>
            </w:pPr>
          </w:p>
          <w:p w14:paraId="2E8CFC29" w14:textId="71B2790C" w:rsidR="000342E8" w:rsidRPr="00EB0C51" w:rsidRDefault="000342E8" w:rsidP="002058A0">
            <w:pPr>
              <w:jc w:val="center"/>
              <w:rPr>
                <w:rFonts w:cs="Arial"/>
                <w:color w:val="000000"/>
                <w:sz w:val="20"/>
                <w:szCs w:val="20"/>
                <w:lang w:eastAsia="es-CO"/>
              </w:rPr>
            </w:pPr>
          </w:p>
          <w:p w14:paraId="66DABE7D" w14:textId="70CAA86F" w:rsidR="000342E8" w:rsidRPr="00EB0C51" w:rsidRDefault="000342E8" w:rsidP="002058A0">
            <w:pPr>
              <w:jc w:val="center"/>
              <w:rPr>
                <w:rFonts w:cs="Arial"/>
                <w:color w:val="000000"/>
                <w:sz w:val="20"/>
                <w:szCs w:val="20"/>
                <w:lang w:eastAsia="es-CO"/>
              </w:rPr>
            </w:pPr>
          </w:p>
          <w:p w14:paraId="29ACA12A" w14:textId="5EAF7F07" w:rsidR="000342E8" w:rsidRPr="00EB0C51" w:rsidRDefault="000342E8" w:rsidP="002058A0">
            <w:pPr>
              <w:jc w:val="center"/>
              <w:rPr>
                <w:rFonts w:cs="Arial"/>
                <w:color w:val="000000"/>
                <w:sz w:val="20"/>
                <w:szCs w:val="20"/>
                <w:lang w:eastAsia="es-CO"/>
              </w:rPr>
            </w:pPr>
          </w:p>
          <w:p w14:paraId="0DA92748" w14:textId="77777777" w:rsidR="000342E8" w:rsidRPr="00EB0C51" w:rsidRDefault="000342E8" w:rsidP="002058A0">
            <w:pPr>
              <w:jc w:val="center"/>
              <w:rPr>
                <w:rFonts w:cs="Arial"/>
                <w:color w:val="000000"/>
                <w:sz w:val="20"/>
                <w:szCs w:val="20"/>
                <w:lang w:eastAsia="es-CO"/>
              </w:rPr>
            </w:pPr>
          </w:p>
          <w:p w14:paraId="144F924B" w14:textId="52BBD27C"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6%</w:t>
            </w:r>
          </w:p>
        </w:tc>
        <w:tc>
          <w:tcPr>
            <w:tcW w:w="608" w:type="dxa"/>
            <w:tcBorders>
              <w:top w:val="nil"/>
              <w:left w:val="nil"/>
              <w:bottom w:val="single" w:sz="4" w:space="0" w:color="auto"/>
              <w:right w:val="single" w:sz="4" w:space="0" w:color="auto"/>
            </w:tcBorders>
            <w:shd w:val="clear" w:color="auto" w:fill="auto"/>
            <w:noWrap/>
            <w:vAlign w:val="center"/>
            <w:hideMark/>
          </w:tcPr>
          <w:p w14:paraId="469D564A" w14:textId="77777777" w:rsidR="000342E8" w:rsidRPr="00EB0C51" w:rsidRDefault="000342E8" w:rsidP="002058A0">
            <w:pPr>
              <w:jc w:val="center"/>
              <w:rPr>
                <w:rFonts w:cs="Arial"/>
                <w:color w:val="000000"/>
                <w:sz w:val="20"/>
                <w:szCs w:val="20"/>
                <w:lang w:eastAsia="es-CO"/>
              </w:rPr>
            </w:pPr>
          </w:p>
          <w:p w14:paraId="44A0DF75" w14:textId="217CB64D" w:rsidR="000342E8" w:rsidRPr="00EB0C51" w:rsidRDefault="000342E8" w:rsidP="002058A0">
            <w:pPr>
              <w:jc w:val="center"/>
              <w:rPr>
                <w:rFonts w:cs="Arial"/>
                <w:color w:val="000000"/>
                <w:sz w:val="20"/>
                <w:szCs w:val="20"/>
                <w:lang w:eastAsia="es-CO"/>
              </w:rPr>
            </w:pPr>
          </w:p>
          <w:p w14:paraId="486A64BD" w14:textId="34A78C6A" w:rsidR="000342E8" w:rsidRPr="00EB0C51" w:rsidRDefault="000342E8" w:rsidP="002058A0">
            <w:pPr>
              <w:jc w:val="center"/>
              <w:rPr>
                <w:rFonts w:cs="Arial"/>
                <w:color w:val="000000"/>
                <w:sz w:val="20"/>
                <w:szCs w:val="20"/>
                <w:lang w:eastAsia="es-CO"/>
              </w:rPr>
            </w:pPr>
          </w:p>
          <w:p w14:paraId="1AC28B9D" w14:textId="3472B5FE" w:rsidR="000342E8" w:rsidRPr="00EB0C51" w:rsidRDefault="000342E8" w:rsidP="002058A0">
            <w:pPr>
              <w:jc w:val="center"/>
              <w:rPr>
                <w:rFonts w:cs="Arial"/>
                <w:color w:val="000000"/>
                <w:sz w:val="20"/>
                <w:szCs w:val="20"/>
                <w:lang w:eastAsia="es-CO"/>
              </w:rPr>
            </w:pPr>
          </w:p>
          <w:p w14:paraId="2FBC8E57" w14:textId="6FAD7ADE" w:rsidR="000342E8" w:rsidRPr="00EB0C51" w:rsidRDefault="000342E8" w:rsidP="002058A0">
            <w:pPr>
              <w:jc w:val="center"/>
              <w:rPr>
                <w:rFonts w:cs="Arial"/>
                <w:color w:val="000000"/>
                <w:sz w:val="20"/>
                <w:szCs w:val="20"/>
                <w:lang w:eastAsia="es-CO"/>
              </w:rPr>
            </w:pPr>
          </w:p>
          <w:p w14:paraId="6D4F79A0" w14:textId="1CF9ED62" w:rsidR="000342E8" w:rsidRPr="00EB0C51" w:rsidRDefault="000342E8" w:rsidP="002058A0">
            <w:pPr>
              <w:jc w:val="center"/>
              <w:rPr>
                <w:rFonts w:cs="Arial"/>
                <w:color w:val="000000"/>
                <w:sz w:val="20"/>
                <w:szCs w:val="20"/>
                <w:lang w:eastAsia="es-CO"/>
              </w:rPr>
            </w:pPr>
          </w:p>
          <w:p w14:paraId="3B147EA0" w14:textId="1C4A988B" w:rsidR="000342E8" w:rsidRPr="00EB0C51" w:rsidRDefault="000342E8" w:rsidP="002058A0">
            <w:pPr>
              <w:jc w:val="center"/>
              <w:rPr>
                <w:rFonts w:cs="Arial"/>
                <w:color w:val="000000"/>
                <w:sz w:val="20"/>
                <w:szCs w:val="20"/>
                <w:lang w:eastAsia="es-CO"/>
              </w:rPr>
            </w:pPr>
          </w:p>
          <w:p w14:paraId="67D641B8" w14:textId="77777777" w:rsidR="000342E8" w:rsidRPr="00EB0C51" w:rsidRDefault="000342E8" w:rsidP="000342E8">
            <w:pPr>
              <w:rPr>
                <w:rFonts w:cs="Arial"/>
                <w:color w:val="000000"/>
                <w:sz w:val="20"/>
                <w:szCs w:val="20"/>
                <w:lang w:eastAsia="es-CO"/>
              </w:rPr>
            </w:pPr>
          </w:p>
          <w:p w14:paraId="1C288463" w14:textId="1D042F8C"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p w14:paraId="0F5E5FB2" w14:textId="6AA95DEC" w:rsidR="000342E8" w:rsidRPr="00EB0C51" w:rsidRDefault="000342E8" w:rsidP="002058A0">
            <w:pPr>
              <w:jc w:val="center"/>
              <w:rPr>
                <w:rFonts w:cs="Arial"/>
                <w:color w:val="000000"/>
                <w:sz w:val="20"/>
                <w:szCs w:val="20"/>
                <w:lang w:eastAsia="es-CO"/>
              </w:rPr>
            </w:pPr>
          </w:p>
          <w:p w14:paraId="7E851F71" w14:textId="541423CB" w:rsidR="000342E8" w:rsidRPr="00EB0C51" w:rsidRDefault="000342E8" w:rsidP="002058A0">
            <w:pPr>
              <w:jc w:val="center"/>
              <w:rPr>
                <w:rFonts w:cs="Arial"/>
                <w:color w:val="000000"/>
                <w:sz w:val="20"/>
                <w:szCs w:val="20"/>
                <w:lang w:eastAsia="es-CO"/>
              </w:rPr>
            </w:pPr>
          </w:p>
          <w:p w14:paraId="23ADF266" w14:textId="6338E9C0" w:rsidR="000342E8" w:rsidRPr="00EB0C51" w:rsidRDefault="000342E8" w:rsidP="002058A0">
            <w:pPr>
              <w:jc w:val="center"/>
              <w:rPr>
                <w:rFonts w:cs="Arial"/>
                <w:color w:val="000000"/>
                <w:sz w:val="20"/>
                <w:szCs w:val="20"/>
                <w:lang w:eastAsia="es-CO"/>
              </w:rPr>
            </w:pPr>
          </w:p>
          <w:p w14:paraId="196C5B85" w14:textId="6CFFBEF4" w:rsidR="000342E8" w:rsidRPr="00EB0C51" w:rsidRDefault="000342E8" w:rsidP="002058A0">
            <w:pPr>
              <w:jc w:val="center"/>
              <w:rPr>
                <w:rFonts w:cs="Arial"/>
                <w:color w:val="000000"/>
                <w:sz w:val="20"/>
                <w:szCs w:val="20"/>
                <w:lang w:eastAsia="es-CO"/>
              </w:rPr>
            </w:pPr>
          </w:p>
          <w:p w14:paraId="2A4D74FA" w14:textId="788D68AB" w:rsidR="000342E8" w:rsidRPr="00EB0C51" w:rsidRDefault="000342E8" w:rsidP="002058A0">
            <w:pPr>
              <w:jc w:val="center"/>
              <w:rPr>
                <w:rFonts w:cs="Arial"/>
                <w:color w:val="000000"/>
                <w:sz w:val="20"/>
                <w:szCs w:val="20"/>
                <w:lang w:eastAsia="es-CO"/>
              </w:rPr>
            </w:pPr>
          </w:p>
          <w:p w14:paraId="63F55DC2" w14:textId="571ABC35" w:rsidR="000342E8" w:rsidRPr="00EB0C51" w:rsidRDefault="000342E8" w:rsidP="002058A0">
            <w:pPr>
              <w:jc w:val="center"/>
              <w:rPr>
                <w:rFonts w:cs="Arial"/>
                <w:color w:val="000000"/>
                <w:sz w:val="20"/>
                <w:szCs w:val="20"/>
                <w:lang w:eastAsia="es-CO"/>
              </w:rPr>
            </w:pPr>
          </w:p>
          <w:p w14:paraId="37B32A33" w14:textId="6F66C469" w:rsidR="000342E8" w:rsidRPr="00EB0C51" w:rsidRDefault="000342E8" w:rsidP="002058A0">
            <w:pPr>
              <w:jc w:val="center"/>
              <w:rPr>
                <w:rFonts w:cs="Arial"/>
                <w:color w:val="000000"/>
                <w:sz w:val="20"/>
                <w:szCs w:val="20"/>
                <w:lang w:eastAsia="es-CO"/>
              </w:rPr>
            </w:pPr>
          </w:p>
          <w:p w14:paraId="5489E0D6" w14:textId="488352C6" w:rsidR="000342E8" w:rsidRPr="00EB0C51" w:rsidRDefault="000342E8" w:rsidP="002058A0">
            <w:pPr>
              <w:jc w:val="center"/>
              <w:rPr>
                <w:rFonts w:cs="Arial"/>
                <w:color w:val="000000"/>
                <w:sz w:val="20"/>
                <w:szCs w:val="20"/>
                <w:lang w:eastAsia="es-CO"/>
              </w:rPr>
            </w:pPr>
          </w:p>
          <w:p w14:paraId="710B5862" w14:textId="5B4A9B5D" w:rsidR="000342E8" w:rsidRPr="00EB0C51" w:rsidRDefault="000342E8" w:rsidP="002058A0">
            <w:pPr>
              <w:jc w:val="center"/>
              <w:rPr>
                <w:rFonts w:cs="Arial"/>
                <w:color w:val="000000"/>
                <w:sz w:val="20"/>
                <w:szCs w:val="20"/>
                <w:lang w:eastAsia="es-CO"/>
              </w:rPr>
            </w:pPr>
          </w:p>
          <w:p w14:paraId="5837310D" w14:textId="586199A3" w:rsidR="000342E8" w:rsidRPr="00EB0C51" w:rsidRDefault="000342E8" w:rsidP="002058A0">
            <w:pPr>
              <w:jc w:val="center"/>
              <w:rPr>
                <w:rFonts w:cs="Arial"/>
                <w:color w:val="000000"/>
                <w:sz w:val="20"/>
                <w:szCs w:val="20"/>
                <w:lang w:eastAsia="es-CO"/>
              </w:rPr>
            </w:pPr>
          </w:p>
          <w:p w14:paraId="334FDADB" w14:textId="198BD8D4" w:rsidR="000342E8" w:rsidRPr="00EB0C51" w:rsidRDefault="000342E8" w:rsidP="002058A0">
            <w:pPr>
              <w:jc w:val="center"/>
              <w:rPr>
                <w:rFonts w:cs="Arial"/>
                <w:color w:val="000000"/>
                <w:sz w:val="20"/>
                <w:szCs w:val="20"/>
                <w:lang w:eastAsia="es-CO"/>
              </w:rPr>
            </w:pPr>
          </w:p>
          <w:p w14:paraId="250A0B9E" w14:textId="0D6C74A2" w:rsidR="000342E8" w:rsidRPr="00EB0C51" w:rsidRDefault="000342E8" w:rsidP="002058A0">
            <w:pPr>
              <w:jc w:val="center"/>
              <w:rPr>
                <w:rFonts w:cs="Arial"/>
                <w:color w:val="000000"/>
                <w:sz w:val="20"/>
                <w:szCs w:val="20"/>
                <w:lang w:eastAsia="es-CO"/>
              </w:rPr>
            </w:pPr>
          </w:p>
          <w:p w14:paraId="14C3223A" w14:textId="1D04C777" w:rsidR="000342E8" w:rsidRPr="00EB0C51" w:rsidRDefault="000342E8" w:rsidP="002058A0">
            <w:pPr>
              <w:jc w:val="center"/>
              <w:rPr>
                <w:rFonts w:cs="Arial"/>
                <w:color w:val="000000"/>
                <w:sz w:val="20"/>
                <w:szCs w:val="20"/>
                <w:lang w:eastAsia="es-CO"/>
              </w:rPr>
            </w:pPr>
          </w:p>
          <w:p w14:paraId="5B64E324" w14:textId="486ABDC9" w:rsidR="000342E8" w:rsidRPr="00EB0C51" w:rsidRDefault="000342E8" w:rsidP="002058A0">
            <w:pPr>
              <w:jc w:val="center"/>
              <w:rPr>
                <w:rFonts w:cs="Arial"/>
                <w:color w:val="000000"/>
                <w:sz w:val="20"/>
                <w:szCs w:val="20"/>
                <w:lang w:eastAsia="es-CO"/>
              </w:rPr>
            </w:pPr>
          </w:p>
          <w:p w14:paraId="41FF9C77" w14:textId="06224FE9" w:rsidR="000342E8" w:rsidRPr="00EB0C51" w:rsidRDefault="000342E8" w:rsidP="002058A0">
            <w:pPr>
              <w:jc w:val="center"/>
              <w:rPr>
                <w:rFonts w:cs="Arial"/>
                <w:color w:val="000000"/>
                <w:sz w:val="20"/>
                <w:szCs w:val="20"/>
                <w:lang w:eastAsia="es-CO"/>
              </w:rPr>
            </w:pPr>
          </w:p>
          <w:p w14:paraId="6D60467A" w14:textId="7A23E9DC" w:rsidR="000342E8" w:rsidRPr="00EB0C51" w:rsidRDefault="000342E8" w:rsidP="002058A0">
            <w:pPr>
              <w:jc w:val="center"/>
              <w:rPr>
                <w:rFonts w:cs="Arial"/>
                <w:color w:val="000000"/>
                <w:sz w:val="20"/>
                <w:szCs w:val="20"/>
                <w:lang w:eastAsia="es-CO"/>
              </w:rPr>
            </w:pPr>
          </w:p>
          <w:p w14:paraId="4ECF9016" w14:textId="0BD77CE1" w:rsidR="000342E8" w:rsidRPr="00EB0C51" w:rsidRDefault="000342E8" w:rsidP="002058A0">
            <w:pPr>
              <w:jc w:val="center"/>
              <w:rPr>
                <w:rFonts w:cs="Arial"/>
                <w:color w:val="000000"/>
                <w:sz w:val="20"/>
                <w:szCs w:val="20"/>
                <w:lang w:eastAsia="es-CO"/>
              </w:rPr>
            </w:pPr>
          </w:p>
          <w:p w14:paraId="64DE71E4" w14:textId="44C433D6" w:rsidR="000342E8" w:rsidRPr="00EB0C51" w:rsidRDefault="000342E8" w:rsidP="002058A0">
            <w:pPr>
              <w:jc w:val="center"/>
              <w:rPr>
                <w:rFonts w:cs="Arial"/>
                <w:color w:val="000000"/>
                <w:sz w:val="20"/>
                <w:szCs w:val="20"/>
                <w:lang w:eastAsia="es-CO"/>
              </w:rPr>
            </w:pPr>
          </w:p>
          <w:p w14:paraId="360563D2" w14:textId="07D34948" w:rsidR="000342E8" w:rsidRPr="00EB0C51" w:rsidRDefault="000342E8" w:rsidP="002058A0">
            <w:pPr>
              <w:jc w:val="center"/>
              <w:rPr>
                <w:rFonts w:cs="Arial"/>
                <w:color w:val="000000"/>
                <w:sz w:val="20"/>
                <w:szCs w:val="20"/>
                <w:lang w:eastAsia="es-CO"/>
              </w:rPr>
            </w:pPr>
          </w:p>
          <w:p w14:paraId="4FAF0867" w14:textId="2D54B2AD" w:rsidR="000342E8" w:rsidRPr="00EB0C51" w:rsidRDefault="000342E8" w:rsidP="002058A0">
            <w:pPr>
              <w:jc w:val="center"/>
              <w:rPr>
                <w:rFonts w:cs="Arial"/>
                <w:color w:val="000000"/>
                <w:sz w:val="20"/>
                <w:szCs w:val="20"/>
                <w:lang w:eastAsia="es-CO"/>
              </w:rPr>
            </w:pPr>
          </w:p>
          <w:p w14:paraId="25574F32" w14:textId="2185FB6C" w:rsidR="000342E8" w:rsidRPr="00EB0C51" w:rsidRDefault="000342E8" w:rsidP="002058A0">
            <w:pPr>
              <w:jc w:val="center"/>
              <w:rPr>
                <w:rFonts w:cs="Arial"/>
                <w:color w:val="000000"/>
                <w:sz w:val="20"/>
                <w:szCs w:val="20"/>
                <w:lang w:eastAsia="es-CO"/>
              </w:rPr>
            </w:pPr>
          </w:p>
          <w:p w14:paraId="2C0B11F0" w14:textId="3FBBE467" w:rsidR="000342E8" w:rsidRPr="00EB0C51" w:rsidRDefault="000342E8" w:rsidP="002058A0">
            <w:pPr>
              <w:jc w:val="center"/>
              <w:rPr>
                <w:rFonts w:cs="Arial"/>
                <w:color w:val="000000"/>
                <w:sz w:val="20"/>
                <w:szCs w:val="20"/>
                <w:lang w:eastAsia="es-CO"/>
              </w:rPr>
            </w:pPr>
          </w:p>
          <w:p w14:paraId="26361072" w14:textId="0321B4C4" w:rsidR="000342E8" w:rsidRPr="00EB0C51" w:rsidRDefault="000342E8" w:rsidP="002058A0">
            <w:pPr>
              <w:jc w:val="center"/>
              <w:rPr>
                <w:rFonts w:cs="Arial"/>
                <w:color w:val="000000"/>
                <w:sz w:val="20"/>
                <w:szCs w:val="20"/>
                <w:lang w:eastAsia="es-CO"/>
              </w:rPr>
            </w:pPr>
          </w:p>
          <w:p w14:paraId="3F208464" w14:textId="5D83CB38" w:rsidR="000342E8" w:rsidRPr="00EB0C51" w:rsidRDefault="000342E8" w:rsidP="002058A0">
            <w:pPr>
              <w:jc w:val="center"/>
              <w:rPr>
                <w:rFonts w:cs="Arial"/>
                <w:color w:val="000000"/>
                <w:sz w:val="20"/>
                <w:szCs w:val="20"/>
                <w:lang w:eastAsia="es-CO"/>
              </w:rPr>
            </w:pPr>
          </w:p>
          <w:p w14:paraId="2417FA7D" w14:textId="77777777" w:rsidR="000342E8" w:rsidRPr="00EB0C51" w:rsidRDefault="000342E8" w:rsidP="002058A0">
            <w:pPr>
              <w:jc w:val="center"/>
              <w:rPr>
                <w:rFonts w:cs="Arial"/>
                <w:color w:val="000000"/>
                <w:sz w:val="20"/>
                <w:szCs w:val="20"/>
                <w:lang w:eastAsia="es-CO"/>
              </w:rPr>
            </w:pPr>
          </w:p>
          <w:p w14:paraId="673B11A6" w14:textId="77777777" w:rsidR="000342E8" w:rsidRPr="00EB0C51" w:rsidRDefault="000342E8" w:rsidP="002058A0">
            <w:pPr>
              <w:jc w:val="center"/>
              <w:rPr>
                <w:rFonts w:cs="Arial"/>
                <w:color w:val="000000"/>
                <w:sz w:val="20"/>
                <w:szCs w:val="20"/>
                <w:lang w:eastAsia="es-CO"/>
              </w:rPr>
            </w:pPr>
          </w:p>
          <w:p w14:paraId="495F99E0" w14:textId="77777777"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6%</w:t>
            </w:r>
          </w:p>
          <w:p w14:paraId="364B0A7B" w14:textId="46F14A67" w:rsidR="000342E8" w:rsidRPr="00EB0C51" w:rsidRDefault="000342E8" w:rsidP="002058A0">
            <w:pPr>
              <w:jc w:val="center"/>
              <w:rPr>
                <w:rFonts w:cs="Arial"/>
                <w:color w:val="000000"/>
                <w:sz w:val="20"/>
                <w:szCs w:val="20"/>
                <w:lang w:eastAsia="es-CO"/>
              </w:rPr>
            </w:pPr>
          </w:p>
          <w:p w14:paraId="31C025B7" w14:textId="33739E38" w:rsidR="000342E8" w:rsidRPr="00EB0C51" w:rsidRDefault="000342E8" w:rsidP="002058A0">
            <w:pPr>
              <w:jc w:val="center"/>
              <w:rPr>
                <w:rFonts w:cs="Arial"/>
                <w:color w:val="000000"/>
                <w:sz w:val="20"/>
                <w:szCs w:val="20"/>
                <w:lang w:eastAsia="es-CO"/>
              </w:rPr>
            </w:pPr>
          </w:p>
          <w:p w14:paraId="7589A1C8" w14:textId="3C1074E3" w:rsidR="000342E8" w:rsidRPr="00EB0C51" w:rsidRDefault="000342E8" w:rsidP="002058A0">
            <w:pPr>
              <w:jc w:val="center"/>
              <w:rPr>
                <w:rFonts w:cs="Arial"/>
                <w:color w:val="000000"/>
                <w:sz w:val="20"/>
                <w:szCs w:val="20"/>
                <w:lang w:eastAsia="es-CO"/>
              </w:rPr>
            </w:pPr>
          </w:p>
          <w:p w14:paraId="5E60EC6C" w14:textId="475AE1C5" w:rsidR="000342E8" w:rsidRPr="00EB0C51" w:rsidRDefault="000342E8" w:rsidP="002058A0">
            <w:pPr>
              <w:jc w:val="center"/>
              <w:rPr>
                <w:rFonts w:cs="Arial"/>
                <w:color w:val="000000"/>
                <w:sz w:val="20"/>
                <w:szCs w:val="20"/>
                <w:lang w:eastAsia="es-CO"/>
              </w:rPr>
            </w:pPr>
          </w:p>
          <w:p w14:paraId="04942A0C" w14:textId="431DBBEA" w:rsidR="000342E8" w:rsidRPr="00EB0C51" w:rsidRDefault="000342E8" w:rsidP="002058A0">
            <w:pPr>
              <w:jc w:val="center"/>
              <w:rPr>
                <w:rFonts w:cs="Arial"/>
                <w:color w:val="000000"/>
                <w:sz w:val="20"/>
                <w:szCs w:val="20"/>
                <w:lang w:eastAsia="es-CO"/>
              </w:rPr>
            </w:pPr>
          </w:p>
          <w:p w14:paraId="66BEEAA1" w14:textId="453C0E89" w:rsidR="000342E8" w:rsidRPr="00EB0C51" w:rsidRDefault="000342E8" w:rsidP="002058A0">
            <w:pPr>
              <w:jc w:val="center"/>
              <w:rPr>
                <w:rFonts w:cs="Arial"/>
                <w:color w:val="000000"/>
                <w:sz w:val="20"/>
                <w:szCs w:val="20"/>
                <w:lang w:eastAsia="es-CO"/>
              </w:rPr>
            </w:pPr>
          </w:p>
          <w:p w14:paraId="2C0674C3" w14:textId="0EBA3243" w:rsidR="000342E8" w:rsidRPr="00EB0C51" w:rsidRDefault="000342E8" w:rsidP="002058A0">
            <w:pPr>
              <w:jc w:val="center"/>
              <w:rPr>
                <w:rFonts w:cs="Arial"/>
                <w:color w:val="000000"/>
                <w:sz w:val="20"/>
                <w:szCs w:val="20"/>
                <w:lang w:eastAsia="es-CO"/>
              </w:rPr>
            </w:pPr>
          </w:p>
          <w:p w14:paraId="1826EA84" w14:textId="27FF89F2" w:rsidR="000342E8" w:rsidRPr="00EB0C51" w:rsidRDefault="000342E8" w:rsidP="002058A0">
            <w:pPr>
              <w:jc w:val="center"/>
              <w:rPr>
                <w:rFonts w:cs="Arial"/>
                <w:color w:val="000000"/>
                <w:sz w:val="20"/>
                <w:szCs w:val="20"/>
                <w:lang w:eastAsia="es-CO"/>
              </w:rPr>
            </w:pPr>
          </w:p>
          <w:p w14:paraId="115BC10A" w14:textId="080951FC" w:rsidR="000342E8" w:rsidRPr="00EB0C51" w:rsidRDefault="000342E8" w:rsidP="002058A0">
            <w:pPr>
              <w:jc w:val="center"/>
              <w:rPr>
                <w:rFonts w:cs="Arial"/>
                <w:color w:val="000000"/>
                <w:sz w:val="20"/>
                <w:szCs w:val="20"/>
                <w:lang w:eastAsia="es-CO"/>
              </w:rPr>
            </w:pPr>
          </w:p>
          <w:p w14:paraId="689AF09C" w14:textId="1B0D7621" w:rsidR="000342E8" w:rsidRPr="00EB0C51" w:rsidRDefault="000342E8" w:rsidP="002058A0">
            <w:pPr>
              <w:jc w:val="center"/>
              <w:rPr>
                <w:rFonts w:cs="Arial"/>
                <w:color w:val="000000"/>
                <w:sz w:val="20"/>
                <w:szCs w:val="20"/>
                <w:lang w:eastAsia="es-CO"/>
              </w:rPr>
            </w:pPr>
          </w:p>
          <w:p w14:paraId="6E798137" w14:textId="465F01C8" w:rsidR="000342E8" w:rsidRPr="00EB0C51" w:rsidRDefault="000342E8" w:rsidP="002058A0">
            <w:pPr>
              <w:jc w:val="center"/>
              <w:rPr>
                <w:rFonts w:cs="Arial"/>
                <w:color w:val="000000"/>
                <w:sz w:val="20"/>
                <w:szCs w:val="20"/>
                <w:lang w:eastAsia="es-CO"/>
              </w:rPr>
            </w:pPr>
          </w:p>
          <w:p w14:paraId="45D43796" w14:textId="79655ED7" w:rsidR="000342E8" w:rsidRPr="00EB0C51" w:rsidRDefault="000342E8" w:rsidP="002058A0">
            <w:pPr>
              <w:jc w:val="center"/>
              <w:rPr>
                <w:rFonts w:cs="Arial"/>
                <w:color w:val="000000"/>
                <w:sz w:val="20"/>
                <w:szCs w:val="20"/>
                <w:lang w:eastAsia="es-CO"/>
              </w:rPr>
            </w:pPr>
          </w:p>
          <w:p w14:paraId="40F446C8" w14:textId="764C370D" w:rsidR="000342E8" w:rsidRPr="00EB0C51" w:rsidRDefault="000342E8" w:rsidP="002058A0">
            <w:pPr>
              <w:jc w:val="center"/>
              <w:rPr>
                <w:rFonts w:cs="Arial"/>
                <w:color w:val="000000"/>
                <w:sz w:val="20"/>
                <w:szCs w:val="20"/>
                <w:lang w:eastAsia="es-CO"/>
              </w:rPr>
            </w:pPr>
          </w:p>
          <w:p w14:paraId="64E8EA1A" w14:textId="5669D55D" w:rsidR="000342E8" w:rsidRPr="00EB0C51" w:rsidRDefault="000342E8" w:rsidP="002058A0">
            <w:pPr>
              <w:jc w:val="center"/>
              <w:rPr>
                <w:rFonts w:cs="Arial"/>
                <w:color w:val="000000"/>
                <w:sz w:val="20"/>
                <w:szCs w:val="20"/>
                <w:lang w:eastAsia="es-CO"/>
              </w:rPr>
            </w:pPr>
          </w:p>
          <w:p w14:paraId="352B3C88" w14:textId="56BE0EE3" w:rsidR="000342E8" w:rsidRPr="00EB0C51" w:rsidRDefault="000342E8" w:rsidP="002058A0">
            <w:pPr>
              <w:jc w:val="center"/>
              <w:rPr>
                <w:rFonts w:cs="Arial"/>
                <w:color w:val="000000"/>
                <w:sz w:val="20"/>
                <w:szCs w:val="20"/>
                <w:lang w:eastAsia="es-CO"/>
              </w:rPr>
            </w:pPr>
          </w:p>
          <w:p w14:paraId="544E005E" w14:textId="4F70F130" w:rsidR="000342E8" w:rsidRPr="00EB0C51" w:rsidRDefault="000342E8" w:rsidP="002058A0">
            <w:pPr>
              <w:jc w:val="center"/>
              <w:rPr>
                <w:rFonts w:cs="Arial"/>
                <w:color w:val="000000"/>
                <w:sz w:val="20"/>
                <w:szCs w:val="20"/>
                <w:lang w:eastAsia="es-CO"/>
              </w:rPr>
            </w:pPr>
          </w:p>
          <w:p w14:paraId="3AE18C83" w14:textId="79D861C4" w:rsidR="000342E8" w:rsidRPr="00EB0C51" w:rsidRDefault="000342E8" w:rsidP="002058A0">
            <w:pPr>
              <w:jc w:val="center"/>
              <w:rPr>
                <w:rFonts w:cs="Arial"/>
                <w:color w:val="000000"/>
                <w:sz w:val="20"/>
                <w:szCs w:val="20"/>
                <w:lang w:eastAsia="es-CO"/>
              </w:rPr>
            </w:pPr>
          </w:p>
          <w:p w14:paraId="7D2B96C8" w14:textId="0C447D28" w:rsidR="000342E8" w:rsidRPr="00EB0C51" w:rsidRDefault="000342E8" w:rsidP="002058A0">
            <w:pPr>
              <w:jc w:val="center"/>
              <w:rPr>
                <w:rFonts w:cs="Arial"/>
                <w:color w:val="000000"/>
                <w:sz w:val="20"/>
                <w:szCs w:val="20"/>
                <w:lang w:eastAsia="es-CO"/>
              </w:rPr>
            </w:pPr>
          </w:p>
          <w:p w14:paraId="3A821CCE" w14:textId="2C97EA4C" w:rsidR="000342E8" w:rsidRPr="00EB0C51" w:rsidRDefault="000342E8" w:rsidP="002058A0">
            <w:pPr>
              <w:jc w:val="center"/>
              <w:rPr>
                <w:rFonts w:cs="Arial"/>
                <w:color w:val="000000"/>
                <w:sz w:val="20"/>
                <w:szCs w:val="20"/>
                <w:lang w:eastAsia="es-CO"/>
              </w:rPr>
            </w:pPr>
          </w:p>
          <w:p w14:paraId="5B0428D2" w14:textId="499ED781" w:rsidR="000342E8" w:rsidRPr="00EB0C51" w:rsidRDefault="000342E8" w:rsidP="002058A0">
            <w:pPr>
              <w:jc w:val="center"/>
              <w:rPr>
                <w:rFonts w:cs="Arial"/>
                <w:color w:val="000000"/>
                <w:sz w:val="20"/>
                <w:szCs w:val="20"/>
                <w:lang w:eastAsia="es-CO"/>
              </w:rPr>
            </w:pPr>
          </w:p>
          <w:p w14:paraId="6DBE5A2F" w14:textId="3A96B39D" w:rsidR="000342E8" w:rsidRPr="00EB0C51" w:rsidRDefault="000342E8" w:rsidP="002058A0">
            <w:pPr>
              <w:jc w:val="center"/>
              <w:rPr>
                <w:rFonts w:cs="Arial"/>
                <w:color w:val="000000"/>
                <w:sz w:val="20"/>
                <w:szCs w:val="20"/>
                <w:lang w:eastAsia="es-CO"/>
              </w:rPr>
            </w:pPr>
          </w:p>
          <w:p w14:paraId="42754F4C" w14:textId="296FF878" w:rsidR="000342E8" w:rsidRPr="00EB0C51" w:rsidRDefault="000342E8" w:rsidP="002058A0">
            <w:pPr>
              <w:jc w:val="center"/>
              <w:rPr>
                <w:rFonts w:cs="Arial"/>
                <w:color w:val="000000"/>
                <w:sz w:val="20"/>
                <w:szCs w:val="20"/>
                <w:lang w:eastAsia="es-CO"/>
              </w:rPr>
            </w:pPr>
          </w:p>
          <w:p w14:paraId="479BCF9C" w14:textId="3F788078" w:rsidR="000342E8" w:rsidRPr="00EB0C51" w:rsidRDefault="000342E8" w:rsidP="002058A0">
            <w:pPr>
              <w:jc w:val="center"/>
              <w:rPr>
                <w:rFonts w:cs="Arial"/>
                <w:color w:val="000000"/>
                <w:sz w:val="20"/>
                <w:szCs w:val="20"/>
                <w:lang w:eastAsia="es-CO"/>
              </w:rPr>
            </w:pPr>
          </w:p>
          <w:p w14:paraId="0CE54B8C" w14:textId="538FE611" w:rsidR="000342E8" w:rsidRPr="00EB0C51" w:rsidRDefault="000342E8" w:rsidP="002058A0">
            <w:pPr>
              <w:jc w:val="center"/>
              <w:rPr>
                <w:rFonts w:cs="Arial"/>
                <w:color w:val="000000"/>
                <w:sz w:val="20"/>
                <w:szCs w:val="20"/>
                <w:lang w:eastAsia="es-CO"/>
              </w:rPr>
            </w:pPr>
          </w:p>
          <w:p w14:paraId="5279FA75" w14:textId="77777777" w:rsidR="000342E8" w:rsidRPr="00EB0C51" w:rsidRDefault="000342E8" w:rsidP="002058A0">
            <w:pPr>
              <w:jc w:val="center"/>
              <w:rPr>
                <w:rFonts w:cs="Arial"/>
                <w:color w:val="000000"/>
                <w:sz w:val="20"/>
                <w:szCs w:val="20"/>
                <w:lang w:eastAsia="es-CO"/>
              </w:rPr>
            </w:pPr>
          </w:p>
          <w:p w14:paraId="4BAC12A0" w14:textId="77DDDED5" w:rsidR="000342E8" w:rsidRPr="00EB0C51" w:rsidRDefault="000342E8" w:rsidP="002058A0">
            <w:pPr>
              <w:jc w:val="center"/>
              <w:rPr>
                <w:rFonts w:cs="Arial"/>
                <w:color w:val="000000"/>
                <w:sz w:val="20"/>
                <w:szCs w:val="20"/>
                <w:lang w:eastAsia="es-CO"/>
              </w:rPr>
            </w:pPr>
            <w:r w:rsidRPr="00EB0C51">
              <w:rPr>
                <w:rFonts w:cs="Arial"/>
                <w:color w:val="000000"/>
                <w:sz w:val="20"/>
                <w:szCs w:val="20"/>
                <w:lang w:eastAsia="es-CO"/>
              </w:rPr>
              <w:t>6%</w:t>
            </w:r>
          </w:p>
        </w:tc>
        <w:tc>
          <w:tcPr>
            <w:tcW w:w="5328" w:type="dxa"/>
            <w:tcBorders>
              <w:top w:val="nil"/>
              <w:left w:val="nil"/>
              <w:bottom w:val="single" w:sz="4" w:space="0" w:color="auto"/>
              <w:right w:val="single" w:sz="4" w:space="0" w:color="auto"/>
            </w:tcBorders>
            <w:shd w:val="clear" w:color="auto" w:fill="auto"/>
            <w:vAlign w:val="center"/>
            <w:hideMark/>
          </w:tcPr>
          <w:p w14:paraId="5AA7BBAD" w14:textId="77777777" w:rsidR="001F300A" w:rsidRPr="00EB0C51" w:rsidRDefault="00286DFF" w:rsidP="002058A0">
            <w:pPr>
              <w:jc w:val="both"/>
              <w:rPr>
                <w:rFonts w:cs="Arial"/>
                <w:color w:val="000000"/>
                <w:sz w:val="20"/>
                <w:szCs w:val="20"/>
                <w:lang w:eastAsia="es-CO"/>
              </w:rPr>
            </w:pPr>
            <w:r w:rsidRPr="00EB0C51">
              <w:rPr>
                <w:rFonts w:cs="Arial"/>
                <w:color w:val="000000"/>
                <w:sz w:val="20"/>
                <w:szCs w:val="20"/>
                <w:lang w:eastAsia="es-CO"/>
              </w:rPr>
              <w:lastRenderedPageBreak/>
              <w:t xml:space="preserve">De conformidad con lo reportado por el responsable, </w:t>
            </w:r>
            <w:r w:rsidR="00707B13" w:rsidRPr="00EB0C51">
              <w:rPr>
                <w:rFonts w:cs="Arial"/>
                <w:color w:val="000000"/>
                <w:sz w:val="20"/>
                <w:szCs w:val="20"/>
                <w:lang w:eastAsia="es-CO"/>
              </w:rPr>
              <w:t xml:space="preserve">con corte a junio de 2021 </w:t>
            </w:r>
            <w:r w:rsidR="006F12FE" w:rsidRPr="00EB0C51">
              <w:rPr>
                <w:rFonts w:cs="Arial"/>
                <w:color w:val="000000"/>
                <w:sz w:val="20"/>
                <w:szCs w:val="20"/>
                <w:lang w:eastAsia="es-CO"/>
              </w:rPr>
              <w:t>se destaca</w:t>
            </w:r>
            <w:r w:rsidR="001F300A" w:rsidRPr="00EB0C51">
              <w:rPr>
                <w:rFonts w:cs="Arial"/>
                <w:color w:val="000000"/>
                <w:sz w:val="20"/>
                <w:szCs w:val="20"/>
                <w:lang w:eastAsia="es-CO"/>
              </w:rPr>
              <w:t>n</w:t>
            </w:r>
            <w:r w:rsidR="006F12FE" w:rsidRPr="00EB0C51">
              <w:rPr>
                <w:rFonts w:cs="Arial"/>
                <w:color w:val="000000"/>
                <w:sz w:val="20"/>
                <w:szCs w:val="20"/>
                <w:lang w:eastAsia="es-CO"/>
              </w:rPr>
              <w:t xml:space="preserve"> las acciones adelantadas por cada componente así:</w:t>
            </w:r>
          </w:p>
          <w:p w14:paraId="235353A0" w14:textId="144C9325"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br/>
            </w:r>
            <w:r w:rsidR="00CB23D3" w:rsidRPr="00EB0C51">
              <w:rPr>
                <w:rFonts w:cs="Arial"/>
                <w:color w:val="000000"/>
                <w:sz w:val="20"/>
                <w:szCs w:val="20"/>
                <w:lang w:eastAsia="es-CO"/>
              </w:rPr>
              <w:t>-</w:t>
            </w:r>
            <w:r w:rsidRPr="00EB0C51">
              <w:rPr>
                <w:rFonts w:cs="Arial"/>
                <w:color w:val="000000"/>
                <w:sz w:val="20"/>
                <w:szCs w:val="20"/>
                <w:lang w:eastAsia="es-CO"/>
              </w:rPr>
              <w:t xml:space="preserve">Dirección General Política Macro, actualización de la hoja de ruta para completar la definición de lineamientos metodológicos de la migración a estadísticas fiscales con base en el Manual de Estadísticas de Finanzas Públicas de 2014; mesas técnicas de consolidación, deuda, protección social, tablas puente, entidades y calidad de la información contable </w:t>
            </w:r>
            <w:r w:rsidRPr="00EB0C51">
              <w:rPr>
                <w:rFonts w:cs="Arial"/>
                <w:color w:val="000000"/>
                <w:sz w:val="20"/>
                <w:szCs w:val="20"/>
                <w:lang w:eastAsia="es-CO"/>
              </w:rPr>
              <w:br/>
            </w:r>
            <w:r w:rsidRPr="00EB0C51">
              <w:rPr>
                <w:rFonts w:cs="Arial"/>
                <w:color w:val="000000"/>
                <w:sz w:val="20"/>
                <w:szCs w:val="20"/>
                <w:lang w:eastAsia="es-CO"/>
              </w:rPr>
              <w:br/>
            </w:r>
            <w:r w:rsidR="004E6594" w:rsidRPr="00EB0C51">
              <w:rPr>
                <w:rFonts w:cs="Arial"/>
                <w:color w:val="000000"/>
                <w:sz w:val="20"/>
                <w:szCs w:val="20"/>
                <w:lang w:eastAsia="es-CO"/>
              </w:rPr>
              <w:t>-</w:t>
            </w:r>
            <w:r w:rsidRPr="00EB0C51">
              <w:rPr>
                <w:rFonts w:cs="Arial"/>
                <w:color w:val="000000"/>
                <w:sz w:val="20"/>
                <w:szCs w:val="20"/>
                <w:lang w:eastAsia="es-CO"/>
              </w:rPr>
              <w:t xml:space="preserve">Dirección de Regulación Económica de la Seguridad Social, en donde se desarrolla el Sistema de Certificación de Electrónica de Tiempos Laborados – CETIL, a la fecha se encuentran expidiendo certificaciones a 3.000 entidades certificadoras que certifican por 4.086 empleadores. De otra parte, se han solicitado 481.397 certificaciones; de las cuales 468.184 que representan el 97,26% han finalizado </w:t>
            </w:r>
            <w:r w:rsidRPr="00EB0C51">
              <w:rPr>
                <w:rFonts w:cs="Arial"/>
                <w:color w:val="000000"/>
                <w:sz w:val="20"/>
                <w:szCs w:val="20"/>
                <w:lang w:eastAsia="es-CO"/>
              </w:rPr>
              <w:lastRenderedPageBreak/>
              <w:t xml:space="preserve">el trámite y el 2,74% restante que son 13.213 se encuentran en proceso de expedición por parte de las entidades certificadoras. Se han capacitado un total de 6.109 entidades y 9.701 funcionarios. </w:t>
            </w:r>
            <w:r w:rsidRPr="00EB0C51">
              <w:rPr>
                <w:rFonts w:cs="Arial"/>
                <w:color w:val="000000"/>
                <w:sz w:val="20"/>
                <w:szCs w:val="20"/>
                <w:lang w:eastAsia="es-CO"/>
              </w:rPr>
              <w:br/>
            </w:r>
            <w:r w:rsidRPr="00EB0C51">
              <w:rPr>
                <w:rFonts w:cs="Arial"/>
                <w:color w:val="000000"/>
                <w:sz w:val="20"/>
                <w:szCs w:val="20"/>
                <w:lang w:eastAsia="es-CO"/>
              </w:rPr>
              <w:br/>
            </w:r>
            <w:r w:rsidR="00B96327" w:rsidRPr="00EB0C51">
              <w:rPr>
                <w:rFonts w:cs="Arial"/>
                <w:color w:val="000000"/>
                <w:sz w:val="20"/>
                <w:szCs w:val="20"/>
                <w:lang w:eastAsia="es-CO"/>
              </w:rPr>
              <w:t>-</w:t>
            </w:r>
            <w:r w:rsidRPr="00EB0C51">
              <w:rPr>
                <w:rFonts w:cs="Arial"/>
                <w:color w:val="000000"/>
                <w:sz w:val="20"/>
                <w:szCs w:val="20"/>
                <w:lang w:eastAsia="es-CO"/>
              </w:rPr>
              <w:t xml:space="preserve">Para el componente de la Dirección General de Crédito Público y Tesoro Nacional, se aprobó aval fiscal por $11.500.000.000 en 2021 que esperan comprometerse en lo que resta de vigencia, para dar continuidad a las acciones para estructuración del </w:t>
            </w:r>
            <w:r w:rsidR="008A6059" w:rsidRPr="00EB0C51">
              <w:rPr>
                <w:rFonts w:cs="Arial"/>
                <w:color w:val="000000"/>
                <w:sz w:val="20"/>
                <w:szCs w:val="20"/>
                <w:lang w:eastAsia="es-CO"/>
              </w:rPr>
              <w:t xml:space="preserve">CONPES </w:t>
            </w:r>
            <w:r w:rsidRPr="00EB0C51">
              <w:rPr>
                <w:rFonts w:cs="Arial"/>
                <w:color w:val="000000"/>
                <w:sz w:val="20"/>
                <w:szCs w:val="20"/>
                <w:lang w:eastAsia="es-CO"/>
              </w:rPr>
              <w:t>que declara el componente estratégico para continuar apoyando los esfuerzos del MHCP en la mejora de la información y gestión fiscal; así como las acciones con Colombia Compra y el grupo de contratos del Ministerio, para clarificar dudas respecto de la contratación a efectuarse una vez de aprueben los requisitos contractuales y de presupuesto. En paralelo, se continuó recibiendo apoyo técnico del Banco Mundial en la actualización del modelo de negocio, en particular con respecto a la unificación de la contabilidad de deuda y tesoro y a la adopción de estándares internacionales.</w:t>
            </w:r>
            <w:r w:rsidRPr="00EB0C51">
              <w:rPr>
                <w:rFonts w:cs="Arial"/>
                <w:color w:val="000000"/>
                <w:sz w:val="20"/>
                <w:szCs w:val="20"/>
                <w:lang w:eastAsia="es-CO"/>
              </w:rPr>
              <w:br/>
            </w:r>
            <w:r w:rsidRPr="00EB0C51">
              <w:rPr>
                <w:rFonts w:cs="Arial"/>
                <w:color w:val="000000"/>
                <w:sz w:val="20"/>
                <w:szCs w:val="20"/>
                <w:lang w:eastAsia="es-CO"/>
              </w:rPr>
              <w:br/>
            </w:r>
            <w:r w:rsidR="000342E8" w:rsidRPr="00EB0C51">
              <w:rPr>
                <w:rFonts w:cs="Arial"/>
                <w:color w:val="000000"/>
                <w:sz w:val="20"/>
                <w:szCs w:val="20"/>
                <w:lang w:eastAsia="es-CO"/>
              </w:rPr>
              <w:t>-</w:t>
            </w:r>
            <w:r w:rsidRPr="00EB0C51">
              <w:rPr>
                <w:rFonts w:cs="Arial"/>
                <w:color w:val="000000"/>
                <w:sz w:val="20"/>
                <w:szCs w:val="20"/>
                <w:lang w:eastAsia="es-CO"/>
              </w:rPr>
              <w:t xml:space="preserve">Respecto al componente de Sistema Integrado de Información Financiera SIIF Nación- componente SIIF Nación Extendido, se presenta un avance acumulado del proyecto del 80,60%  donde se viene trabajando en la estabilización y afinación de la interoperación proceso de recepción FE, al igual que se  dando continuidad a los desarrollos de los casos de uso definidos para las diferentes interoperaciones establecidas, se realizan pruebas a los desarrollos entregados por la DT, producto de ellas se registran los hallazgos evidenciados durante la ejecución de las pruebas.    No obstante, lo anterior es importante recalcar que el cambio del Catálogo del clasificador presupuestal, como el cambio de nivel para la gestión del presupuesto tienen un impacto alto en el </w:t>
            </w:r>
            <w:r w:rsidRPr="00EB0C51">
              <w:rPr>
                <w:rFonts w:cs="Arial"/>
                <w:color w:val="000000"/>
                <w:sz w:val="20"/>
                <w:szCs w:val="20"/>
                <w:lang w:eastAsia="es-CO"/>
              </w:rPr>
              <w:lastRenderedPageBreak/>
              <w:t>proceso de nómina, por tanto, se están evaluando el impacto para realizar los ajustes al modelo inicialmente establecido, y por otro lado, se viene trabajando en cambios tecnológicos los cuales se deben aplicar a los desarrollos para este proceso.  El proceso de emisión electrónico de la factura, notas débito y crédito, Se encuentra en la etapa de estabilización y la recepción de la factura. Por otro lado, se realizan reuniones de entendimiento con la  Minic, CGN, MINMINAS, y ARN.</w:t>
            </w:r>
            <w:r w:rsidRPr="00EB0C51">
              <w:rPr>
                <w:rFonts w:cs="Arial"/>
                <w:color w:val="000000"/>
                <w:sz w:val="20"/>
                <w:szCs w:val="20"/>
                <w:lang w:eastAsia="es-CO"/>
              </w:rPr>
              <w:br/>
            </w:r>
            <w:r w:rsidRPr="00EB0C51">
              <w:rPr>
                <w:rFonts w:cs="Arial"/>
                <w:color w:val="000000"/>
                <w:sz w:val="20"/>
                <w:szCs w:val="20"/>
                <w:lang w:eastAsia="es-CO"/>
              </w:rPr>
              <w:br/>
              <w:t>Es necesario anotar que si bien la ejecución presupuestal a 30 de junio es de $885 millones, la ejecución a 31 de julio avanza a $1.084 millones.</w:t>
            </w:r>
          </w:p>
        </w:tc>
      </w:tr>
      <w:tr w:rsidR="006F12FE" w:rsidRPr="00EB0C51" w14:paraId="36004F4C"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AFC99E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30</w:t>
            </w:r>
          </w:p>
        </w:tc>
        <w:tc>
          <w:tcPr>
            <w:tcW w:w="2588" w:type="dxa"/>
            <w:tcBorders>
              <w:top w:val="nil"/>
              <w:left w:val="nil"/>
              <w:bottom w:val="single" w:sz="4" w:space="0" w:color="auto"/>
              <w:right w:val="single" w:sz="4" w:space="0" w:color="auto"/>
            </w:tcBorders>
            <w:shd w:val="clear" w:color="auto" w:fill="auto"/>
            <w:vAlign w:val="center"/>
            <w:hideMark/>
          </w:tcPr>
          <w:p w14:paraId="67A8CD71"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Optimización del Modelo de Gestión y Administración del Portafolio de Empresas Estatales  -  Bogotá</w:t>
            </w:r>
          </w:p>
        </w:tc>
        <w:tc>
          <w:tcPr>
            <w:tcW w:w="2153" w:type="dxa"/>
            <w:tcBorders>
              <w:top w:val="nil"/>
              <w:left w:val="nil"/>
              <w:bottom w:val="single" w:sz="4" w:space="0" w:color="auto"/>
              <w:right w:val="single" w:sz="4" w:space="0" w:color="auto"/>
            </w:tcBorders>
            <w:shd w:val="clear" w:color="auto" w:fill="auto"/>
            <w:vAlign w:val="center"/>
            <w:hideMark/>
          </w:tcPr>
          <w:p w14:paraId="51DE4D6E"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 Participaciones Estatales - DGPE</w:t>
            </w:r>
          </w:p>
        </w:tc>
        <w:tc>
          <w:tcPr>
            <w:tcW w:w="1847" w:type="dxa"/>
            <w:tcBorders>
              <w:top w:val="nil"/>
              <w:left w:val="nil"/>
              <w:bottom w:val="single" w:sz="4" w:space="0" w:color="auto"/>
              <w:right w:val="single" w:sz="4" w:space="0" w:color="auto"/>
            </w:tcBorders>
            <w:shd w:val="clear" w:color="auto" w:fill="auto"/>
            <w:noWrap/>
            <w:vAlign w:val="center"/>
            <w:hideMark/>
          </w:tcPr>
          <w:p w14:paraId="584D4595" w14:textId="209EF37D"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 xml:space="preserve">            49.999.596.725 </w:t>
            </w:r>
          </w:p>
        </w:tc>
        <w:tc>
          <w:tcPr>
            <w:tcW w:w="1452" w:type="dxa"/>
            <w:tcBorders>
              <w:top w:val="nil"/>
              <w:left w:val="nil"/>
              <w:bottom w:val="single" w:sz="4" w:space="0" w:color="auto"/>
              <w:right w:val="single" w:sz="4" w:space="0" w:color="auto"/>
            </w:tcBorders>
            <w:shd w:val="clear" w:color="auto" w:fill="auto"/>
            <w:noWrap/>
            <w:vAlign w:val="center"/>
            <w:hideMark/>
          </w:tcPr>
          <w:p w14:paraId="2773500E"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65%</w:t>
            </w:r>
          </w:p>
        </w:tc>
        <w:tc>
          <w:tcPr>
            <w:tcW w:w="1086" w:type="dxa"/>
            <w:tcBorders>
              <w:top w:val="nil"/>
              <w:left w:val="nil"/>
              <w:bottom w:val="single" w:sz="4" w:space="0" w:color="auto"/>
              <w:right w:val="single" w:sz="4" w:space="0" w:color="auto"/>
            </w:tcBorders>
            <w:shd w:val="clear" w:color="auto" w:fill="auto"/>
            <w:noWrap/>
            <w:vAlign w:val="center"/>
            <w:hideMark/>
          </w:tcPr>
          <w:p w14:paraId="0DD2E448"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6E8C64A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1AFEA4AD" w14:textId="2BBA85EB" w:rsidR="006F12FE" w:rsidRPr="00EB0C51" w:rsidRDefault="004728D1" w:rsidP="002058A0">
            <w:pPr>
              <w:jc w:val="both"/>
              <w:rPr>
                <w:rFonts w:cs="Arial"/>
                <w:color w:val="000000"/>
                <w:sz w:val="20"/>
                <w:szCs w:val="20"/>
                <w:lang w:eastAsia="es-CO"/>
              </w:rPr>
            </w:pPr>
            <w:r w:rsidRPr="00EB0C51">
              <w:rPr>
                <w:rFonts w:cs="Arial"/>
                <w:color w:val="000000"/>
                <w:sz w:val="20"/>
                <w:szCs w:val="20"/>
                <w:lang w:eastAsia="es-CO"/>
              </w:rPr>
              <w:t>De acuerdo con lo manifestado por el responsable,</w:t>
            </w:r>
            <w:r w:rsidR="007A50B0" w:rsidRPr="00EB0C51">
              <w:rPr>
                <w:rFonts w:cs="Arial"/>
                <w:color w:val="000000"/>
                <w:sz w:val="20"/>
                <w:szCs w:val="20"/>
                <w:lang w:eastAsia="es-CO"/>
              </w:rPr>
              <w:t xml:space="preserve"> l</w:t>
            </w:r>
            <w:r w:rsidR="006F12FE" w:rsidRPr="00EB0C51">
              <w:rPr>
                <w:rFonts w:cs="Arial"/>
                <w:color w:val="000000"/>
                <w:sz w:val="20"/>
                <w:szCs w:val="20"/>
                <w:lang w:eastAsia="es-CO"/>
              </w:rPr>
              <w:t>a ejecución de los contratos celebrados para los procesos de enajenación de COLTEL, ISA y Distribuidoras se realizará en el segundo semestre de 202</w:t>
            </w:r>
            <w:r w:rsidR="00F945E7" w:rsidRPr="00EB0C51">
              <w:rPr>
                <w:rFonts w:cs="Arial"/>
                <w:color w:val="000000"/>
                <w:sz w:val="20"/>
                <w:szCs w:val="20"/>
                <w:lang w:eastAsia="es-CO"/>
              </w:rPr>
              <w:t xml:space="preserve">1. </w:t>
            </w:r>
          </w:p>
        </w:tc>
      </w:tr>
      <w:tr w:rsidR="006F12FE" w:rsidRPr="00EB0C51" w14:paraId="7F781E3D" w14:textId="77777777" w:rsidTr="001F72EB">
        <w:trPr>
          <w:trHeight w:val="127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4EEF74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31</w:t>
            </w:r>
          </w:p>
        </w:tc>
        <w:tc>
          <w:tcPr>
            <w:tcW w:w="2588" w:type="dxa"/>
            <w:tcBorders>
              <w:top w:val="nil"/>
              <w:left w:val="nil"/>
              <w:bottom w:val="single" w:sz="4" w:space="0" w:color="auto"/>
              <w:right w:val="single" w:sz="4" w:space="0" w:color="auto"/>
            </w:tcBorders>
            <w:shd w:val="clear" w:color="auto" w:fill="auto"/>
            <w:vAlign w:val="center"/>
            <w:hideMark/>
          </w:tcPr>
          <w:p w14:paraId="1E90D1AF"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Apoyo Plan Todos somos Pazcifico en el Litoral Pacífico Nacional</w:t>
            </w:r>
          </w:p>
        </w:tc>
        <w:tc>
          <w:tcPr>
            <w:tcW w:w="2153" w:type="dxa"/>
            <w:tcBorders>
              <w:top w:val="nil"/>
              <w:left w:val="nil"/>
              <w:bottom w:val="single" w:sz="4" w:space="0" w:color="auto"/>
              <w:right w:val="single" w:sz="4" w:space="0" w:color="auto"/>
            </w:tcBorders>
            <w:shd w:val="clear" w:color="auto" w:fill="auto"/>
            <w:vAlign w:val="center"/>
            <w:hideMark/>
          </w:tcPr>
          <w:p w14:paraId="34C8E238"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 Crédito Público y Tesoro Nacional - DGCPTN</w:t>
            </w:r>
          </w:p>
        </w:tc>
        <w:tc>
          <w:tcPr>
            <w:tcW w:w="1847" w:type="dxa"/>
            <w:tcBorders>
              <w:top w:val="nil"/>
              <w:left w:val="nil"/>
              <w:bottom w:val="single" w:sz="4" w:space="0" w:color="auto"/>
              <w:right w:val="single" w:sz="4" w:space="0" w:color="auto"/>
            </w:tcBorders>
            <w:shd w:val="clear" w:color="auto" w:fill="auto"/>
            <w:noWrap/>
            <w:vAlign w:val="center"/>
            <w:hideMark/>
          </w:tcPr>
          <w:p w14:paraId="199B484D"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44.932.084.037</w:t>
            </w:r>
          </w:p>
        </w:tc>
        <w:tc>
          <w:tcPr>
            <w:tcW w:w="1452" w:type="dxa"/>
            <w:tcBorders>
              <w:top w:val="nil"/>
              <w:left w:val="nil"/>
              <w:bottom w:val="single" w:sz="4" w:space="0" w:color="auto"/>
              <w:right w:val="single" w:sz="4" w:space="0" w:color="auto"/>
            </w:tcBorders>
            <w:shd w:val="clear" w:color="auto" w:fill="auto"/>
            <w:noWrap/>
            <w:vAlign w:val="center"/>
            <w:hideMark/>
          </w:tcPr>
          <w:p w14:paraId="75317029"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82%</w:t>
            </w:r>
          </w:p>
        </w:tc>
        <w:tc>
          <w:tcPr>
            <w:tcW w:w="1086" w:type="dxa"/>
            <w:tcBorders>
              <w:top w:val="nil"/>
              <w:left w:val="nil"/>
              <w:bottom w:val="single" w:sz="4" w:space="0" w:color="auto"/>
              <w:right w:val="single" w:sz="4" w:space="0" w:color="auto"/>
            </w:tcBorders>
            <w:shd w:val="clear" w:color="auto" w:fill="auto"/>
            <w:noWrap/>
            <w:vAlign w:val="center"/>
            <w:hideMark/>
          </w:tcPr>
          <w:p w14:paraId="04A8CBF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8%</w:t>
            </w:r>
          </w:p>
        </w:tc>
        <w:tc>
          <w:tcPr>
            <w:tcW w:w="608" w:type="dxa"/>
            <w:tcBorders>
              <w:top w:val="nil"/>
              <w:left w:val="nil"/>
              <w:bottom w:val="single" w:sz="4" w:space="0" w:color="auto"/>
              <w:right w:val="single" w:sz="4" w:space="0" w:color="auto"/>
            </w:tcBorders>
            <w:shd w:val="clear" w:color="auto" w:fill="auto"/>
            <w:noWrap/>
            <w:vAlign w:val="center"/>
            <w:hideMark/>
          </w:tcPr>
          <w:p w14:paraId="5AA5419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8%</w:t>
            </w:r>
          </w:p>
        </w:tc>
        <w:tc>
          <w:tcPr>
            <w:tcW w:w="5328" w:type="dxa"/>
            <w:tcBorders>
              <w:top w:val="nil"/>
              <w:left w:val="nil"/>
              <w:bottom w:val="single" w:sz="4" w:space="0" w:color="auto"/>
              <w:right w:val="single" w:sz="4" w:space="0" w:color="auto"/>
            </w:tcBorders>
            <w:shd w:val="clear" w:color="auto" w:fill="auto"/>
            <w:vAlign w:val="center"/>
            <w:hideMark/>
          </w:tcPr>
          <w:p w14:paraId="10D2BBB7" w14:textId="6E8D4FC1" w:rsidR="006F12FE" w:rsidRPr="00EB0C51" w:rsidRDefault="0053472B" w:rsidP="002058A0">
            <w:pPr>
              <w:jc w:val="both"/>
              <w:rPr>
                <w:rFonts w:cs="Arial"/>
                <w:color w:val="000000"/>
                <w:sz w:val="20"/>
                <w:szCs w:val="20"/>
                <w:lang w:eastAsia="es-CO"/>
              </w:rPr>
            </w:pPr>
            <w:r w:rsidRPr="00EB0C51">
              <w:rPr>
                <w:rFonts w:cs="Arial"/>
                <w:color w:val="000000"/>
                <w:sz w:val="20"/>
                <w:szCs w:val="20"/>
                <w:lang w:eastAsia="es-CO"/>
              </w:rPr>
              <w:t>Según lo comentado por el responsable, e</w:t>
            </w:r>
            <w:r w:rsidR="006F12FE" w:rsidRPr="00EB0C51">
              <w:rPr>
                <w:rFonts w:cs="Arial"/>
                <w:color w:val="000000"/>
                <w:sz w:val="20"/>
                <w:szCs w:val="20"/>
                <w:lang w:eastAsia="es-CO"/>
              </w:rPr>
              <w:t>l</w:t>
            </w:r>
            <w:r w:rsidRPr="00EB0C51">
              <w:rPr>
                <w:rFonts w:cs="Arial"/>
                <w:color w:val="000000"/>
                <w:sz w:val="20"/>
                <w:szCs w:val="20"/>
                <w:lang w:eastAsia="es-CO"/>
              </w:rPr>
              <w:t xml:space="preserve"> </w:t>
            </w:r>
            <w:r w:rsidR="006F12FE" w:rsidRPr="00EB0C51">
              <w:rPr>
                <w:rFonts w:cs="Arial"/>
                <w:color w:val="000000"/>
                <w:sz w:val="20"/>
                <w:szCs w:val="20"/>
                <w:lang w:eastAsia="es-CO"/>
              </w:rPr>
              <w:t>MHCP</w:t>
            </w:r>
            <w:r w:rsidRPr="00EB0C51">
              <w:rPr>
                <w:rFonts w:cs="Arial"/>
                <w:color w:val="000000"/>
                <w:sz w:val="20"/>
                <w:szCs w:val="20"/>
                <w:lang w:eastAsia="es-CO"/>
              </w:rPr>
              <w:t xml:space="preserve"> </w:t>
            </w:r>
            <w:r w:rsidR="006F12FE" w:rsidRPr="00EB0C51">
              <w:rPr>
                <w:rFonts w:cs="Arial"/>
                <w:color w:val="000000"/>
                <w:sz w:val="20"/>
                <w:szCs w:val="20"/>
                <w:lang w:eastAsia="es-CO"/>
              </w:rPr>
              <w:t xml:space="preserve">ha atendido todas las transferencias de aportes al Fondo para el Desarrollo del Plan Todos Somos Pazcífico solicitadas por la Fiduprevisora S.A., como representante legal del Patrimonio Autónomo del Fondo. Para lo que resta del año </w:t>
            </w:r>
            <w:r w:rsidR="00FF0ED6" w:rsidRPr="00EB0C51">
              <w:rPr>
                <w:rFonts w:cs="Arial"/>
                <w:color w:val="000000"/>
                <w:sz w:val="20"/>
                <w:szCs w:val="20"/>
                <w:lang w:eastAsia="es-CO"/>
              </w:rPr>
              <w:t>la Entidad</w:t>
            </w:r>
            <w:r w:rsidR="006F12FE" w:rsidRPr="00EB0C51">
              <w:rPr>
                <w:rFonts w:cs="Arial"/>
                <w:color w:val="000000"/>
                <w:sz w:val="20"/>
                <w:szCs w:val="20"/>
                <w:lang w:eastAsia="es-CO"/>
              </w:rPr>
              <w:t xml:space="preserve"> continuará realizando las</w:t>
            </w:r>
            <w:r w:rsidR="00FA1130" w:rsidRPr="00EB0C51">
              <w:rPr>
                <w:rFonts w:cs="Arial"/>
                <w:color w:val="000000"/>
                <w:sz w:val="20"/>
                <w:szCs w:val="20"/>
                <w:lang w:eastAsia="es-CO"/>
              </w:rPr>
              <w:t xml:space="preserve"> </w:t>
            </w:r>
            <w:r w:rsidR="006F12FE" w:rsidRPr="00EB0C51">
              <w:rPr>
                <w:rFonts w:cs="Arial"/>
                <w:color w:val="000000"/>
                <w:sz w:val="20"/>
                <w:szCs w:val="20"/>
                <w:lang w:eastAsia="es-CO"/>
              </w:rPr>
              <w:t>transferencia</w:t>
            </w:r>
            <w:r w:rsidR="00FA1130" w:rsidRPr="00EB0C51">
              <w:rPr>
                <w:rFonts w:cs="Arial"/>
                <w:color w:val="000000"/>
                <w:sz w:val="20"/>
                <w:szCs w:val="20"/>
                <w:lang w:eastAsia="es-CO"/>
              </w:rPr>
              <w:t>s de acuerdo con las solicitudes</w:t>
            </w:r>
            <w:r w:rsidR="006F12FE" w:rsidRPr="00EB0C51">
              <w:rPr>
                <w:rFonts w:cs="Arial"/>
                <w:color w:val="000000"/>
                <w:sz w:val="20"/>
                <w:szCs w:val="20"/>
                <w:lang w:eastAsia="es-CO"/>
              </w:rPr>
              <w:t xml:space="preserve"> que presente la Fiduprevisora S.A. en cumplimiento de los objetivos del Fondo.</w:t>
            </w:r>
          </w:p>
        </w:tc>
      </w:tr>
      <w:tr w:rsidR="006F12FE" w:rsidRPr="00EB0C51" w14:paraId="472C6536" w14:textId="77777777" w:rsidTr="001F72EB">
        <w:trPr>
          <w:trHeight w:val="284"/>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E2D044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32</w:t>
            </w:r>
          </w:p>
        </w:tc>
        <w:tc>
          <w:tcPr>
            <w:tcW w:w="2588" w:type="dxa"/>
            <w:tcBorders>
              <w:top w:val="nil"/>
              <w:left w:val="nil"/>
              <w:bottom w:val="single" w:sz="4" w:space="0" w:color="auto"/>
              <w:right w:val="single" w:sz="4" w:space="0" w:color="auto"/>
            </w:tcBorders>
            <w:shd w:val="clear" w:color="auto" w:fill="auto"/>
            <w:vAlign w:val="center"/>
            <w:hideMark/>
          </w:tcPr>
          <w:p w14:paraId="600A8E15"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Distribución Coberturas de Tasa de Interés para Financiación de Vivienda Nueva Nacional-[Previo Concepto DNP]</w:t>
            </w:r>
          </w:p>
        </w:tc>
        <w:tc>
          <w:tcPr>
            <w:tcW w:w="2153" w:type="dxa"/>
            <w:tcBorders>
              <w:top w:val="nil"/>
              <w:left w:val="nil"/>
              <w:bottom w:val="single" w:sz="4" w:space="0" w:color="auto"/>
              <w:right w:val="single" w:sz="4" w:space="0" w:color="auto"/>
            </w:tcBorders>
            <w:shd w:val="clear" w:color="auto" w:fill="auto"/>
            <w:vAlign w:val="center"/>
            <w:hideMark/>
          </w:tcPr>
          <w:p w14:paraId="0FF9977F" w14:textId="1FBD9DA3" w:rsidR="006F12FE" w:rsidRPr="00EB0C51" w:rsidRDefault="007A0A83" w:rsidP="007F45AA">
            <w:pPr>
              <w:jc w:val="both"/>
              <w:rPr>
                <w:rFonts w:cs="Arial"/>
                <w:color w:val="000000"/>
                <w:sz w:val="20"/>
                <w:szCs w:val="20"/>
                <w:lang w:eastAsia="es-CO"/>
              </w:rPr>
            </w:pPr>
            <w:r w:rsidRPr="00EB0C51">
              <w:rPr>
                <w:rFonts w:cs="Arial"/>
                <w:color w:val="000000"/>
                <w:sz w:val="20"/>
                <w:szCs w:val="20"/>
                <w:lang w:eastAsia="es-CO"/>
              </w:rPr>
              <w:t>Vice Técnico</w:t>
            </w:r>
          </w:p>
        </w:tc>
        <w:tc>
          <w:tcPr>
            <w:tcW w:w="1847" w:type="dxa"/>
            <w:tcBorders>
              <w:top w:val="nil"/>
              <w:left w:val="nil"/>
              <w:bottom w:val="single" w:sz="4" w:space="0" w:color="auto"/>
              <w:right w:val="single" w:sz="4" w:space="0" w:color="auto"/>
            </w:tcBorders>
            <w:shd w:val="clear" w:color="auto" w:fill="auto"/>
            <w:noWrap/>
            <w:vAlign w:val="center"/>
            <w:hideMark/>
          </w:tcPr>
          <w:p w14:paraId="75358AC5"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226.000.000.000</w:t>
            </w:r>
          </w:p>
        </w:tc>
        <w:tc>
          <w:tcPr>
            <w:tcW w:w="1452" w:type="dxa"/>
            <w:tcBorders>
              <w:top w:val="nil"/>
              <w:left w:val="nil"/>
              <w:bottom w:val="single" w:sz="4" w:space="0" w:color="auto"/>
              <w:right w:val="single" w:sz="4" w:space="0" w:color="auto"/>
            </w:tcBorders>
            <w:shd w:val="clear" w:color="auto" w:fill="auto"/>
            <w:noWrap/>
            <w:vAlign w:val="center"/>
            <w:hideMark/>
          </w:tcPr>
          <w:p w14:paraId="2219AB2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4DC75C6B"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8%</w:t>
            </w:r>
          </w:p>
        </w:tc>
        <w:tc>
          <w:tcPr>
            <w:tcW w:w="608" w:type="dxa"/>
            <w:tcBorders>
              <w:top w:val="nil"/>
              <w:left w:val="nil"/>
              <w:bottom w:val="single" w:sz="4" w:space="0" w:color="auto"/>
              <w:right w:val="single" w:sz="4" w:space="0" w:color="auto"/>
            </w:tcBorders>
            <w:shd w:val="clear" w:color="auto" w:fill="auto"/>
            <w:noWrap/>
            <w:vAlign w:val="center"/>
            <w:hideMark/>
          </w:tcPr>
          <w:p w14:paraId="743154A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8%</w:t>
            </w:r>
          </w:p>
        </w:tc>
        <w:tc>
          <w:tcPr>
            <w:tcW w:w="5328" w:type="dxa"/>
            <w:tcBorders>
              <w:top w:val="nil"/>
              <w:left w:val="nil"/>
              <w:bottom w:val="single" w:sz="4" w:space="0" w:color="auto"/>
              <w:right w:val="single" w:sz="4" w:space="0" w:color="auto"/>
            </w:tcBorders>
            <w:shd w:val="clear" w:color="auto" w:fill="auto"/>
            <w:vAlign w:val="center"/>
            <w:hideMark/>
          </w:tcPr>
          <w:p w14:paraId="65AE2521" w14:textId="5193D697" w:rsidR="006F12FE" w:rsidRPr="00EB0C51" w:rsidRDefault="00BF5390" w:rsidP="002058A0">
            <w:pPr>
              <w:jc w:val="both"/>
              <w:rPr>
                <w:rFonts w:cs="Arial"/>
                <w:color w:val="000000"/>
                <w:sz w:val="20"/>
                <w:szCs w:val="20"/>
                <w:lang w:eastAsia="es-CO"/>
              </w:rPr>
            </w:pPr>
            <w:r w:rsidRPr="00EB0C51">
              <w:rPr>
                <w:rFonts w:cs="Arial"/>
                <w:color w:val="000000"/>
                <w:sz w:val="20"/>
                <w:szCs w:val="20"/>
                <w:lang w:eastAsia="es-CO"/>
              </w:rPr>
              <w:t>Conforme lo manifestado por el responsable, e</w:t>
            </w:r>
            <w:r w:rsidR="006F12FE" w:rsidRPr="00EB0C51">
              <w:rPr>
                <w:rFonts w:cs="Arial"/>
                <w:color w:val="000000"/>
                <w:sz w:val="20"/>
                <w:szCs w:val="20"/>
                <w:lang w:eastAsia="es-CO"/>
              </w:rPr>
              <w:t xml:space="preserve">n el primer semestre de 2021 el </w:t>
            </w:r>
            <w:r w:rsidRPr="00EB0C51">
              <w:rPr>
                <w:rFonts w:cs="Arial"/>
                <w:color w:val="000000"/>
                <w:sz w:val="20"/>
                <w:szCs w:val="20"/>
                <w:lang w:eastAsia="es-CO"/>
              </w:rPr>
              <w:t>MHCP</w:t>
            </w:r>
            <w:r w:rsidR="006F12FE" w:rsidRPr="00EB0C51">
              <w:rPr>
                <w:rFonts w:cs="Arial"/>
                <w:color w:val="000000"/>
                <w:sz w:val="20"/>
                <w:szCs w:val="20"/>
                <w:lang w:eastAsia="es-CO"/>
              </w:rPr>
              <w:t xml:space="preserve"> giró los recursos al Banco de la República</w:t>
            </w:r>
            <w:r w:rsidR="00776710" w:rsidRPr="00EB0C51">
              <w:rPr>
                <w:rFonts w:cs="Arial"/>
                <w:color w:val="000000"/>
                <w:sz w:val="20"/>
                <w:szCs w:val="20"/>
                <w:lang w:eastAsia="es-CO"/>
              </w:rPr>
              <w:t xml:space="preserve">, </w:t>
            </w:r>
            <w:r w:rsidR="006F12FE" w:rsidRPr="00EB0C51">
              <w:rPr>
                <w:rFonts w:cs="Arial"/>
                <w:color w:val="000000"/>
                <w:sz w:val="20"/>
                <w:szCs w:val="20"/>
                <w:lang w:eastAsia="es-CO"/>
              </w:rPr>
              <w:t>correspondientes a las obligaciones que generan las coberturas otorgadas en los años 2020 y 2021, los gastos administrativos y extraordinarios. De acuerdo con las metas del programa, en el año 2021 se proyecta otorgar 40.000 coberturas</w:t>
            </w:r>
            <w:r w:rsidR="007F7680" w:rsidRPr="00EB0C51">
              <w:rPr>
                <w:rFonts w:cs="Arial"/>
                <w:color w:val="000000"/>
                <w:sz w:val="20"/>
                <w:szCs w:val="20"/>
                <w:lang w:eastAsia="es-CO"/>
              </w:rPr>
              <w:t>;</w:t>
            </w:r>
            <w:r w:rsidR="006F12FE" w:rsidRPr="00EB0C51">
              <w:rPr>
                <w:rFonts w:cs="Arial"/>
                <w:color w:val="000000"/>
                <w:sz w:val="20"/>
                <w:szCs w:val="20"/>
                <w:lang w:eastAsia="es-CO"/>
              </w:rPr>
              <w:t xml:space="preserve"> es importante mencionar, que los recursos aprobados están comprometidos con los otrosíes suscritos con el Banco de la República.</w:t>
            </w:r>
          </w:p>
          <w:p w14:paraId="2F9C3DA4" w14:textId="77777777" w:rsidR="007F7680" w:rsidRPr="00EB0C51" w:rsidRDefault="007F7680" w:rsidP="002058A0">
            <w:pPr>
              <w:jc w:val="both"/>
              <w:rPr>
                <w:rFonts w:cs="Arial"/>
                <w:color w:val="000000"/>
                <w:sz w:val="20"/>
                <w:szCs w:val="20"/>
                <w:lang w:eastAsia="es-CO"/>
              </w:rPr>
            </w:pPr>
          </w:p>
          <w:p w14:paraId="23888393" w14:textId="585F9398" w:rsidR="007F7680" w:rsidRPr="00EB0C51" w:rsidRDefault="007F7680" w:rsidP="002058A0">
            <w:pPr>
              <w:jc w:val="both"/>
              <w:rPr>
                <w:rFonts w:cs="Arial"/>
                <w:color w:val="000000"/>
                <w:sz w:val="20"/>
                <w:szCs w:val="20"/>
                <w:lang w:eastAsia="es-CO"/>
              </w:rPr>
            </w:pPr>
          </w:p>
        </w:tc>
      </w:tr>
      <w:tr w:rsidR="006F12FE" w:rsidRPr="00EB0C51" w14:paraId="19F74068" w14:textId="77777777" w:rsidTr="001F72EB">
        <w:trPr>
          <w:trHeight w:val="426"/>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D33950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33</w:t>
            </w:r>
          </w:p>
        </w:tc>
        <w:tc>
          <w:tcPr>
            <w:tcW w:w="2588" w:type="dxa"/>
            <w:tcBorders>
              <w:top w:val="nil"/>
              <w:left w:val="nil"/>
              <w:bottom w:val="single" w:sz="4" w:space="0" w:color="auto"/>
              <w:right w:val="single" w:sz="4" w:space="0" w:color="auto"/>
            </w:tcBorders>
            <w:shd w:val="clear" w:color="auto" w:fill="auto"/>
            <w:vAlign w:val="center"/>
            <w:hideMark/>
          </w:tcPr>
          <w:p w14:paraId="0EE9AB54"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Apoyo a Proyectos de Inversión a Nivel  Nacional-[Distribución previo concepto DNP]</w:t>
            </w:r>
          </w:p>
        </w:tc>
        <w:tc>
          <w:tcPr>
            <w:tcW w:w="2153" w:type="dxa"/>
            <w:vMerge w:val="restart"/>
            <w:tcBorders>
              <w:top w:val="nil"/>
              <w:left w:val="single" w:sz="4" w:space="0" w:color="auto"/>
              <w:bottom w:val="single" w:sz="4" w:space="0" w:color="000000"/>
              <w:right w:val="single" w:sz="4" w:space="0" w:color="auto"/>
            </w:tcBorders>
            <w:shd w:val="clear" w:color="auto" w:fill="auto"/>
            <w:vAlign w:val="center"/>
            <w:hideMark/>
          </w:tcPr>
          <w:p w14:paraId="355E714F"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Oficina Asesora de Planeación - OAP</w:t>
            </w:r>
          </w:p>
        </w:tc>
        <w:tc>
          <w:tcPr>
            <w:tcW w:w="1847" w:type="dxa"/>
            <w:tcBorders>
              <w:top w:val="nil"/>
              <w:left w:val="nil"/>
              <w:bottom w:val="single" w:sz="4" w:space="0" w:color="auto"/>
              <w:right w:val="single" w:sz="4" w:space="0" w:color="auto"/>
            </w:tcBorders>
            <w:shd w:val="clear" w:color="auto" w:fill="auto"/>
            <w:noWrap/>
            <w:vAlign w:val="center"/>
            <w:hideMark/>
          </w:tcPr>
          <w:p w14:paraId="032DBB98"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1.288.955.004.511</w:t>
            </w:r>
          </w:p>
        </w:tc>
        <w:tc>
          <w:tcPr>
            <w:tcW w:w="1452" w:type="dxa"/>
            <w:tcBorders>
              <w:top w:val="nil"/>
              <w:left w:val="nil"/>
              <w:bottom w:val="single" w:sz="4" w:space="0" w:color="auto"/>
              <w:right w:val="single" w:sz="4" w:space="0" w:color="auto"/>
            </w:tcBorders>
            <w:shd w:val="clear" w:color="auto" w:fill="auto"/>
            <w:noWrap/>
            <w:vAlign w:val="center"/>
            <w:hideMark/>
          </w:tcPr>
          <w:p w14:paraId="0C826C2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027C7F1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7D23B104"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val="restart"/>
            <w:tcBorders>
              <w:top w:val="nil"/>
              <w:left w:val="single" w:sz="4" w:space="0" w:color="auto"/>
              <w:bottom w:val="single" w:sz="4" w:space="0" w:color="000000"/>
              <w:right w:val="single" w:sz="4" w:space="0" w:color="auto"/>
            </w:tcBorders>
            <w:shd w:val="clear" w:color="auto" w:fill="auto"/>
            <w:vAlign w:val="center"/>
            <w:hideMark/>
          </w:tcPr>
          <w:p w14:paraId="1B6DD68D" w14:textId="3EA219ED" w:rsidR="000147A7" w:rsidRPr="00EB0C51" w:rsidRDefault="00E72E65" w:rsidP="002058A0">
            <w:pPr>
              <w:jc w:val="both"/>
              <w:rPr>
                <w:rFonts w:cs="Arial"/>
                <w:color w:val="000000"/>
                <w:sz w:val="20"/>
                <w:szCs w:val="20"/>
                <w:lang w:eastAsia="es-CO"/>
              </w:rPr>
            </w:pPr>
            <w:r w:rsidRPr="00EB0C51">
              <w:rPr>
                <w:rFonts w:cs="Arial"/>
                <w:color w:val="000000"/>
                <w:sz w:val="20"/>
                <w:szCs w:val="20"/>
                <w:lang w:eastAsia="es-CO"/>
              </w:rPr>
              <w:t>De acuerdo con lo comentado por el responsable, e</w:t>
            </w:r>
            <w:r w:rsidR="006F12FE" w:rsidRPr="00EB0C51">
              <w:rPr>
                <w:rFonts w:cs="Arial"/>
                <w:color w:val="000000"/>
                <w:sz w:val="20"/>
                <w:szCs w:val="20"/>
                <w:lang w:eastAsia="es-CO"/>
              </w:rPr>
              <w:t xml:space="preserve">n la sección presupuestal 13 01 01 Ministerio de Hacienda y Crédito Público – Gestión General, se programan recursos para rubros presupuestales de características transversales, como provisión que se debe distribuir para atender contingencias por demanda en las entidades ejecutoras del Presupuesto General de la Nación. </w:t>
            </w:r>
            <w:r w:rsidR="006F12FE" w:rsidRPr="00EB0C51">
              <w:rPr>
                <w:rFonts w:cs="Arial"/>
                <w:color w:val="000000"/>
                <w:sz w:val="20"/>
                <w:szCs w:val="20"/>
                <w:lang w:eastAsia="es-CO"/>
              </w:rPr>
              <w:br/>
            </w:r>
            <w:r w:rsidR="006F12FE" w:rsidRPr="00EB0C51">
              <w:rPr>
                <w:rFonts w:cs="Arial"/>
                <w:color w:val="000000"/>
                <w:sz w:val="20"/>
                <w:szCs w:val="20"/>
                <w:lang w:eastAsia="es-CO"/>
              </w:rPr>
              <w:br/>
              <w:t xml:space="preserve">En tal sentido, la naturaleza de los rubros de </w:t>
            </w:r>
            <w:r w:rsidR="00330839" w:rsidRPr="00EB0C51">
              <w:rPr>
                <w:rFonts w:cs="Arial"/>
                <w:color w:val="000000"/>
                <w:sz w:val="20"/>
                <w:szCs w:val="20"/>
                <w:lang w:eastAsia="es-CO"/>
              </w:rPr>
              <w:t>distribución</w:t>
            </w:r>
            <w:r w:rsidR="006F12FE" w:rsidRPr="00EB0C51">
              <w:rPr>
                <w:rFonts w:cs="Arial"/>
                <w:color w:val="000000"/>
                <w:sz w:val="20"/>
                <w:szCs w:val="20"/>
                <w:lang w:eastAsia="es-CO"/>
              </w:rPr>
              <w:t xml:space="preserve"> hace que su ejecución no dependa de la gestión propia del</w:t>
            </w:r>
            <w:r w:rsidR="00330839" w:rsidRPr="00EB0C51">
              <w:rPr>
                <w:rFonts w:cs="Arial"/>
                <w:color w:val="000000"/>
                <w:sz w:val="20"/>
                <w:szCs w:val="20"/>
                <w:lang w:eastAsia="es-CO"/>
              </w:rPr>
              <w:t xml:space="preserve"> MHCP</w:t>
            </w:r>
            <w:r w:rsidR="006F12FE" w:rsidRPr="00EB0C51">
              <w:rPr>
                <w:rFonts w:cs="Arial"/>
                <w:color w:val="000000"/>
                <w:sz w:val="20"/>
                <w:szCs w:val="20"/>
                <w:lang w:eastAsia="es-CO"/>
              </w:rPr>
              <w:t>, sino de la ejecución de las entidades del PGN a las cuales se distribuyen recursos para cubrir necesidades contingentes e imprevisibles,  previo concepto del DN</w:t>
            </w:r>
            <w:r w:rsidR="000D2CEB" w:rsidRPr="00EB0C51">
              <w:rPr>
                <w:rFonts w:cs="Arial"/>
                <w:color w:val="000000"/>
                <w:sz w:val="20"/>
                <w:szCs w:val="20"/>
                <w:lang w:eastAsia="es-CO"/>
              </w:rPr>
              <w:t>P</w:t>
            </w:r>
            <w:r w:rsidR="006F12FE" w:rsidRPr="00EB0C51">
              <w:rPr>
                <w:rFonts w:cs="Arial"/>
                <w:color w:val="000000"/>
                <w:sz w:val="20"/>
                <w:szCs w:val="20"/>
                <w:lang w:eastAsia="es-CO"/>
              </w:rPr>
              <w:t xml:space="preserve">. Adicionalmente el efecto presupuestal de las distribuciones </w:t>
            </w:r>
            <w:r w:rsidR="000147A7" w:rsidRPr="00EB0C51">
              <w:rPr>
                <w:rFonts w:cs="Arial"/>
                <w:color w:val="000000"/>
                <w:sz w:val="20"/>
                <w:szCs w:val="20"/>
                <w:lang w:eastAsia="es-CO"/>
              </w:rPr>
              <w:t>realizadas</w:t>
            </w:r>
            <w:r w:rsidR="006F12FE" w:rsidRPr="00EB0C51">
              <w:rPr>
                <w:rFonts w:cs="Arial"/>
                <w:color w:val="000000"/>
                <w:sz w:val="20"/>
                <w:szCs w:val="20"/>
                <w:lang w:eastAsia="es-CO"/>
              </w:rPr>
              <w:t xml:space="preserve"> es disminuir la apropiación vigente. Por dicha razón no se realizan ni compromisos ni obligaciones en este rubro.</w:t>
            </w:r>
          </w:p>
          <w:p w14:paraId="5D4ACF15" w14:textId="4E23D161"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 xml:space="preserve"> </w:t>
            </w:r>
            <w:r w:rsidRPr="00EB0C51">
              <w:rPr>
                <w:rFonts w:cs="Arial"/>
                <w:color w:val="000000"/>
                <w:sz w:val="20"/>
                <w:szCs w:val="20"/>
                <w:lang w:eastAsia="es-CO"/>
              </w:rPr>
              <w:br/>
              <w:t xml:space="preserve">Este proyecto tiene como propósito mejorar la capacidad financiera para la atención de eventos prioritarios, contingentes, fortuitos, futuros o indefinidos que requieren de la ejecución y/o adopción de estrategias de gobierno. </w:t>
            </w:r>
            <w:r w:rsidRPr="00EB0C51">
              <w:rPr>
                <w:rFonts w:cs="Arial"/>
                <w:color w:val="000000"/>
                <w:sz w:val="20"/>
                <w:szCs w:val="20"/>
                <w:lang w:eastAsia="es-CO"/>
              </w:rPr>
              <w:br/>
            </w:r>
            <w:r w:rsidRPr="00EB0C51">
              <w:rPr>
                <w:rFonts w:cs="Arial"/>
                <w:color w:val="000000"/>
                <w:sz w:val="20"/>
                <w:szCs w:val="20"/>
                <w:lang w:eastAsia="es-CO"/>
              </w:rPr>
              <w:br/>
              <w:t>Durante la vigencia 2021, se han distribuido recursos para atender compromisos derivados del Acuerdo Final para la terminación del conflicto de la Bolsa Paz, apoyar pactos territoriales y para mantener durante la presente vigencia fiscal el ritmo de asignación de subsidios familiares de vivienda en el programa de vivienda “</w:t>
            </w:r>
            <w:r w:rsidRPr="00EB0C51">
              <w:rPr>
                <w:rFonts w:cs="Arial"/>
                <w:i/>
                <w:iCs/>
                <w:color w:val="000000"/>
                <w:sz w:val="20"/>
                <w:szCs w:val="20"/>
                <w:lang w:eastAsia="es-CO"/>
              </w:rPr>
              <w:t>Mi Casa Ya</w:t>
            </w:r>
            <w:r w:rsidR="00BE4D7E" w:rsidRPr="00EB0C51">
              <w:rPr>
                <w:rFonts w:cs="Arial"/>
                <w:i/>
                <w:iCs/>
                <w:color w:val="000000"/>
                <w:sz w:val="20"/>
                <w:szCs w:val="20"/>
                <w:lang w:eastAsia="es-CO"/>
              </w:rPr>
              <w:t>”</w:t>
            </w:r>
            <w:r w:rsidRPr="00EB0C51">
              <w:rPr>
                <w:rFonts w:cs="Arial"/>
                <w:color w:val="000000"/>
                <w:sz w:val="20"/>
                <w:szCs w:val="20"/>
                <w:lang w:eastAsia="es-CO"/>
              </w:rPr>
              <w:t>, entre otros, por un valor de $1.433.711 millones con corte a julio 2021.</w:t>
            </w:r>
          </w:p>
        </w:tc>
      </w:tr>
      <w:tr w:rsidR="006F12FE" w:rsidRPr="00EB0C51" w14:paraId="6CA3C9B2" w14:textId="77777777" w:rsidTr="001F72EB">
        <w:trPr>
          <w:trHeight w:val="199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D6E9F3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34</w:t>
            </w:r>
          </w:p>
        </w:tc>
        <w:tc>
          <w:tcPr>
            <w:tcW w:w="2588" w:type="dxa"/>
            <w:tcBorders>
              <w:top w:val="nil"/>
              <w:left w:val="nil"/>
              <w:bottom w:val="single" w:sz="4" w:space="0" w:color="auto"/>
              <w:right w:val="single" w:sz="4" w:space="0" w:color="auto"/>
            </w:tcBorders>
            <w:shd w:val="clear" w:color="auto" w:fill="auto"/>
            <w:vAlign w:val="center"/>
            <w:hideMark/>
          </w:tcPr>
          <w:p w14:paraId="57DEB4C1"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Apoyo a Proyectos de Inversión a nivel  Nacional-[ Distribución previo concepto DNP]</w:t>
            </w:r>
          </w:p>
        </w:tc>
        <w:tc>
          <w:tcPr>
            <w:tcW w:w="2153" w:type="dxa"/>
            <w:vMerge/>
            <w:tcBorders>
              <w:top w:val="nil"/>
              <w:left w:val="single" w:sz="4" w:space="0" w:color="auto"/>
              <w:bottom w:val="single" w:sz="4" w:space="0" w:color="000000"/>
              <w:right w:val="single" w:sz="4" w:space="0" w:color="auto"/>
            </w:tcBorders>
            <w:vAlign w:val="center"/>
            <w:hideMark/>
          </w:tcPr>
          <w:p w14:paraId="15C93DA9" w14:textId="77777777" w:rsidR="006F12FE" w:rsidRPr="00EB0C51" w:rsidRDefault="006F12FE" w:rsidP="007F45AA">
            <w:pPr>
              <w:jc w:val="both"/>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644F454C"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350.000.000.000 </w:t>
            </w:r>
          </w:p>
        </w:tc>
        <w:tc>
          <w:tcPr>
            <w:tcW w:w="1452" w:type="dxa"/>
            <w:tcBorders>
              <w:top w:val="nil"/>
              <w:left w:val="nil"/>
              <w:bottom w:val="single" w:sz="4" w:space="0" w:color="auto"/>
              <w:right w:val="single" w:sz="4" w:space="0" w:color="auto"/>
            </w:tcBorders>
            <w:shd w:val="clear" w:color="auto" w:fill="auto"/>
            <w:noWrap/>
            <w:vAlign w:val="center"/>
            <w:hideMark/>
          </w:tcPr>
          <w:p w14:paraId="50226AB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36412B1"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412DFCF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1C4DB84B" w14:textId="77777777" w:rsidR="006F12FE" w:rsidRPr="00EB0C51" w:rsidRDefault="006F12FE" w:rsidP="002058A0">
            <w:pPr>
              <w:jc w:val="both"/>
              <w:rPr>
                <w:rFonts w:cs="Arial"/>
                <w:color w:val="000000"/>
                <w:sz w:val="20"/>
                <w:szCs w:val="20"/>
                <w:lang w:eastAsia="es-CO"/>
              </w:rPr>
            </w:pPr>
          </w:p>
        </w:tc>
      </w:tr>
      <w:tr w:rsidR="006F12FE" w:rsidRPr="00EB0C51" w14:paraId="72313E1C" w14:textId="77777777" w:rsidTr="001F72EB">
        <w:trPr>
          <w:trHeight w:val="183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27D913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35</w:t>
            </w:r>
          </w:p>
        </w:tc>
        <w:tc>
          <w:tcPr>
            <w:tcW w:w="2588" w:type="dxa"/>
            <w:tcBorders>
              <w:top w:val="nil"/>
              <w:left w:val="nil"/>
              <w:bottom w:val="single" w:sz="4" w:space="0" w:color="auto"/>
              <w:right w:val="single" w:sz="4" w:space="0" w:color="auto"/>
            </w:tcBorders>
            <w:shd w:val="clear" w:color="auto" w:fill="auto"/>
            <w:vAlign w:val="center"/>
            <w:hideMark/>
          </w:tcPr>
          <w:p w14:paraId="06381BC9" w14:textId="7DC2746C"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Apoyo a Proyectos de Inversión a Nivel  Nacional-[Distribución previo concepto DNP]</w:t>
            </w:r>
          </w:p>
        </w:tc>
        <w:tc>
          <w:tcPr>
            <w:tcW w:w="2153" w:type="dxa"/>
            <w:vMerge/>
            <w:tcBorders>
              <w:top w:val="nil"/>
              <w:left w:val="single" w:sz="4" w:space="0" w:color="auto"/>
              <w:bottom w:val="single" w:sz="4" w:space="0" w:color="000000"/>
              <w:right w:val="single" w:sz="4" w:space="0" w:color="auto"/>
            </w:tcBorders>
            <w:vAlign w:val="center"/>
            <w:hideMark/>
          </w:tcPr>
          <w:p w14:paraId="318EA1B9" w14:textId="77777777" w:rsidR="006F12FE" w:rsidRPr="00EB0C51" w:rsidRDefault="006F12FE" w:rsidP="007F45AA">
            <w:pPr>
              <w:jc w:val="both"/>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47DEF66C"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96.094.000.000</w:t>
            </w:r>
          </w:p>
        </w:tc>
        <w:tc>
          <w:tcPr>
            <w:tcW w:w="1452" w:type="dxa"/>
            <w:tcBorders>
              <w:top w:val="nil"/>
              <w:left w:val="nil"/>
              <w:bottom w:val="single" w:sz="4" w:space="0" w:color="auto"/>
              <w:right w:val="single" w:sz="4" w:space="0" w:color="auto"/>
            </w:tcBorders>
            <w:shd w:val="clear" w:color="auto" w:fill="auto"/>
            <w:noWrap/>
            <w:vAlign w:val="center"/>
            <w:hideMark/>
          </w:tcPr>
          <w:p w14:paraId="4FA05A43"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55B38BB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6402C67D"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5985844C" w14:textId="77777777" w:rsidR="006F12FE" w:rsidRPr="00EB0C51" w:rsidRDefault="006F12FE" w:rsidP="002058A0">
            <w:pPr>
              <w:jc w:val="both"/>
              <w:rPr>
                <w:rFonts w:cs="Arial"/>
                <w:color w:val="000000"/>
                <w:sz w:val="20"/>
                <w:szCs w:val="20"/>
                <w:lang w:eastAsia="es-CO"/>
              </w:rPr>
            </w:pPr>
          </w:p>
        </w:tc>
      </w:tr>
      <w:tr w:rsidR="006F12FE" w:rsidRPr="00EB0C51" w14:paraId="6DDA6B18" w14:textId="77777777" w:rsidTr="001F72EB">
        <w:trPr>
          <w:trHeight w:val="306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628A497"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36</w:t>
            </w:r>
          </w:p>
        </w:tc>
        <w:tc>
          <w:tcPr>
            <w:tcW w:w="2588" w:type="dxa"/>
            <w:tcBorders>
              <w:top w:val="nil"/>
              <w:left w:val="nil"/>
              <w:bottom w:val="single" w:sz="4" w:space="0" w:color="auto"/>
              <w:right w:val="single" w:sz="4" w:space="0" w:color="auto"/>
            </w:tcBorders>
            <w:shd w:val="clear" w:color="auto" w:fill="auto"/>
            <w:vAlign w:val="center"/>
            <w:hideMark/>
          </w:tcPr>
          <w:p w14:paraId="403F2EC4"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Desarrollo e Implementación de una Estrategia para Coberturas de los Precios del Petróleo para Colombia  Nacional</w:t>
            </w:r>
          </w:p>
        </w:tc>
        <w:tc>
          <w:tcPr>
            <w:tcW w:w="2153" w:type="dxa"/>
            <w:tcBorders>
              <w:top w:val="nil"/>
              <w:left w:val="nil"/>
              <w:bottom w:val="single" w:sz="4" w:space="0" w:color="auto"/>
              <w:right w:val="single" w:sz="4" w:space="0" w:color="auto"/>
            </w:tcBorders>
            <w:shd w:val="clear" w:color="auto" w:fill="auto"/>
            <w:vAlign w:val="center"/>
            <w:hideMark/>
          </w:tcPr>
          <w:p w14:paraId="52F1DCFC"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General de Crédito Público y Tesoro Nacional - DGCPTN</w:t>
            </w:r>
          </w:p>
        </w:tc>
        <w:tc>
          <w:tcPr>
            <w:tcW w:w="1847" w:type="dxa"/>
            <w:tcBorders>
              <w:top w:val="nil"/>
              <w:left w:val="nil"/>
              <w:bottom w:val="single" w:sz="4" w:space="0" w:color="auto"/>
              <w:right w:val="single" w:sz="4" w:space="0" w:color="auto"/>
            </w:tcBorders>
            <w:shd w:val="clear" w:color="auto" w:fill="auto"/>
            <w:noWrap/>
            <w:vAlign w:val="center"/>
            <w:hideMark/>
          </w:tcPr>
          <w:p w14:paraId="23B789D6"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700.400.000</w:t>
            </w:r>
          </w:p>
        </w:tc>
        <w:tc>
          <w:tcPr>
            <w:tcW w:w="1452" w:type="dxa"/>
            <w:tcBorders>
              <w:top w:val="nil"/>
              <w:left w:val="nil"/>
              <w:bottom w:val="single" w:sz="4" w:space="0" w:color="auto"/>
              <w:right w:val="single" w:sz="4" w:space="0" w:color="auto"/>
            </w:tcBorders>
            <w:shd w:val="clear" w:color="auto" w:fill="auto"/>
            <w:noWrap/>
            <w:vAlign w:val="center"/>
            <w:hideMark/>
          </w:tcPr>
          <w:p w14:paraId="532FABDC"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26%</w:t>
            </w:r>
          </w:p>
        </w:tc>
        <w:tc>
          <w:tcPr>
            <w:tcW w:w="1086" w:type="dxa"/>
            <w:tcBorders>
              <w:top w:val="nil"/>
              <w:left w:val="nil"/>
              <w:bottom w:val="single" w:sz="4" w:space="0" w:color="auto"/>
              <w:right w:val="single" w:sz="4" w:space="0" w:color="auto"/>
            </w:tcBorders>
            <w:shd w:val="clear" w:color="auto" w:fill="auto"/>
            <w:noWrap/>
            <w:vAlign w:val="center"/>
            <w:hideMark/>
          </w:tcPr>
          <w:p w14:paraId="66E0FDF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tc>
        <w:tc>
          <w:tcPr>
            <w:tcW w:w="608" w:type="dxa"/>
            <w:tcBorders>
              <w:top w:val="nil"/>
              <w:left w:val="nil"/>
              <w:bottom w:val="single" w:sz="4" w:space="0" w:color="auto"/>
              <w:right w:val="single" w:sz="4" w:space="0" w:color="auto"/>
            </w:tcBorders>
            <w:shd w:val="clear" w:color="auto" w:fill="auto"/>
            <w:noWrap/>
            <w:vAlign w:val="center"/>
            <w:hideMark/>
          </w:tcPr>
          <w:p w14:paraId="607B23C0"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6%</w:t>
            </w:r>
          </w:p>
        </w:tc>
        <w:tc>
          <w:tcPr>
            <w:tcW w:w="5328" w:type="dxa"/>
            <w:tcBorders>
              <w:top w:val="nil"/>
              <w:left w:val="nil"/>
              <w:bottom w:val="single" w:sz="4" w:space="0" w:color="auto"/>
              <w:right w:val="single" w:sz="4" w:space="0" w:color="auto"/>
            </w:tcBorders>
            <w:shd w:val="clear" w:color="auto" w:fill="auto"/>
            <w:vAlign w:val="center"/>
            <w:hideMark/>
          </w:tcPr>
          <w:p w14:paraId="6F1759BC" w14:textId="03BA0090" w:rsidR="006F12FE" w:rsidRPr="00EB0C51" w:rsidRDefault="00507264" w:rsidP="002058A0">
            <w:pPr>
              <w:jc w:val="both"/>
              <w:rPr>
                <w:rFonts w:cs="Arial"/>
                <w:color w:val="000000"/>
                <w:sz w:val="20"/>
                <w:szCs w:val="20"/>
                <w:lang w:eastAsia="es-CO"/>
              </w:rPr>
            </w:pPr>
            <w:r w:rsidRPr="00EB0C51">
              <w:rPr>
                <w:rFonts w:cs="Arial"/>
                <w:color w:val="000000"/>
                <w:sz w:val="20"/>
                <w:szCs w:val="20"/>
                <w:lang w:eastAsia="es-CO"/>
              </w:rPr>
              <w:t>Según lo manifestado por el responsable, e</w:t>
            </w:r>
            <w:r w:rsidR="006F12FE" w:rsidRPr="00EB0C51">
              <w:rPr>
                <w:rFonts w:cs="Arial"/>
                <w:color w:val="000000"/>
                <w:sz w:val="20"/>
                <w:szCs w:val="20"/>
                <w:lang w:eastAsia="es-CO"/>
              </w:rPr>
              <w:t>n el marco del desarrollo del programa de coberturas, se han firmado tres</w:t>
            </w:r>
            <w:r w:rsidR="0035173C" w:rsidRPr="00EB0C51">
              <w:rPr>
                <w:rFonts w:cs="Arial"/>
                <w:color w:val="000000"/>
                <w:sz w:val="20"/>
                <w:szCs w:val="20"/>
                <w:lang w:eastAsia="es-CO"/>
              </w:rPr>
              <w:t xml:space="preserve"> (3) </w:t>
            </w:r>
            <w:r w:rsidR="006F12FE" w:rsidRPr="00EB0C51">
              <w:rPr>
                <w:rFonts w:cs="Arial"/>
                <w:color w:val="000000"/>
                <w:sz w:val="20"/>
                <w:szCs w:val="20"/>
                <w:lang w:eastAsia="es-CO"/>
              </w:rPr>
              <w:t>contratos con personas naturales por un total de $183,243,333</w:t>
            </w:r>
            <w:r w:rsidR="0035173C" w:rsidRPr="00EB0C51">
              <w:rPr>
                <w:rFonts w:cs="Arial"/>
                <w:color w:val="000000"/>
                <w:sz w:val="20"/>
                <w:szCs w:val="20"/>
                <w:lang w:eastAsia="es-CO"/>
              </w:rPr>
              <w:t>,</w:t>
            </w:r>
            <w:r w:rsidR="006F12FE" w:rsidRPr="00EB0C51">
              <w:rPr>
                <w:rFonts w:cs="Arial"/>
                <w:color w:val="000000"/>
                <w:sz w:val="20"/>
                <w:szCs w:val="20"/>
                <w:lang w:eastAsia="es-CO"/>
              </w:rPr>
              <w:t xml:space="preserve"> con el fin de estructurar lineamientos y documentos técnicos de soporte para la ejecución de las coberturas, elaborar manuales de procesos y procedimientos internos para la implementación de la Estrategia </w:t>
            </w:r>
            <w:r w:rsidR="0035173C" w:rsidRPr="00EB0C51">
              <w:rPr>
                <w:rFonts w:cs="Arial"/>
                <w:color w:val="000000"/>
                <w:sz w:val="20"/>
                <w:szCs w:val="20"/>
                <w:lang w:eastAsia="es-CO"/>
              </w:rPr>
              <w:t>N</w:t>
            </w:r>
            <w:r w:rsidR="006F12FE" w:rsidRPr="00EB0C51">
              <w:rPr>
                <w:rFonts w:cs="Arial"/>
                <w:color w:val="000000"/>
                <w:sz w:val="20"/>
                <w:szCs w:val="20"/>
                <w:lang w:eastAsia="es-CO"/>
              </w:rPr>
              <w:t xml:space="preserve">acional de </w:t>
            </w:r>
            <w:r w:rsidR="0035173C" w:rsidRPr="00EB0C51">
              <w:rPr>
                <w:rFonts w:cs="Arial"/>
                <w:color w:val="000000"/>
                <w:sz w:val="20"/>
                <w:szCs w:val="20"/>
                <w:lang w:eastAsia="es-CO"/>
              </w:rPr>
              <w:t>C</w:t>
            </w:r>
            <w:r w:rsidR="006F12FE" w:rsidRPr="00EB0C51">
              <w:rPr>
                <w:rFonts w:cs="Arial"/>
                <w:color w:val="000000"/>
                <w:sz w:val="20"/>
                <w:szCs w:val="20"/>
                <w:lang w:eastAsia="es-CO"/>
              </w:rPr>
              <w:t xml:space="preserve">oberturas de </w:t>
            </w:r>
            <w:r w:rsidR="0035173C" w:rsidRPr="00EB0C51">
              <w:rPr>
                <w:rFonts w:cs="Arial"/>
                <w:color w:val="000000"/>
                <w:sz w:val="20"/>
                <w:szCs w:val="20"/>
                <w:lang w:eastAsia="es-CO"/>
              </w:rPr>
              <w:t>P</w:t>
            </w:r>
            <w:r w:rsidR="006F12FE" w:rsidRPr="00EB0C51">
              <w:rPr>
                <w:rFonts w:cs="Arial"/>
                <w:color w:val="000000"/>
                <w:sz w:val="20"/>
                <w:szCs w:val="20"/>
                <w:lang w:eastAsia="es-CO"/>
              </w:rPr>
              <w:t>etróleo y apoyar la calibración y seguimiento al modelo cuantitativo de proyección de la función de ingresos de la Nación del FEPC y del Sistema General de Regalías, por la actividad petrolera. Se está avanzando en la contratación de un consultor externo por alrededor de $300,000,000 para diseñar y calibrar el modelo cuantitativo de proyección de la función de ingresos de la Nación, además de realizar políticas y manuales de valoración de opciones financieras. Finalmente, se está a la espera de la indicación del Comité de Pasivos y Coberturas  para iniciar otro proceso para la contratación de servicios tecnológicos por cerca de $200,000,000.</w:t>
            </w:r>
          </w:p>
        </w:tc>
      </w:tr>
      <w:tr w:rsidR="006F12FE" w:rsidRPr="00EB0C51" w14:paraId="23A30AFA" w14:textId="77777777" w:rsidTr="00296421">
        <w:trPr>
          <w:trHeight w:val="2914"/>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F4B63D6"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37</w:t>
            </w:r>
          </w:p>
        </w:tc>
        <w:tc>
          <w:tcPr>
            <w:tcW w:w="2588" w:type="dxa"/>
            <w:tcBorders>
              <w:top w:val="nil"/>
              <w:left w:val="nil"/>
              <w:bottom w:val="single" w:sz="4" w:space="0" w:color="auto"/>
              <w:right w:val="single" w:sz="4" w:space="0" w:color="auto"/>
            </w:tcBorders>
            <w:shd w:val="clear" w:color="auto" w:fill="auto"/>
            <w:vAlign w:val="center"/>
            <w:hideMark/>
          </w:tcPr>
          <w:p w14:paraId="3A420D24"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Fortalecimiento de las Competencias Técnicas de los Funcionarios del MHCP  Nacional</w:t>
            </w:r>
          </w:p>
        </w:tc>
        <w:tc>
          <w:tcPr>
            <w:tcW w:w="2153" w:type="dxa"/>
            <w:tcBorders>
              <w:top w:val="nil"/>
              <w:left w:val="nil"/>
              <w:bottom w:val="single" w:sz="4" w:space="0" w:color="auto"/>
              <w:right w:val="single" w:sz="4" w:space="0" w:color="auto"/>
            </w:tcBorders>
            <w:shd w:val="clear" w:color="auto" w:fill="auto"/>
            <w:vAlign w:val="center"/>
            <w:hideMark/>
          </w:tcPr>
          <w:p w14:paraId="12FEF66C"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Administrativa</w:t>
            </w:r>
          </w:p>
        </w:tc>
        <w:tc>
          <w:tcPr>
            <w:tcW w:w="1847" w:type="dxa"/>
            <w:tcBorders>
              <w:top w:val="nil"/>
              <w:left w:val="nil"/>
              <w:bottom w:val="single" w:sz="4" w:space="0" w:color="auto"/>
              <w:right w:val="single" w:sz="4" w:space="0" w:color="auto"/>
            </w:tcBorders>
            <w:shd w:val="clear" w:color="auto" w:fill="auto"/>
            <w:noWrap/>
            <w:vAlign w:val="center"/>
            <w:hideMark/>
          </w:tcPr>
          <w:p w14:paraId="5A4046A1"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1.410.293.318</w:t>
            </w:r>
          </w:p>
        </w:tc>
        <w:tc>
          <w:tcPr>
            <w:tcW w:w="1452" w:type="dxa"/>
            <w:tcBorders>
              <w:top w:val="nil"/>
              <w:left w:val="nil"/>
              <w:bottom w:val="single" w:sz="4" w:space="0" w:color="auto"/>
              <w:right w:val="single" w:sz="4" w:space="0" w:color="auto"/>
            </w:tcBorders>
            <w:shd w:val="clear" w:color="auto" w:fill="auto"/>
            <w:noWrap/>
            <w:vAlign w:val="center"/>
            <w:hideMark/>
          </w:tcPr>
          <w:p w14:paraId="6EE26D9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7F92672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608" w:type="dxa"/>
            <w:tcBorders>
              <w:top w:val="nil"/>
              <w:left w:val="nil"/>
              <w:bottom w:val="single" w:sz="4" w:space="0" w:color="auto"/>
              <w:right w:val="single" w:sz="4" w:space="0" w:color="auto"/>
            </w:tcBorders>
            <w:shd w:val="clear" w:color="auto" w:fill="auto"/>
            <w:noWrap/>
            <w:vAlign w:val="center"/>
            <w:hideMark/>
          </w:tcPr>
          <w:p w14:paraId="2E8B6F2D"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9%</w:t>
            </w:r>
          </w:p>
        </w:tc>
        <w:tc>
          <w:tcPr>
            <w:tcW w:w="5328" w:type="dxa"/>
            <w:tcBorders>
              <w:top w:val="nil"/>
              <w:left w:val="nil"/>
              <w:bottom w:val="single" w:sz="4" w:space="0" w:color="auto"/>
              <w:right w:val="single" w:sz="4" w:space="0" w:color="auto"/>
            </w:tcBorders>
            <w:shd w:val="clear" w:color="auto" w:fill="auto"/>
            <w:vAlign w:val="center"/>
            <w:hideMark/>
          </w:tcPr>
          <w:p w14:paraId="30E556EE" w14:textId="77777777" w:rsidR="00BE56CD" w:rsidRPr="00EB0C51" w:rsidRDefault="00BE56CD" w:rsidP="002058A0">
            <w:pPr>
              <w:jc w:val="both"/>
              <w:rPr>
                <w:rFonts w:cs="Arial"/>
                <w:color w:val="000000"/>
                <w:sz w:val="20"/>
                <w:szCs w:val="20"/>
                <w:lang w:eastAsia="es-CO"/>
              </w:rPr>
            </w:pPr>
          </w:p>
          <w:p w14:paraId="06CFC804" w14:textId="77777777" w:rsidR="00BE56CD" w:rsidRPr="00EB0C51" w:rsidRDefault="00BE56CD" w:rsidP="002058A0">
            <w:pPr>
              <w:jc w:val="both"/>
              <w:rPr>
                <w:rFonts w:cs="Arial"/>
                <w:color w:val="000000"/>
                <w:sz w:val="20"/>
                <w:szCs w:val="20"/>
                <w:lang w:eastAsia="es-CO"/>
              </w:rPr>
            </w:pPr>
          </w:p>
          <w:p w14:paraId="54A6064A" w14:textId="10CAC0A8" w:rsidR="00BE56CD" w:rsidRPr="00EB0C51" w:rsidRDefault="008B31B4" w:rsidP="002058A0">
            <w:pPr>
              <w:jc w:val="both"/>
              <w:rPr>
                <w:rFonts w:cs="Arial"/>
                <w:color w:val="000000"/>
                <w:sz w:val="20"/>
                <w:szCs w:val="20"/>
                <w:lang w:eastAsia="es-CO"/>
              </w:rPr>
            </w:pPr>
            <w:r w:rsidRPr="00EB0C51">
              <w:rPr>
                <w:rFonts w:cs="Arial"/>
                <w:color w:val="000000"/>
                <w:sz w:val="20"/>
                <w:szCs w:val="20"/>
                <w:lang w:eastAsia="es-CO"/>
              </w:rPr>
              <w:t>Conforme lo reportado por el responsable, d</w:t>
            </w:r>
            <w:r w:rsidR="006F12FE" w:rsidRPr="00EB0C51">
              <w:rPr>
                <w:rFonts w:cs="Arial"/>
                <w:color w:val="000000"/>
                <w:sz w:val="20"/>
                <w:szCs w:val="20"/>
                <w:lang w:eastAsia="es-CO"/>
              </w:rPr>
              <w:t>urante el primer semestre del 2021, se adelantaron las actividades requeridas en los Convenios suscritos con el ICETEX, de tal manera, que dentro del programa de Bilingüismo (Formación en el idioma Inglés) se han beneficiado</w:t>
            </w:r>
            <w:r w:rsidR="00C219F0" w:rsidRPr="00EB0C51">
              <w:rPr>
                <w:rFonts w:cs="Arial"/>
                <w:color w:val="000000"/>
                <w:sz w:val="20"/>
                <w:szCs w:val="20"/>
                <w:lang w:eastAsia="es-CO"/>
              </w:rPr>
              <w:t xml:space="preserve"> cuarenta y siete (</w:t>
            </w:r>
            <w:r w:rsidR="006F12FE" w:rsidRPr="00EB0C51">
              <w:rPr>
                <w:rFonts w:cs="Arial"/>
                <w:color w:val="000000"/>
                <w:sz w:val="20"/>
                <w:szCs w:val="20"/>
                <w:lang w:eastAsia="es-CO"/>
              </w:rPr>
              <w:t>47</w:t>
            </w:r>
            <w:r w:rsidR="00C219F0" w:rsidRPr="00EB0C51">
              <w:rPr>
                <w:rFonts w:cs="Arial"/>
                <w:color w:val="000000"/>
                <w:sz w:val="20"/>
                <w:szCs w:val="20"/>
                <w:lang w:eastAsia="es-CO"/>
              </w:rPr>
              <w:t>)</w:t>
            </w:r>
            <w:r w:rsidR="006F12FE" w:rsidRPr="00EB0C51">
              <w:rPr>
                <w:rFonts w:cs="Arial"/>
                <w:color w:val="000000"/>
                <w:sz w:val="20"/>
                <w:szCs w:val="20"/>
                <w:lang w:eastAsia="es-CO"/>
              </w:rPr>
              <w:t xml:space="preserve"> servidores públicos</w:t>
            </w:r>
            <w:r w:rsidR="000D3267" w:rsidRPr="00EB0C51">
              <w:rPr>
                <w:rFonts w:cs="Arial"/>
                <w:color w:val="000000"/>
                <w:sz w:val="20"/>
                <w:szCs w:val="20"/>
                <w:lang w:eastAsia="es-CO"/>
              </w:rPr>
              <w:t xml:space="preserve">, frente al </w:t>
            </w:r>
            <w:r w:rsidR="006F12FE" w:rsidRPr="00EB0C51">
              <w:rPr>
                <w:rFonts w:cs="Arial"/>
                <w:color w:val="000000"/>
                <w:sz w:val="20"/>
                <w:szCs w:val="20"/>
                <w:lang w:eastAsia="es-CO"/>
              </w:rPr>
              <w:t xml:space="preserve"> programa de  estudios al exterior del país, en </w:t>
            </w:r>
            <w:r w:rsidR="00433D0A" w:rsidRPr="00EB0C51">
              <w:rPr>
                <w:rFonts w:cs="Arial"/>
                <w:color w:val="000000"/>
                <w:sz w:val="20"/>
                <w:szCs w:val="20"/>
                <w:lang w:eastAsia="es-CO"/>
              </w:rPr>
              <w:t xml:space="preserve">el </w:t>
            </w:r>
            <w:r w:rsidR="006F12FE" w:rsidRPr="00EB0C51">
              <w:rPr>
                <w:rFonts w:cs="Arial"/>
                <w:color w:val="000000"/>
                <w:sz w:val="20"/>
                <w:szCs w:val="20"/>
                <w:lang w:eastAsia="es-CO"/>
              </w:rPr>
              <w:t xml:space="preserve">periodo </w:t>
            </w:r>
            <w:r w:rsidR="00433D0A" w:rsidRPr="00EB0C51">
              <w:rPr>
                <w:rFonts w:cs="Arial"/>
                <w:color w:val="000000"/>
                <w:sz w:val="20"/>
                <w:szCs w:val="20"/>
                <w:lang w:eastAsia="es-CO"/>
              </w:rPr>
              <w:t xml:space="preserve">evaluado </w:t>
            </w:r>
            <w:r w:rsidR="006F12FE" w:rsidRPr="00EB0C51">
              <w:rPr>
                <w:rFonts w:cs="Arial"/>
                <w:color w:val="000000"/>
                <w:sz w:val="20"/>
                <w:szCs w:val="20"/>
                <w:lang w:eastAsia="es-CO"/>
              </w:rPr>
              <w:t>se realizó la convocatoria y postulaciones.</w:t>
            </w:r>
            <w:r w:rsidR="000604CE" w:rsidRPr="00EB0C51">
              <w:rPr>
                <w:rFonts w:cs="Arial"/>
                <w:color w:val="000000"/>
                <w:sz w:val="20"/>
                <w:szCs w:val="20"/>
                <w:lang w:eastAsia="es-CO"/>
              </w:rPr>
              <w:t xml:space="preserve"> L</w:t>
            </w:r>
            <w:r w:rsidR="006F12FE" w:rsidRPr="00EB0C51">
              <w:rPr>
                <w:rFonts w:cs="Arial"/>
                <w:color w:val="000000"/>
                <w:sz w:val="20"/>
                <w:szCs w:val="20"/>
                <w:lang w:eastAsia="es-CO"/>
              </w:rPr>
              <w:t>a ejecución del 9% refleja el pago de</w:t>
            </w:r>
            <w:r w:rsidR="00A156AF" w:rsidRPr="00EB0C51">
              <w:rPr>
                <w:rFonts w:cs="Arial"/>
                <w:color w:val="000000"/>
                <w:sz w:val="20"/>
                <w:szCs w:val="20"/>
                <w:lang w:eastAsia="es-CO"/>
              </w:rPr>
              <w:t>l programa de</w:t>
            </w:r>
            <w:r w:rsidR="006F12FE" w:rsidRPr="00EB0C51">
              <w:rPr>
                <w:rFonts w:cs="Arial"/>
                <w:color w:val="000000"/>
                <w:sz w:val="20"/>
                <w:szCs w:val="20"/>
                <w:lang w:eastAsia="es-CO"/>
              </w:rPr>
              <w:t xml:space="preserve"> bilingüismo, </w:t>
            </w:r>
            <w:r w:rsidR="004273BF" w:rsidRPr="00EB0C51">
              <w:rPr>
                <w:rFonts w:cs="Arial"/>
                <w:color w:val="000000"/>
                <w:sz w:val="20"/>
                <w:szCs w:val="20"/>
                <w:lang w:eastAsia="es-CO"/>
              </w:rPr>
              <w:t xml:space="preserve">las demás </w:t>
            </w:r>
            <w:r w:rsidR="007636F5" w:rsidRPr="00EB0C51">
              <w:rPr>
                <w:rFonts w:cs="Arial"/>
                <w:color w:val="000000"/>
                <w:sz w:val="20"/>
                <w:szCs w:val="20"/>
                <w:lang w:eastAsia="es-CO"/>
              </w:rPr>
              <w:t xml:space="preserve">obligaciones </w:t>
            </w:r>
            <w:r w:rsidR="00D4421A" w:rsidRPr="00EB0C51">
              <w:rPr>
                <w:rFonts w:cs="Arial"/>
                <w:color w:val="000000"/>
                <w:sz w:val="20"/>
                <w:szCs w:val="20"/>
                <w:lang w:eastAsia="es-CO"/>
              </w:rPr>
              <w:t>s</w:t>
            </w:r>
            <w:r w:rsidR="007636F5" w:rsidRPr="00EB0C51">
              <w:rPr>
                <w:rFonts w:cs="Arial"/>
                <w:color w:val="000000"/>
                <w:sz w:val="20"/>
                <w:szCs w:val="20"/>
                <w:lang w:eastAsia="es-CO"/>
              </w:rPr>
              <w:t>e pagarán</w:t>
            </w:r>
            <w:r w:rsidR="006F12FE" w:rsidRPr="00EB0C51">
              <w:rPr>
                <w:rFonts w:cs="Arial"/>
                <w:color w:val="000000"/>
                <w:sz w:val="20"/>
                <w:szCs w:val="20"/>
                <w:lang w:eastAsia="es-CO"/>
              </w:rPr>
              <w:t xml:space="preserve"> </w:t>
            </w:r>
            <w:r w:rsidR="007636F5" w:rsidRPr="00EB0C51">
              <w:rPr>
                <w:rFonts w:cs="Arial"/>
                <w:color w:val="000000"/>
                <w:sz w:val="20"/>
                <w:szCs w:val="20"/>
                <w:lang w:eastAsia="es-CO"/>
              </w:rPr>
              <w:t>en el segundo semestre de 2021.</w:t>
            </w:r>
            <w:r w:rsidR="006F12FE" w:rsidRPr="00EB0C51">
              <w:rPr>
                <w:rFonts w:cs="Arial"/>
                <w:color w:val="000000"/>
                <w:sz w:val="20"/>
                <w:szCs w:val="20"/>
                <w:lang w:eastAsia="es-CO"/>
              </w:rPr>
              <w:t xml:space="preserve"> </w:t>
            </w:r>
          </w:p>
          <w:p w14:paraId="0223B46E" w14:textId="7FE0671B" w:rsidR="00784562" w:rsidRPr="00EB0C51" w:rsidRDefault="00784562" w:rsidP="002058A0">
            <w:pPr>
              <w:jc w:val="both"/>
              <w:rPr>
                <w:rFonts w:cs="Arial"/>
                <w:color w:val="000000"/>
                <w:sz w:val="20"/>
                <w:szCs w:val="20"/>
                <w:lang w:eastAsia="es-CO"/>
              </w:rPr>
            </w:pPr>
          </w:p>
          <w:p w14:paraId="5EE080D3" w14:textId="77777777" w:rsidR="00784562" w:rsidRPr="00EB0C51" w:rsidRDefault="00784562" w:rsidP="002058A0">
            <w:pPr>
              <w:jc w:val="both"/>
              <w:rPr>
                <w:rFonts w:cs="Arial"/>
                <w:color w:val="000000"/>
                <w:sz w:val="20"/>
                <w:szCs w:val="20"/>
                <w:lang w:eastAsia="es-CO"/>
              </w:rPr>
            </w:pPr>
          </w:p>
          <w:p w14:paraId="3634D383" w14:textId="7280DCDD" w:rsidR="00BE56CD" w:rsidRPr="00EB0C51" w:rsidRDefault="00BE56CD" w:rsidP="002058A0">
            <w:pPr>
              <w:jc w:val="both"/>
              <w:rPr>
                <w:rFonts w:cs="Arial"/>
                <w:color w:val="000000"/>
                <w:sz w:val="20"/>
                <w:szCs w:val="20"/>
                <w:lang w:eastAsia="es-CO"/>
              </w:rPr>
            </w:pPr>
          </w:p>
        </w:tc>
      </w:tr>
      <w:tr w:rsidR="006F12FE" w:rsidRPr="00EB0C51" w14:paraId="4E82F61A" w14:textId="77777777" w:rsidTr="001F72EB">
        <w:trPr>
          <w:trHeight w:val="6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0E8F01D"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lastRenderedPageBreak/>
              <w:t>38</w:t>
            </w:r>
          </w:p>
        </w:tc>
        <w:tc>
          <w:tcPr>
            <w:tcW w:w="2588" w:type="dxa"/>
            <w:tcBorders>
              <w:top w:val="nil"/>
              <w:left w:val="nil"/>
              <w:bottom w:val="single" w:sz="4" w:space="0" w:color="auto"/>
              <w:right w:val="single" w:sz="4" w:space="0" w:color="auto"/>
            </w:tcBorders>
            <w:shd w:val="clear" w:color="auto" w:fill="auto"/>
            <w:vAlign w:val="center"/>
            <w:hideMark/>
          </w:tcPr>
          <w:p w14:paraId="43505377" w14:textId="77777777" w:rsidR="006F12FE" w:rsidRPr="00EB0C51" w:rsidRDefault="006F12FE" w:rsidP="002058A0">
            <w:pPr>
              <w:jc w:val="both"/>
              <w:rPr>
                <w:rFonts w:cs="Arial"/>
                <w:color w:val="000000"/>
                <w:sz w:val="20"/>
                <w:szCs w:val="20"/>
                <w:lang w:eastAsia="es-CO"/>
              </w:rPr>
            </w:pPr>
            <w:r w:rsidRPr="00EB0C51">
              <w:rPr>
                <w:rFonts w:cs="Arial"/>
                <w:color w:val="000000"/>
                <w:sz w:val="20"/>
                <w:szCs w:val="20"/>
                <w:lang w:eastAsia="es-CO"/>
              </w:rPr>
              <w:t>Mejoramiento y Reforzamiento Sedes del Ministerio de Hacienda y Crédito Público  Bogotá</w:t>
            </w:r>
          </w:p>
        </w:tc>
        <w:tc>
          <w:tcPr>
            <w:tcW w:w="2153" w:type="dxa"/>
            <w:tcBorders>
              <w:top w:val="nil"/>
              <w:left w:val="nil"/>
              <w:bottom w:val="single" w:sz="4" w:space="0" w:color="auto"/>
              <w:right w:val="single" w:sz="4" w:space="0" w:color="auto"/>
            </w:tcBorders>
            <w:shd w:val="clear" w:color="auto" w:fill="auto"/>
            <w:vAlign w:val="center"/>
            <w:hideMark/>
          </w:tcPr>
          <w:p w14:paraId="7B9EC848" w14:textId="77777777" w:rsidR="006F12FE" w:rsidRPr="00EB0C51" w:rsidRDefault="006F12FE" w:rsidP="007F45AA">
            <w:pPr>
              <w:jc w:val="both"/>
              <w:rPr>
                <w:rFonts w:cs="Arial"/>
                <w:color w:val="000000"/>
                <w:sz w:val="20"/>
                <w:szCs w:val="20"/>
                <w:lang w:eastAsia="es-CO"/>
              </w:rPr>
            </w:pPr>
            <w:r w:rsidRPr="00EB0C51">
              <w:rPr>
                <w:rFonts w:cs="Arial"/>
                <w:color w:val="000000"/>
                <w:sz w:val="20"/>
                <w:szCs w:val="20"/>
                <w:lang w:eastAsia="es-CO"/>
              </w:rPr>
              <w:t>Dirección Administrativa</w:t>
            </w:r>
          </w:p>
        </w:tc>
        <w:tc>
          <w:tcPr>
            <w:tcW w:w="1847" w:type="dxa"/>
            <w:tcBorders>
              <w:top w:val="nil"/>
              <w:left w:val="nil"/>
              <w:bottom w:val="single" w:sz="4" w:space="0" w:color="auto"/>
              <w:right w:val="single" w:sz="4" w:space="0" w:color="auto"/>
            </w:tcBorders>
            <w:shd w:val="clear" w:color="auto" w:fill="auto"/>
            <w:noWrap/>
            <w:vAlign w:val="center"/>
            <w:hideMark/>
          </w:tcPr>
          <w:p w14:paraId="15765A03" w14:textId="77777777" w:rsidR="006F12FE" w:rsidRPr="00EB0C51" w:rsidRDefault="006F12FE" w:rsidP="002058A0">
            <w:pPr>
              <w:rPr>
                <w:rFonts w:cs="Arial"/>
                <w:color w:val="000000"/>
                <w:sz w:val="20"/>
                <w:szCs w:val="20"/>
                <w:lang w:eastAsia="es-CO"/>
              </w:rPr>
            </w:pPr>
            <w:r w:rsidRPr="00EB0C51">
              <w:rPr>
                <w:rFonts w:cs="Arial"/>
                <w:color w:val="000000"/>
                <w:sz w:val="20"/>
                <w:szCs w:val="20"/>
                <w:lang w:eastAsia="es-CO"/>
              </w:rPr>
              <w:t xml:space="preserve">7.000.256.448 </w:t>
            </w:r>
          </w:p>
        </w:tc>
        <w:tc>
          <w:tcPr>
            <w:tcW w:w="1452" w:type="dxa"/>
            <w:tcBorders>
              <w:top w:val="nil"/>
              <w:left w:val="nil"/>
              <w:bottom w:val="single" w:sz="4" w:space="0" w:color="auto"/>
              <w:right w:val="single" w:sz="4" w:space="0" w:color="auto"/>
            </w:tcBorders>
            <w:shd w:val="clear" w:color="auto" w:fill="auto"/>
            <w:noWrap/>
            <w:vAlign w:val="center"/>
            <w:hideMark/>
          </w:tcPr>
          <w:p w14:paraId="7867CF45"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1086" w:type="dxa"/>
            <w:tcBorders>
              <w:top w:val="nil"/>
              <w:left w:val="nil"/>
              <w:bottom w:val="single" w:sz="4" w:space="0" w:color="auto"/>
              <w:right w:val="single" w:sz="4" w:space="0" w:color="auto"/>
            </w:tcBorders>
            <w:shd w:val="clear" w:color="auto" w:fill="auto"/>
            <w:noWrap/>
            <w:vAlign w:val="center"/>
            <w:hideMark/>
          </w:tcPr>
          <w:p w14:paraId="41879462"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0954596F" w14:textId="77777777" w:rsidR="006F12FE" w:rsidRPr="00EB0C51" w:rsidRDefault="006F12FE" w:rsidP="002058A0">
            <w:pPr>
              <w:jc w:val="center"/>
              <w:rPr>
                <w:rFonts w:cs="Arial"/>
                <w:color w:val="000000"/>
                <w:sz w:val="20"/>
                <w:szCs w:val="20"/>
                <w:lang w:eastAsia="es-CO"/>
              </w:rPr>
            </w:pPr>
            <w:r w:rsidRPr="00EB0C51">
              <w:rPr>
                <w:rFonts w:cs="Arial"/>
                <w:color w:val="000000"/>
                <w:sz w:val="20"/>
                <w:szCs w:val="20"/>
                <w:lang w:eastAsia="es-CO"/>
              </w:rPr>
              <w:t>0%</w:t>
            </w:r>
          </w:p>
        </w:tc>
        <w:tc>
          <w:tcPr>
            <w:tcW w:w="5328" w:type="dxa"/>
            <w:tcBorders>
              <w:top w:val="nil"/>
              <w:left w:val="nil"/>
              <w:bottom w:val="single" w:sz="4" w:space="0" w:color="auto"/>
              <w:right w:val="single" w:sz="4" w:space="0" w:color="auto"/>
            </w:tcBorders>
            <w:shd w:val="clear" w:color="auto" w:fill="auto"/>
            <w:vAlign w:val="center"/>
            <w:hideMark/>
          </w:tcPr>
          <w:p w14:paraId="03F7A509" w14:textId="662E3BDB" w:rsidR="006F12FE" w:rsidRPr="00EB0C51" w:rsidRDefault="00991C7C" w:rsidP="002058A0">
            <w:pPr>
              <w:jc w:val="both"/>
              <w:rPr>
                <w:rFonts w:cs="Arial"/>
                <w:color w:val="000000"/>
                <w:sz w:val="20"/>
                <w:szCs w:val="20"/>
                <w:lang w:eastAsia="es-CO"/>
              </w:rPr>
            </w:pPr>
            <w:r w:rsidRPr="00EB0C51">
              <w:rPr>
                <w:rFonts w:cs="Arial"/>
                <w:color w:val="000000"/>
                <w:sz w:val="20"/>
                <w:szCs w:val="20"/>
                <w:lang w:eastAsia="es-CO"/>
              </w:rPr>
              <w:t>Según lo manifestado por el responsable, l</w:t>
            </w:r>
            <w:r w:rsidR="006F12FE" w:rsidRPr="00EB0C51">
              <w:rPr>
                <w:rFonts w:cs="Arial"/>
                <w:color w:val="000000"/>
                <w:sz w:val="20"/>
                <w:szCs w:val="20"/>
                <w:lang w:eastAsia="es-CO"/>
              </w:rPr>
              <w:t>a ejecución de la apropiación presupuestal a junio de 2021 ha sido cero (0) teniendo en cuenta que a esa fecha el MHCP se encontraba efectuando toda la etapa precontractual</w:t>
            </w:r>
            <w:r w:rsidR="00F612B6" w:rsidRPr="00EB0C51">
              <w:rPr>
                <w:rFonts w:cs="Arial"/>
                <w:color w:val="000000"/>
                <w:sz w:val="20"/>
                <w:szCs w:val="20"/>
                <w:lang w:eastAsia="es-CO"/>
              </w:rPr>
              <w:t>.</w:t>
            </w:r>
            <w:r w:rsidR="006F12FE" w:rsidRPr="00EB0C51">
              <w:rPr>
                <w:rFonts w:cs="Arial"/>
                <w:color w:val="000000"/>
                <w:sz w:val="20"/>
                <w:szCs w:val="20"/>
                <w:lang w:eastAsia="es-CO"/>
              </w:rPr>
              <w:t xml:space="preserve"> </w:t>
            </w:r>
            <w:r w:rsidR="006F12FE" w:rsidRPr="00EB0C51">
              <w:rPr>
                <w:rFonts w:cs="Arial"/>
                <w:color w:val="000000"/>
                <w:sz w:val="20"/>
                <w:szCs w:val="20"/>
                <w:lang w:eastAsia="es-CO"/>
              </w:rPr>
              <w:br/>
              <w:t xml:space="preserve">Se espera ejecutar la totalidad de los recursos asignados a  </w:t>
            </w:r>
            <w:r w:rsidR="00F612B6" w:rsidRPr="00EB0C51">
              <w:rPr>
                <w:rFonts w:cs="Arial"/>
                <w:color w:val="000000"/>
                <w:sz w:val="20"/>
                <w:szCs w:val="20"/>
                <w:lang w:eastAsia="es-CO"/>
              </w:rPr>
              <w:t>d</w:t>
            </w:r>
            <w:r w:rsidR="006F12FE" w:rsidRPr="00EB0C51">
              <w:rPr>
                <w:rFonts w:cs="Arial"/>
                <w:color w:val="000000"/>
                <w:sz w:val="20"/>
                <w:szCs w:val="20"/>
                <w:lang w:eastAsia="es-CO"/>
              </w:rPr>
              <w:t xml:space="preserve">iciembre </w:t>
            </w:r>
            <w:r w:rsidR="00F612B6" w:rsidRPr="00EB0C51">
              <w:rPr>
                <w:rFonts w:cs="Arial"/>
                <w:color w:val="000000"/>
                <w:sz w:val="20"/>
                <w:szCs w:val="20"/>
                <w:lang w:eastAsia="es-CO"/>
              </w:rPr>
              <w:t xml:space="preserve">31 </w:t>
            </w:r>
            <w:r w:rsidR="006F12FE" w:rsidRPr="00EB0C51">
              <w:rPr>
                <w:rFonts w:cs="Arial"/>
                <w:color w:val="000000"/>
                <w:sz w:val="20"/>
                <w:szCs w:val="20"/>
                <w:lang w:eastAsia="es-CO"/>
              </w:rPr>
              <w:t>de 2021</w:t>
            </w:r>
            <w:r w:rsidR="00F612B6" w:rsidRPr="00EB0C51">
              <w:rPr>
                <w:rFonts w:cs="Arial"/>
                <w:color w:val="000000"/>
                <w:sz w:val="20"/>
                <w:szCs w:val="20"/>
                <w:lang w:eastAsia="es-CO"/>
              </w:rPr>
              <w:t xml:space="preserve">, </w:t>
            </w:r>
            <w:r w:rsidR="006F12FE" w:rsidRPr="00EB0C51">
              <w:rPr>
                <w:rFonts w:cs="Arial"/>
                <w:color w:val="000000"/>
                <w:sz w:val="20"/>
                <w:szCs w:val="20"/>
                <w:lang w:eastAsia="es-CO"/>
              </w:rPr>
              <w:t>cuando finalicen los contratos de obra e interventoría para la adecuación del piso 2</w:t>
            </w:r>
            <w:r w:rsidR="00515BA9" w:rsidRPr="00EB0C51">
              <w:rPr>
                <w:rFonts w:cs="Arial"/>
                <w:color w:val="000000"/>
                <w:sz w:val="20"/>
                <w:szCs w:val="20"/>
                <w:lang w:eastAsia="es-CO"/>
              </w:rPr>
              <w:t xml:space="preserve"> del a sede de la Entidad. </w:t>
            </w:r>
          </w:p>
        </w:tc>
      </w:tr>
      <w:tr w:rsidR="00AE0035" w:rsidRPr="00EB0C51" w14:paraId="454001D1" w14:textId="77777777" w:rsidTr="00AE0035">
        <w:trPr>
          <w:trHeight w:val="834"/>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1282741"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39</w:t>
            </w:r>
          </w:p>
        </w:tc>
        <w:tc>
          <w:tcPr>
            <w:tcW w:w="2588" w:type="dxa"/>
            <w:tcBorders>
              <w:top w:val="nil"/>
              <w:left w:val="nil"/>
              <w:bottom w:val="single" w:sz="4" w:space="0" w:color="auto"/>
              <w:right w:val="single" w:sz="4" w:space="0" w:color="auto"/>
            </w:tcBorders>
            <w:shd w:val="clear" w:color="auto" w:fill="auto"/>
            <w:vAlign w:val="center"/>
            <w:hideMark/>
          </w:tcPr>
          <w:p w14:paraId="4C7699FE"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Implantación del Regiotram de Occidente entre Bogotá y Facatativá</w:t>
            </w:r>
          </w:p>
        </w:tc>
        <w:tc>
          <w:tcPr>
            <w:tcW w:w="2153" w:type="dxa"/>
            <w:vMerge w:val="restart"/>
            <w:tcBorders>
              <w:top w:val="nil"/>
              <w:left w:val="single" w:sz="4" w:space="0" w:color="auto"/>
              <w:bottom w:val="single" w:sz="4" w:space="0" w:color="000000"/>
              <w:right w:val="single" w:sz="4" w:space="0" w:color="auto"/>
            </w:tcBorders>
            <w:shd w:val="clear" w:color="auto" w:fill="auto"/>
            <w:vAlign w:val="center"/>
            <w:hideMark/>
          </w:tcPr>
          <w:p w14:paraId="7CFE73A5"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Dirección General de Participaciones Estatales - DGPE</w:t>
            </w:r>
          </w:p>
        </w:tc>
        <w:tc>
          <w:tcPr>
            <w:tcW w:w="1847" w:type="dxa"/>
            <w:tcBorders>
              <w:top w:val="nil"/>
              <w:left w:val="nil"/>
              <w:bottom w:val="single" w:sz="4" w:space="0" w:color="auto"/>
              <w:right w:val="single" w:sz="4" w:space="0" w:color="auto"/>
            </w:tcBorders>
            <w:shd w:val="clear" w:color="auto" w:fill="auto"/>
            <w:noWrap/>
            <w:vAlign w:val="center"/>
            <w:hideMark/>
          </w:tcPr>
          <w:p w14:paraId="48A780FE"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 xml:space="preserve">28.191.880.771 </w:t>
            </w:r>
          </w:p>
        </w:tc>
        <w:tc>
          <w:tcPr>
            <w:tcW w:w="1452" w:type="dxa"/>
            <w:tcBorders>
              <w:top w:val="nil"/>
              <w:left w:val="nil"/>
              <w:bottom w:val="single" w:sz="4" w:space="0" w:color="auto"/>
              <w:right w:val="single" w:sz="4" w:space="0" w:color="auto"/>
            </w:tcBorders>
            <w:shd w:val="clear" w:color="auto" w:fill="auto"/>
            <w:noWrap/>
            <w:vAlign w:val="center"/>
            <w:hideMark/>
          </w:tcPr>
          <w:p w14:paraId="5D0C7A72"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88%</w:t>
            </w:r>
          </w:p>
        </w:tc>
        <w:tc>
          <w:tcPr>
            <w:tcW w:w="1086" w:type="dxa"/>
            <w:tcBorders>
              <w:top w:val="nil"/>
              <w:left w:val="nil"/>
              <w:bottom w:val="single" w:sz="4" w:space="0" w:color="auto"/>
              <w:right w:val="single" w:sz="4" w:space="0" w:color="auto"/>
            </w:tcBorders>
            <w:shd w:val="clear" w:color="auto" w:fill="auto"/>
            <w:noWrap/>
            <w:vAlign w:val="center"/>
            <w:hideMark/>
          </w:tcPr>
          <w:p w14:paraId="42C25004"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338472CF"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val="restart"/>
            <w:tcBorders>
              <w:top w:val="nil"/>
              <w:left w:val="single" w:sz="4" w:space="0" w:color="auto"/>
              <w:bottom w:val="single" w:sz="4" w:space="0" w:color="000000"/>
              <w:right w:val="single" w:sz="4" w:space="0" w:color="auto"/>
            </w:tcBorders>
            <w:shd w:val="clear" w:color="auto" w:fill="auto"/>
            <w:vAlign w:val="center"/>
            <w:hideMark/>
          </w:tcPr>
          <w:p w14:paraId="5A9637C2" w14:textId="77777777" w:rsidR="00AE0035" w:rsidRPr="00EB0C51" w:rsidRDefault="00AE0035" w:rsidP="00AE0035">
            <w:pPr>
              <w:jc w:val="both"/>
              <w:rPr>
                <w:rFonts w:cs="Arial"/>
                <w:color w:val="000000"/>
                <w:sz w:val="20"/>
                <w:szCs w:val="20"/>
                <w:lang w:eastAsia="es-CO"/>
              </w:rPr>
            </w:pPr>
          </w:p>
          <w:p w14:paraId="439CCC71" w14:textId="77777777" w:rsidR="00AE0035" w:rsidRPr="00EB0C51" w:rsidRDefault="00AE0035" w:rsidP="00AE0035">
            <w:pPr>
              <w:jc w:val="both"/>
              <w:rPr>
                <w:rFonts w:cs="Arial"/>
                <w:color w:val="000000"/>
                <w:sz w:val="20"/>
                <w:szCs w:val="20"/>
                <w:lang w:eastAsia="es-CO"/>
              </w:rPr>
            </w:pPr>
          </w:p>
          <w:p w14:paraId="6B74A700" w14:textId="77777777" w:rsidR="00AE0035" w:rsidRPr="00EB0C51" w:rsidRDefault="00AE0035" w:rsidP="00AE0035">
            <w:pPr>
              <w:jc w:val="both"/>
              <w:rPr>
                <w:rFonts w:cs="Arial"/>
                <w:color w:val="000000"/>
                <w:sz w:val="20"/>
                <w:szCs w:val="20"/>
                <w:lang w:eastAsia="es-CO"/>
              </w:rPr>
            </w:pPr>
          </w:p>
          <w:p w14:paraId="71D850D8" w14:textId="77777777" w:rsidR="00AE0035" w:rsidRPr="00EB0C51" w:rsidRDefault="00AE0035" w:rsidP="00AE0035">
            <w:pPr>
              <w:jc w:val="both"/>
              <w:rPr>
                <w:rFonts w:cs="Arial"/>
                <w:color w:val="000000"/>
                <w:sz w:val="20"/>
                <w:szCs w:val="20"/>
                <w:lang w:eastAsia="es-CO"/>
              </w:rPr>
            </w:pPr>
          </w:p>
          <w:p w14:paraId="7B461C32" w14:textId="77777777" w:rsidR="00AE0035" w:rsidRPr="00EB0C51" w:rsidRDefault="00AE0035" w:rsidP="00AE0035">
            <w:pPr>
              <w:jc w:val="both"/>
              <w:rPr>
                <w:rFonts w:cs="Arial"/>
                <w:color w:val="000000"/>
                <w:sz w:val="20"/>
                <w:szCs w:val="20"/>
                <w:lang w:eastAsia="es-CO"/>
              </w:rPr>
            </w:pPr>
          </w:p>
          <w:p w14:paraId="73CEC5DF" w14:textId="12A26695"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 xml:space="preserve">De acuerdo con lo comentado por el responsable, en línea con lo establecido en los Convenios de Cofinanciación y los documentos CONPES de cada proyecto, la ejecución presupuestal depende de los avances y las necesidades de cada uno de los sistema de transporte, las cuales son evaluadas y autorizadas por el Ministerio de Transporte como entidad técnica. Para los primeros meses del año en la mayoría de los entes gestores no se solicitaron los recursos dado que aún no contaban con los compromisos para  la destinación de estos y se espera se ejecuten en su totalidad en el segundo semestre de año. </w:t>
            </w:r>
          </w:p>
          <w:p w14:paraId="5E89FCD0" w14:textId="77777777" w:rsidR="00AE0035" w:rsidRPr="00EB0C51" w:rsidRDefault="00AE0035" w:rsidP="00AE0035">
            <w:pPr>
              <w:jc w:val="both"/>
              <w:rPr>
                <w:rFonts w:cs="Arial"/>
                <w:color w:val="000000"/>
                <w:sz w:val="20"/>
                <w:szCs w:val="20"/>
                <w:lang w:eastAsia="es-CO"/>
              </w:rPr>
            </w:pPr>
          </w:p>
          <w:p w14:paraId="5E7C5488"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 xml:space="preserve">A junio se realizaron las solicitudes de desembolso para los sistemas correspondientes a las ciudades de Armenia, Popayán, Medellín y el Metro de Bogotá que se giran de acuerdo con la disponibilidad del PAC. </w:t>
            </w:r>
          </w:p>
          <w:p w14:paraId="0C5B70BE" w14:textId="77777777" w:rsidR="00AE0035" w:rsidRPr="00EB0C51" w:rsidRDefault="00AE0035" w:rsidP="00AE0035">
            <w:pPr>
              <w:jc w:val="both"/>
              <w:rPr>
                <w:rFonts w:cs="Arial"/>
                <w:color w:val="000000"/>
                <w:sz w:val="20"/>
                <w:szCs w:val="20"/>
                <w:lang w:eastAsia="es-CO"/>
              </w:rPr>
            </w:pPr>
          </w:p>
          <w:p w14:paraId="5954A07A" w14:textId="77777777" w:rsidR="00AE0035" w:rsidRPr="00EB0C51" w:rsidRDefault="00AE0035" w:rsidP="00AE0035">
            <w:pPr>
              <w:jc w:val="both"/>
              <w:rPr>
                <w:rFonts w:cs="Arial"/>
                <w:color w:val="000000"/>
                <w:sz w:val="20"/>
                <w:szCs w:val="20"/>
                <w:lang w:eastAsia="es-CO"/>
              </w:rPr>
            </w:pPr>
          </w:p>
          <w:p w14:paraId="11285A45" w14:textId="77777777" w:rsidR="00AE0035" w:rsidRPr="00EB0C51" w:rsidRDefault="00AE0035" w:rsidP="00AE0035">
            <w:pPr>
              <w:jc w:val="both"/>
              <w:rPr>
                <w:rFonts w:cs="Arial"/>
                <w:color w:val="000000"/>
                <w:sz w:val="20"/>
                <w:szCs w:val="20"/>
                <w:lang w:eastAsia="es-CO"/>
              </w:rPr>
            </w:pPr>
          </w:p>
          <w:p w14:paraId="1650F2EA" w14:textId="77777777" w:rsidR="00AE0035" w:rsidRPr="00EB0C51" w:rsidRDefault="00AE0035" w:rsidP="00AE0035">
            <w:pPr>
              <w:jc w:val="both"/>
              <w:rPr>
                <w:rFonts w:cs="Arial"/>
                <w:color w:val="000000"/>
                <w:sz w:val="20"/>
                <w:szCs w:val="20"/>
                <w:lang w:eastAsia="es-CO"/>
              </w:rPr>
            </w:pPr>
          </w:p>
          <w:p w14:paraId="68E09BAF" w14:textId="44C44FA6" w:rsidR="00AE0035" w:rsidRPr="00EB0C51" w:rsidRDefault="00AE0035" w:rsidP="00AE0035">
            <w:pPr>
              <w:jc w:val="both"/>
              <w:rPr>
                <w:rFonts w:cs="Arial"/>
                <w:color w:val="000000"/>
                <w:sz w:val="20"/>
                <w:szCs w:val="20"/>
                <w:lang w:eastAsia="es-CO"/>
              </w:rPr>
            </w:pPr>
          </w:p>
          <w:p w14:paraId="3A3074F0" w14:textId="77777777" w:rsidR="00B5371B" w:rsidRPr="00EB0C51" w:rsidRDefault="00B5371B" w:rsidP="00AE0035">
            <w:pPr>
              <w:jc w:val="both"/>
              <w:rPr>
                <w:rFonts w:cs="Arial"/>
                <w:color w:val="000000"/>
                <w:sz w:val="20"/>
                <w:szCs w:val="20"/>
                <w:lang w:eastAsia="es-CO"/>
              </w:rPr>
            </w:pPr>
          </w:p>
          <w:p w14:paraId="541BBE44" w14:textId="0F8C38B9"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lastRenderedPageBreak/>
              <w:t xml:space="preserve">De acuerdo con lo comentado por el responsable, en línea con lo establecido en los Convenios de Cofinanciación y los documentos CONPES de cada proyecto, la ejecución presupuestal depende de los avances y las necesidades de cada uno de los sistema de transporte, las cuales son evaluadas y autorizadas por el Ministerio de Transporte como entidad técnica. Para los primeros meses del año en la mayoría de los entes gestores no se solicitaron los recursos dado que aún no contaban con los compromisos para  la destinación de estos y se espera se ejecuten en su totalidad en el segundo semestre de año. </w:t>
            </w:r>
          </w:p>
          <w:p w14:paraId="475F0F31" w14:textId="77777777" w:rsidR="00AE0035" w:rsidRPr="00EB0C51" w:rsidRDefault="00AE0035" w:rsidP="00AE0035">
            <w:pPr>
              <w:jc w:val="both"/>
              <w:rPr>
                <w:rFonts w:cs="Arial"/>
                <w:color w:val="000000"/>
                <w:sz w:val="20"/>
                <w:szCs w:val="20"/>
                <w:lang w:eastAsia="es-CO"/>
              </w:rPr>
            </w:pPr>
          </w:p>
          <w:p w14:paraId="7B35425E" w14:textId="24D6B87F"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A junio se realizaron las solicitudes de desembolso para los sistemas correspondientes a las ciudades de Armenia, Popayán, Medellín y el Metro de Bogotá que se giran de acuerdo con la disponibilidad del PAC.</w:t>
            </w:r>
          </w:p>
        </w:tc>
      </w:tr>
      <w:tr w:rsidR="00AE0035" w:rsidRPr="00EB0C51" w14:paraId="7545B256"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3927788"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40</w:t>
            </w:r>
          </w:p>
        </w:tc>
        <w:tc>
          <w:tcPr>
            <w:tcW w:w="2588" w:type="dxa"/>
            <w:tcBorders>
              <w:top w:val="nil"/>
              <w:left w:val="nil"/>
              <w:bottom w:val="single" w:sz="4" w:space="0" w:color="auto"/>
              <w:right w:val="single" w:sz="4" w:space="0" w:color="auto"/>
            </w:tcBorders>
            <w:shd w:val="clear" w:color="auto" w:fill="auto"/>
            <w:vAlign w:val="center"/>
            <w:hideMark/>
          </w:tcPr>
          <w:p w14:paraId="7E41AB26"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Construcción de las fases II y III de la Extensión de la Troncal Norte Quito Sur del Sistema Transmilenio   Soacha</w:t>
            </w:r>
          </w:p>
          <w:p w14:paraId="6500769E" w14:textId="56E3DA7C" w:rsidR="00B5371B" w:rsidRPr="00EB0C51" w:rsidRDefault="00B5371B" w:rsidP="00AE0035">
            <w:pPr>
              <w:jc w:val="both"/>
              <w:rPr>
                <w:rFonts w:cs="Arial"/>
                <w:color w:val="000000"/>
                <w:sz w:val="20"/>
                <w:szCs w:val="20"/>
                <w:lang w:eastAsia="es-CO"/>
              </w:rPr>
            </w:pPr>
          </w:p>
        </w:tc>
        <w:tc>
          <w:tcPr>
            <w:tcW w:w="2153" w:type="dxa"/>
            <w:vMerge/>
            <w:tcBorders>
              <w:top w:val="nil"/>
              <w:left w:val="single" w:sz="4" w:space="0" w:color="auto"/>
              <w:bottom w:val="single" w:sz="4" w:space="0" w:color="000000"/>
              <w:right w:val="single" w:sz="4" w:space="0" w:color="auto"/>
            </w:tcBorders>
            <w:vAlign w:val="center"/>
            <w:hideMark/>
          </w:tcPr>
          <w:p w14:paraId="5DD37FE9"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15DEF8CB"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27.531.086.443</w:t>
            </w:r>
          </w:p>
        </w:tc>
        <w:tc>
          <w:tcPr>
            <w:tcW w:w="1452" w:type="dxa"/>
            <w:tcBorders>
              <w:top w:val="nil"/>
              <w:left w:val="nil"/>
              <w:bottom w:val="single" w:sz="4" w:space="0" w:color="auto"/>
              <w:right w:val="single" w:sz="4" w:space="0" w:color="auto"/>
            </w:tcBorders>
            <w:shd w:val="clear" w:color="auto" w:fill="auto"/>
            <w:noWrap/>
            <w:vAlign w:val="center"/>
            <w:hideMark/>
          </w:tcPr>
          <w:p w14:paraId="25FB53D9"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35CC65FA"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7D70FFDC"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7314852B" w14:textId="77777777" w:rsidR="00AE0035" w:rsidRPr="00EB0C51" w:rsidRDefault="00AE0035" w:rsidP="00AE0035">
            <w:pPr>
              <w:rPr>
                <w:rFonts w:cs="Arial"/>
                <w:color w:val="000000"/>
                <w:sz w:val="20"/>
                <w:szCs w:val="20"/>
                <w:lang w:eastAsia="es-CO"/>
              </w:rPr>
            </w:pPr>
          </w:p>
        </w:tc>
      </w:tr>
      <w:tr w:rsidR="00AE0035" w:rsidRPr="00EB0C51" w14:paraId="55FC01E0" w14:textId="77777777" w:rsidTr="001F72EB">
        <w:trPr>
          <w:trHeight w:val="51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DD786DB"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41</w:t>
            </w:r>
          </w:p>
        </w:tc>
        <w:tc>
          <w:tcPr>
            <w:tcW w:w="2588" w:type="dxa"/>
            <w:tcBorders>
              <w:top w:val="nil"/>
              <w:left w:val="nil"/>
              <w:bottom w:val="single" w:sz="4" w:space="0" w:color="auto"/>
              <w:right w:val="single" w:sz="4" w:space="0" w:color="auto"/>
            </w:tcBorders>
            <w:shd w:val="clear" w:color="auto" w:fill="auto"/>
            <w:vAlign w:val="center"/>
            <w:hideMark/>
          </w:tcPr>
          <w:p w14:paraId="205D2B8B"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Implementación Sistema Integrado de Transporte Masivo de Cali</w:t>
            </w:r>
          </w:p>
        </w:tc>
        <w:tc>
          <w:tcPr>
            <w:tcW w:w="2153" w:type="dxa"/>
            <w:vMerge/>
            <w:tcBorders>
              <w:top w:val="nil"/>
              <w:left w:val="single" w:sz="4" w:space="0" w:color="auto"/>
              <w:bottom w:val="single" w:sz="4" w:space="0" w:color="000000"/>
              <w:right w:val="single" w:sz="4" w:space="0" w:color="auto"/>
            </w:tcBorders>
            <w:vAlign w:val="center"/>
            <w:hideMark/>
          </w:tcPr>
          <w:p w14:paraId="315C3EE0"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3AE4E6E0"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45.037.400.611</w:t>
            </w:r>
          </w:p>
        </w:tc>
        <w:tc>
          <w:tcPr>
            <w:tcW w:w="1452" w:type="dxa"/>
            <w:tcBorders>
              <w:top w:val="nil"/>
              <w:left w:val="nil"/>
              <w:bottom w:val="single" w:sz="4" w:space="0" w:color="auto"/>
              <w:right w:val="single" w:sz="4" w:space="0" w:color="auto"/>
            </w:tcBorders>
            <w:shd w:val="clear" w:color="auto" w:fill="auto"/>
            <w:noWrap/>
            <w:vAlign w:val="center"/>
            <w:hideMark/>
          </w:tcPr>
          <w:p w14:paraId="7A79EE7F"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32BF7726"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764AADC4"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29F9248D" w14:textId="77777777" w:rsidR="00AE0035" w:rsidRPr="00EB0C51" w:rsidRDefault="00AE0035" w:rsidP="00AE0035">
            <w:pPr>
              <w:rPr>
                <w:rFonts w:cs="Arial"/>
                <w:color w:val="000000"/>
                <w:sz w:val="20"/>
                <w:szCs w:val="20"/>
                <w:lang w:eastAsia="es-CO"/>
              </w:rPr>
            </w:pPr>
          </w:p>
        </w:tc>
      </w:tr>
      <w:tr w:rsidR="00AE0035" w:rsidRPr="00EB0C51" w14:paraId="2DB69BD1"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FE0C13F"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42</w:t>
            </w:r>
          </w:p>
        </w:tc>
        <w:tc>
          <w:tcPr>
            <w:tcW w:w="2588" w:type="dxa"/>
            <w:tcBorders>
              <w:top w:val="nil"/>
              <w:left w:val="nil"/>
              <w:bottom w:val="single" w:sz="4" w:space="0" w:color="auto"/>
              <w:right w:val="single" w:sz="4" w:space="0" w:color="auto"/>
            </w:tcBorders>
            <w:shd w:val="clear" w:color="auto" w:fill="auto"/>
            <w:vAlign w:val="center"/>
            <w:hideMark/>
          </w:tcPr>
          <w:p w14:paraId="2C6263AE"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Implementación Sistema Integrado de Transporte Masivo  Envigado, Medellín, Itagüí</w:t>
            </w:r>
          </w:p>
        </w:tc>
        <w:tc>
          <w:tcPr>
            <w:tcW w:w="2153" w:type="dxa"/>
            <w:vMerge/>
            <w:tcBorders>
              <w:top w:val="nil"/>
              <w:left w:val="single" w:sz="4" w:space="0" w:color="auto"/>
              <w:bottom w:val="single" w:sz="4" w:space="0" w:color="000000"/>
              <w:right w:val="single" w:sz="4" w:space="0" w:color="auto"/>
            </w:tcBorders>
            <w:vAlign w:val="center"/>
            <w:hideMark/>
          </w:tcPr>
          <w:p w14:paraId="5596E33A"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1897F9D2"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47.824.900.297</w:t>
            </w:r>
          </w:p>
        </w:tc>
        <w:tc>
          <w:tcPr>
            <w:tcW w:w="1452" w:type="dxa"/>
            <w:tcBorders>
              <w:top w:val="nil"/>
              <w:left w:val="nil"/>
              <w:bottom w:val="single" w:sz="4" w:space="0" w:color="auto"/>
              <w:right w:val="single" w:sz="4" w:space="0" w:color="auto"/>
            </w:tcBorders>
            <w:shd w:val="clear" w:color="auto" w:fill="auto"/>
            <w:noWrap/>
            <w:vAlign w:val="center"/>
            <w:hideMark/>
          </w:tcPr>
          <w:p w14:paraId="1957A749"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52B9659F"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2D7C7741"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1AF7C112" w14:textId="77777777" w:rsidR="00AE0035" w:rsidRPr="00EB0C51" w:rsidRDefault="00AE0035" w:rsidP="00AE0035">
            <w:pPr>
              <w:rPr>
                <w:rFonts w:cs="Arial"/>
                <w:color w:val="000000"/>
                <w:sz w:val="20"/>
                <w:szCs w:val="20"/>
                <w:lang w:eastAsia="es-CO"/>
              </w:rPr>
            </w:pPr>
          </w:p>
        </w:tc>
      </w:tr>
      <w:tr w:rsidR="00AE0035" w:rsidRPr="00EB0C51" w14:paraId="03640EFE" w14:textId="77777777" w:rsidTr="001F72EB">
        <w:trPr>
          <w:trHeight w:val="102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1847751"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43</w:t>
            </w:r>
          </w:p>
        </w:tc>
        <w:tc>
          <w:tcPr>
            <w:tcW w:w="2588" w:type="dxa"/>
            <w:tcBorders>
              <w:top w:val="nil"/>
              <w:left w:val="nil"/>
              <w:bottom w:val="single" w:sz="4" w:space="0" w:color="auto"/>
              <w:right w:val="single" w:sz="4" w:space="0" w:color="auto"/>
            </w:tcBorders>
            <w:shd w:val="clear" w:color="auto" w:fill="auto"/>
            <w:vAlign w:val="center"/>
            <w:hideMark/>
          </w:tcPr>
          <w:p w14:paraId="61E248D2"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Construcción Tramo 1 de la Primera Línea de Metro de Bogotá para Mejorar las Condiciones de Movilidad de sus Habitantes.  Bogotá</w:t>
            </w:r>
          </w:p>
        </w:tc>
        <w:tc>
          <w:tcPr>
            <w:tcW w:w="2153" w:type="dxa"/>
            <w:vMerge/>
            <w:tcBorders>
              <w:top w:val="nil"/>
              <w:left w:val="single" w:sz="4" w:space="0" w:color="auto"/>
              <w:bottom w:val="single" w:sz="4" w:space="0" w:color="000000"/>
              <w:right w:val="single" w:sz="4" w:space="0" w:color="auto"/>
            </w:tcBorders>
            <w:vAlign w:val="center"/>
            <w:hideMark/>
          </w:tcPr>
          <w:p w14:paraId="41109DCB"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3582581A"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151.517.675.504</w:t>
            </w:r>
          </w:p>
        </w:tc>
        <w:tc>
          <w:tcPr>
            <w:tcW w:w="1452" w:type="dxa"/>
            <w:tcBorders>
              <w:top w:val="nil"/>
              <w:left w:val="nil"/>
              <w:bottom w:val="single" w:sz="4" w:space="0" w:color="auto"/>
              <w:right w:val="single" w:sz="4" w:space="0" w:color="auto"/>
            </w:tcBorders>
            <w:shd w:val="clear" w:color="auto" w:fill="auto"/>
            <w:noWrap/>
            <w:vAlign w:val="center"/>
            <w:hideMark/>
          </w:tcPr>
          <w:p w14:paraId="647AB1BD"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520186C3"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F9BBE49"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34DFA906" w14:textId="77777777" w:rsidR="00AE0035" w:rsidRPr="00EB0C51" w:rsidRDefault="00AE0035" w:rsidP="00AE0035">
            <w:pPr>
              <w:rPr>
                <w:rFonts w:cs="Arial"/>
                <w:color w:val="000000"/>
                <w:sz w:val="20"/>
                <w:szCs w:val="20"/>
                <w:lang w:eastAsia="es-CO"/>
              </w:rPr>
            </w:pPr>
          </w:p>
        </w:tc>
      </w:tr>
      <w:tr w:rsidR="00AE0035" w:rsidRPr="00EB0C51" w14:paraId="461DE46F"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309FE883"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44</w:t>
            </w:r>
          </w:p>
        </w:tc>
        <w:tc>
          <w:tcPr>
            <w:tcW w:w="2588" w:type="dxa"/>
            <w:tcBorders>
              <w:top w:val="nil"/>
              <w:left w:val="nil"/>
              <w:bottom w:val="single" w:sz="4" w:space="0" w:color="auto"/>
              <w:right w:val="single" w:sz="4" w:space="0" w:color="auto"/>
            </w:tcBorders>
            <w:shd w:val="clear" w:color="auto" w:fill="auto"/>
            <w:vAlign w:val="center"/>
            <w:hideMark/>
          </w:tcPr>
          <w:p w14:paraId="22B802EE"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w:t>
            </w:r>
          </w:p>
          <w:p w14:paraId="289C8B12" w14:textId="7002E8A9"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implementación Sistema Estratégico de Transporte Público del Municipio Popayán</w:t>
            </w:r>
          </w:p>
          <w:p w14:paraId="3AA4948E" w14:textId="77777777" w:rsidR="00B5371B" w:rsidRPr="00EB0C51" w:rsidRDefault="00B5371B" w:rsidP="00AE0035">
            <w:pPr>
              <w:jc w:val="both"/>
              <w:rPr>
                <w:rFonts w:cs="Arial"/>
                <w:color w:val="000000"/>
                <w:sz w:val="20"/>
                <w:szCs w:val="20"/>
                <w:lang w:eastAsia="es-CO"/>
              </w:rPr>
            </w:pPr>
          </w:p>
          <w:p w14:paraId="66C4146B" w14:textId="77777777" w:rsidR="00AE0035" w:rsidRPr="00EB0C51" w:rsidRDefault="00AE0035" w:rsidP="00AE0035">
            <w:pPr>
              <w:jc w:val="both"/>
              <w:rPr>
                <w:rFonts w:cs="Arial"/>
                <w:color w:val="000000"/>
                <w:sz w:val="20"/>
                <w:szCs w:val="20"/>
                <w:lang w:eastAsia="es-CO"/>
              </w:rPr>
            </w:pPr>
          </w:p>
          <w:p w14:paraId="01A7B2F3" w14:textId="188FFC05" w:rsidR="00AE0035" w:rsidRPr="00EB0C51" w:rsidRDefault="00AE0035" w:rsidP="00AE0035">
            <w:pPr>
              <w:jc w:val="both"/>
              <w:rPr>
                <w:rFonts w:cs="Arial"/>
                <w:color w:val="000000"/>
                <w:sz w:val="20"/>
                <w:szCs w:val="20"/>
                <w:lang w:eastAsia="es-CO"/>
              </w:rPr>
            </w:pPr>
          </w:p>
        </w:tc>
        <w:tc>
          <w:tcPr>
            <w:tcW w:w="2153" w:type="dxa"/>
            <w:vMerge/>
            <w:tcBorders>
              <w:top w:val="nil"/>
              <w:left w:val="single" w:sz="4" w:space="0" w:color="auto"/>
              <w:bottom w:val="single" w:sz="4" w:space="0" w:color="000000"/>
              <w:right w:val="single" w:sz="4" w:space="0" w:color="auto"/>
            </w:tcBorders>
            <w:vAlign w:val="center"/>
            <w:hideMark/>
          </w:tcPr>
          <w:p w14:paraId="1988C116"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2E64344C"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 xml:space="preserve">32.252.684.408 </w:t>
            </w:r>
          </w:p>
        </w:tc>
        <w:tc>
          <w:tcPr>
            <w:tcW w:w="1452" w:type="dxa"/>
            <w:tcBorders>
              <w:top w:val="nil"/>
              <w:left w:val="nil"/>
              <w:bottom w:val="single" w:sz="4" w:space="0" w:color="auto"/>
              <w:right w:val="single" w:sz="4" w:space="0" w:color="auto"/>
            </w:tcBorders>
            <w:shd w:val="clear" w:color="auto" w:fill="auto"/>
            <w:noWrap/>
            <w:vAlign w:val="center"/>
            <w:hideMark/>
          </w:tcPr>
          <w:p w14:paraId="55371BA4"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3E2C4479"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434BA8AE"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4892E311" w14:textId="77777777" w:rsidR="00AE0035" w:rsidRPr="00EB0C51" w:rsidRDefault="00AE0035" w:rsidP="00AE0035">
            <w:pPr>
              <w:rPr>
                <w:rFonts w:cs="Arial"/>
                <w:color w:val="000000"/>
                <w:sz w:val="20"/>
                <w:szCs w:val="20"/>
                <w:lang w:eastAsia="es-CO"/>
              </w:rPr>
            </w:pPr>
          </w:p>
        </w:tc>
      </w:tr>
      <w:tr w:rsidR="00AE0035" w:rsidRPr="00EB0C51" w14:paraId="1BAC6CCA" w14:textId="77777777" w:rsidTr="001F72EB">
        <w:trPr>
          <w:trHeight w:val="142"/>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03D14753"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lastRenderedPageBreak/>
              <w:t>45</w:t>
            </w:r>
          </w:p>
        </w:tc>
        <w:tc>
          <w:tcPr>
            <w:tcW w:w="2588" w:type="dxa"/>
            <w:tcBorders>
              <w:top w:val="nil"/>
              <w:left w:val="nil"/>
              <w:bottom w:val="single" w:sz="4" w:space="0" w:color="auto"/>
              <w:right w:val="single" w:sz="4" w:space="0" w:color="auto"/>
            </w:tcBorders>
            <w:shd w:val="clear" w:color="auto" w:fill="auto"/>
            <w:vAlign w:val="center"/>
            <w:hideMark/>
          </w:tcPr>
          <w:p w14:paraId="0EA9FC32"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Implementación Sistema Estratégico de Transporte Público del Municipio Montería</w:t>
            </w:r>
          </w:p>
        </w:tc>
        <w:tc>
          <w:tcPr>
            <w:tcW w:w="2153" w:type="dxa"/>
            <w:vMerge/>
            <w:tcBorders>
              <w:top w:val="nil"/>
              <w:left w:val="single" w:sz="4" w:space="0" w:color="auto"/>
              <w:bottom w:val="single" w:sz="4" w:space="0" w:color="000000"/>
              <w:right w:val="single" w:sz="4" w:space="0" w:color="auto"/>
            </w:tcBorders>
            <w:vAlign w:val="center"/>
            <w:hideMark/>
          </w:tcPr>
          <w:p w14:paraId="2A3CB0C1"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7555A47E"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13.096.579.917</w:t>
            </w:r>
          </w:p>
        </w:tc>
        <w:tc>
          <w:tcPr>
            <w:tcW w:w="1452" w:type="dxa"/>
            <w:tcBorders>
              <w:top w:val="nil"/>
              <w:left w:val="nil"/>
              <w:bottom w:val="single" w:sz="4" w:space="0" w:color="auto"/>
              <w:right w:val="single" w:sz="4" w:space="0" w:color="auto"/>
            </w:tcBorders>
            <w:shd w:val="clear" w:color="auto" w:fill="auto"/>
            <w:noWrap/>
            <w:vAlign w:val="center"/>
            <w:hideMark/>
          </w:tcPr>
          <w:p w14:paraId="71946171"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646B2D00"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7EAA4A10"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65E84BAF" w14:textId="77777777" w:rsidR="00AE0035" w:rsidRPr="00EB0C51" w:rsidRDefault="00AE0035" w:rsidP="00AE0035">
            <w:pPr>
              <w:rPr>
                <w:rFonts w:cs="Arial"/>
                <w:color w:val="000000"/>
                <w:sz w:val="20"/>
                <w:szCs w:val="20"/>
                <w:lang w:eastAsia="es-CO"/>
              </w:rPr>
            </w:pPr>
          </w:p>
        </w:tc>
      </w:tr>
      <w:tr w:rsidR="00AE0035" w:rsidRPr="00EB0C51" w14:paraId="4E8BF972" w14:textId="77777777" w:rsidTr="00EC7FD8">
        <w:trPr>
          <w:trHeight w:val="353"/>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0D650A8"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46</w:t>
            </w:r>
          </w:p>
        </w:tc>
        <w:tc>
          <w:tcPr>
            <w:tcW w:w="2588" w:type="dxa"/>
            <w:tcBorders>
              <w:top w:val="nil"/>
              <w:left w:val="nil"/>
              <w:bottom w:val="single" w:sz="4" w:space="0" w:color="auto"/>
              <w:right w:val="single" w:sz="4" w:space="0" w:color="auto"/>
            </w:tcBorders>
            <w:shd w:val="clear" w:color="auto" w:fill="auto"/>
            <w:vAlign w:val="center"/>
            <w:hideMark/>
          </w:tcPr>
          <w:p w14:paraId="78E11D9C"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Implementación Sistema Estratégico de Transporte Público de Pasajeros para el Municipio de Valledupar</w:t>
            </w:r>
          </w:p>
        </w:tc>
        <w:tc>
          <w:tcPr>
            <w:tcW w:w="2153" w:type="dxa"/>
            <w:vMerge/>
            <w:tcBorders>
              <w:top w:val="nil"/>
              <w:left w:val="single" w:sz="4" w:space="0" w:color="auto"/>
              <w:bottom w:val="single" w:sz="4" w:space="0" w:color="000000"/>
              <w:right w:val="single" w:sz="4" w:space="0" w:color="auto"/>
            </w:tcBorders>
            <w:vAlign w:val="center"/>
            <w:hideMark/>
          </w:tcPr>
          <w:p w14:paraId="6F39EF0B"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1C945F20"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 xml:space="preserve">32.541.226.333 </w:t>
            </w:r>
          </w:p>
        </w:tc>
        <w:tc>
          <w:tcPr>
            <w:tcW w:w="1452" w:type="dxa"/>
            <w:tcBorders>
              <w:top w:val="nil"/>
              <w:left w:val="nil"/>
              <w:bottom w:val="single" w:sz="4" w:space="0" w:color="auto"/>
              <w:right w:val="single" w:sz="4" w:space="0" w:color="auto"/>
            </w:tcBorders>
            <w:shd w:val="clear" w:color="auto" w:fill="auto"/>
            <w:noWrap/>
            <w:vAlign w:val="center"/>
            <w:hideMark/>
          </w:tcPr>
          <w:p w14:paraId="03121849"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683A4AD6"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F55D4EE"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3AD66921" w14:textId="77777777" w:rsidR="00AE0035" w:rsidRPr="00EB0C51" w:rsidRDefault="00AE0035" w:rsidP="00AE0035">
            <w:pPr>
              <w:rPr>
                <w:rFonts w:cs="Arial"/>
                <w:color w:val="000000"/>
                <w:sz w:val="20"/>
                <w:szCs w:val="20"/>
                <w:lang w:eastAsia="es-CO"/>
              </w:rPr>
            </w:pPr>
          </w:p>
        </w:tc>
      </w:tr>
      <w:tr w:rsidR="00AE0035" w:rsidRPr="00EB0C51" w14:paraId="6A95F710" w14:textId="77777777" w:rsidTr="001F72EB">
        <w:trPr>
          <w:trHeight w:val="76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6AED57D0"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47</w:t>
            </w:r>
          </w:p>
        </w:tc>
        <w:tc>
          <w:tcPr>
            <w:tcW w:w="2588" w:type="dxa"/>
            <w:tcBorders>
              <w:top w:val="nil"/>
              <w:left w:val="nil"/>
              <w:bottom w:val="single" w:sz="4" w:space="0" w:color="auto"/>
              <w:right w:val="single" w:sz="4" w:space="0" w:color="auto"/>
            </w:tcBorders>
            <w:shd w:val="clear" w:color="auto" w:fill="auto"/>
            <w:vAlign w:val="center"/>
            <w:hideMark/>
          </w:tcPr>
          <w:p w14:paraId="2E4EB8C1" w14:textId="77777777" w:rsidR="00AE0035" w:rsidRPr="00EB0C51" w:rsidRDefault="00AE0035" w:rsidP="00AE0035">
            <w:pPr>
              <w:jc w:val="both"/>
              <w:rPr>
                <w:rFonts w:cs="Arial"/>
                <w:color w:val="000000"/>
                <w:sz w:val="20"/>
                <w:szCs w:val="20"/>
                <w:lang w:eastAsia="es-CO"/>
              </w:rPr>
            </w:pPr>
            <w:r w:rsidRPr="00EB0C51">
              <w:rPr>
                <w:rFonts w:cs="Arial"/>
                <w:color w:val="000000"/>
                <w:sz w:val="20"/>
                <w:szCs w:val="20"/>
                <w:lang w:eastAsia="es-CO"/>
              </w:rPr>
              <w:t>Implementación Sistema Estratégico de Transporte Público SETP en el Municipio de    Armenia</w:t>
            </w:r>
          </w:p>
        </w:tc>
        <w:tc>
          <w:tcPr>
            <w:tcW w:w="2153" w:type="dxa"/>
            <w:vMerge/>
            <w:tcBorders>
              <w:top w:val="nil"/>
              <w:left w:val="single" w:sz="4" w:space="0" w:color="auto"/>
              <w:bottom w:val="single" w:sz="4" w:space="0" w:color="000000"/>
              <w:right w:val="single" w:sz="4" w:space="0" w:color="auto"/>
            </w:tcBorders>
            <w:vAlign w:val="center"/>
            <w:hideMark/>
          </w:tcPr>
          <w:p w14:paraId="1D129710" w14:textId="77777777" w:rsidR="00AE0035" w:rsidRPr="00EB0C51" w:rsidRDefault="00AE0035" w:rsidP="00AE0035">
            <w:pPr>
              <w:rPr>
                <w:rFonts w:cs="Arial"/>
                <w:color w:val="000000"/>
                <w:sz w:val="20"/>
                <w:szCs w:val="20"/>
                <w:lang w:eastAsia="es-CO"/>
              </w:rPr>
            </w:pPr>
          </w:p>
        </w:tc>
        <w:tc>
          <w:tcPr>
            <w:tcW w:w="1847" w:type="dxa"/>
            <w:tcBorders>
              <w:top w:val="nil"/>
              <w:left w:val="nil"/>
              <w:bottom w:val="single" w:sz="4" w:space="0" w:color="auto"/>
              <w:right w:val="single" w:sz="4" w:space="0" w:color="auto"/>
            </w:tcBorders>
            <w:shd w:val="clear" w:color="auto" w:fill="auto"/>
            <w:noWrap/>
            <w:vAlign w:val="center"/>
            <w:hideMark/>
          </w:tcPr>
          <w:p w14:paraId="6D39F735" w14:textId="77777777" w:rsidR="00AE0035" w:rsidRPr="00EB0C51" w:rsidRDefault="00AE0035" w:rsidP="00AE0035">
            <w:pPr>
              <w:rPr>
                <w:rFonts w:cs="Arial"/>
                <w:color w:val="000000"/>
                <w:sz w:val="20"/>
                <w:szCs w:val="20"/>
                <w:lang w:eastAsia="es-CO"/>
              </w:rPr>
            </w:pPr>
            <w:r w:rsidRPr="00EB0C51">
              <w:rPr>
                <w:rFonts w:cs="Arial"/>
                <w:color w:val="000000"/>
                <w:sz w:val="20"/>
                <w:szCs w:val="20"/>
                <w:lang w:eastAsia="es-CO"/>
              </w:rPr>
              <w:t xml:space="preserve">27.273.126.603 </w:t>
            </w:r>
          </w:p>
        </w:tc>
        <w:tc>
          <w:tcPr>
            <w:tcW w:w="1452" w:type="dxa"/>
            <w:tcBorders>
              <w:top w:val="nil"/>
              <w:left w:val="nil"/>
              <w:bottom w:val="single" w:sz="4" w:space="0" w:color="auto"/>
              <w:right w:val="single" w:sz="4" w:space="0" w:color="auto"/>
            </w:tcBorders>
            <w:shd w:val="clear" w:color="auto" w:fill="auto"/>
            <w:noWrap/>
            <w:vAlign w:val="center"/>
            <w:hideMark/>
          </w:tcPr>
          <w:p w14:paraId="63CDA782"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63A01EC9"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608" w:type="dxa"/>
            <w:tcBorders>
              <w:top w:val="nil"/>
              <w:left w:val="nil"/>
              <w:bottom w:val="single" w:sz="4" w:space="0" w:color="auto"/>
              <w:right w:val="single" w:sz="4" w:space="0" w:color="auto"/>
            </w:tcBorders>
            <w:shd w:val="clear" w:color="auto" w:fill="auto"/>
            <w:noWrap/>
            <w:vAlign w:val="center"/>
            <w:hideMark/>
          </w:tcPr>
          <w:p w14:paraId="10C9E8D4" w14:textId="77777777" w:rsidR="00AE0035" w:rsidRPr="00EB0C51" w:rsidRDefault="00AE0035" w:rsidP="00AE0035">
            <w:pPr>
              <w:jc w:val="center"/>
              <w:rPr>
                <w:rFonts w:cs="Arial"/>
                <w:color w:val="000000"/>
                <w:sz w:val="20"/>
                <w:szCs w:val="20"/>
                <w:lang w:eastAsia="es-CO"/>
              </w:rPr>
            </w:pPr>
            <w:r w:rsidRPr="00EB0C51">
              <w:rPr>
                <w:rFonts w:cs="Arial"/>
                <w:color w:val="000000"/>
                <w:sz w:val="20"/>
                <w:szCs w:val="20"/>
                <w:lang w:eastAsia="es-CO"/>
              </w:rPr>
              <w:t>0%</w:t>
            </w:r>
          </w:p>
        </w:tc>
        <w:tc>
          <w:tcPr>
            <w:tcW w:w="5328" w:type="dxa"/>
            <w:vMerge/>
            <w:tcBorders>
              <w:top w:val="nil"/>
              <w:left w:val="single" w:sz="4" w:space="0" w:color="auto"/>
              <w:bottom w:val="single" w:sz="4" w:space="0" w:color="000000"/>
              <w:right w:val="single" w:sz="4" w:space="0" w:color="auto"/>
            </w:tcBorders>
            <w:vAlign w:val="center"/>
            <w:hideMark/>
          </w:tcPr>
          <w:p w14:paraId="2CF5BE65" w14:textId="77777777" w:rsidR="00AE0035" w:rsidRPr="00EB0C51" w:rsidRDefault="00AE0035" w:rsidP="00AE0035">
            <w:pPr>
              <w:rPr>
                <w:rFonts w:cs="Arial"/>
                <w:color w:val="000000"/>
                <w:sz w:val="20"/>
                <w:szCs w:val="20"/>
                <w:lang w:eastAsia="es-CO"/>
              </w:rPr>
            </w:pPr>
          </w:p>
        </w:tc>
      </w:tr>
    </w:tbl>
    <w:p w14:paraId="48D75077" w14:textId="77777777" w:rsidR="00311C01" w:rsidRPr="00EB0C51" w:rsidRDefault="00311C01" w:rsidP="00311C01">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los responsables de la ejecución de los rubros, consolidada por la OAP </w:t>
      </w:r>
    </w:p>
    <w:p w14:paraId="68DDA862" w14:textId="1FC4C965" w:rsidR="006F12FE" w:rsidRPr="00EB0C51" w:rsidRDefault="006F12FE" w:rsidP="006F12FE">
      <w:pPr>
        <w:jc w:val="both"/>
        <w:rPr>
          <w:rFonts w:cs="Arial"/>
          <w:bCs/>
          <w:color w:val="000000" w:themeColor="text1"/>
          <w:sz w:val="18"/>
          <w:szCs w:val="18"/>
        </w:rPr>
      </w:pPr>
    </w:p>
    <w:p w14:paraId="5B6EE8E1" w14:textId="0C44E1C7" w:rsidR="002E2B98" w:rsidRPr="00EB0C51" w:rsidRDefault="00C81357" w:rsidP="006F12FE">
      <w:pPr>
        <w:jc w:val="both"/>
        <w:rPr>
          <w:rFonts w:cs="Arial"/>
          <w:bCs/>
          <w:color w:val="000000" w:themeColor="text1"/>
        </w:rPr>
      </w:pPr>
      <w:r w:rsidRPr="00EB0C51">
        <w:rPr>
          <w:rFonts w:cs="Arial"/>
          <w:bCs/>
          <w:color w:val="000000" w:themeColor="text1"/>
        </w:rPr>
        <w:t>Revisadas las justificaciones dadas por los responsables</w:t>
      </w:r>
      <w:r w:rsidR="00784562" w:rsidRPr="00EB0C51">
        <w:rPr>
          <w:rFonts w:cs="Arial"/>
          <w:bCs/>
          <w:color w:val="000000" w:themeColor="text1"/>
        </w:rPr>
        <w:t>,</w:t>
      </w:r>
      <w:r w:rsidRPr="00EB0C51">
        <w:rPr>
          <w:rFonts w:cs="Arial"/>
          <w:bCs/>
          <w:color w:val="000000" w:themeColor="text1"/>
        </w:rPr>
        <w:t xml:space="preserve"> </w:t>
      </w:r>
      <w:r w:rsidR="00012579" w:rsidRPr="00EB0C51">
        <w:rPr>
          <w:rFonts w:cs="Arial"/>
          <w:bCs/>
          <w:color w:val="000000" w:themeColor="text1"/>
        </w:rPr>
        <w:t>se evidenci</w:t>
      </w:r>
      <w:r w:rsidR="00681B47" w:rsidRPr="00EB0C51">
        <w:rPr>
          <w:rFonts w:cs="Arial"/>
          <w:bCs/>
          <w:color w:val="000000" w:themeColor="text1"/>
        </w:rPr>
        <w:t>ó</w:t>
      </w:r>
      <w:r w:rsidR="00012579" w:rsidRPr="00EB0C51">
        <w:rPr>
          <w:rFonts w:cs="Arial"/>
          <w:bCs/>
          <w:color w:val="000000" w:themeColor="text1"/>
        </w:rPr>
        <w:t xml:space="preserve"> que </w:t>
      </w:r>
      <w:r w:rsidR="00681B47" w:rsidRPr="00EB0C51">
        <w:rPr>
          <w:rFonts w:cs="Arial"/>
          <w:bCs/>
          <w:color w:val="000000" w:themeColor="text1"/>
        </w:rPr>
        <w:t>para l</w:t>
      </w:r>
      <w:r w:rsidR="006862F5" w:rsidRPr="00EB0C51">
        <w:rPr>
          <w:rFonts w:cs="Arial"/>
          <w:bCs/>
          <w:color w:val="000000" w:themeColor="text1"/>
        </w:rPr>
        <w:t>os rubros que presentan una ejecución menor al 10% a junio de 2021</w:t>
      </w:r>
      <w:r w:rsidR="00681B47" w:rsidRPr="00EB0C51">
        <w:rPr>
          <w:rFonts w:cs="Arial"/>
          <w:bCs/>
          <w:color w:val="000000" w:themeColor="text1"/>
        </w:rPr>
        <w:t>,</w:t>
      </w:r>
      <w:r w:rsidR="00C22A83" w:rsidRPr="00EB0C51">
        <w:rPr>
          <w:rFonts w:cs="Arial"/>
          <w:bCs/>
          <w:color w:val="000000" w:themeColor="text1"/>
        </w:rPr>
        <w:t xml:space="preserve"> </w:t>
      </w:r>
      <w:r w:rsidR="00681B47" w:rsidRPr="00EB0C51">
        <w:rPr>
          <w:rFonts w:cs="Arial"/>
          <w:bCs/>
          <w:color w:val="000000" w:themeColor="text1"/>
        </w:rPr>
        <w:t xml:space="preserve">la entidad </w:t>
      </w:r>
      <w:r w:rsidR="00C22A83" w:rsidRPr="00EB0C51">
        <w:rPr>
          <w:rFonts w:cs="Arial"/>
          <w:bCs/>
          <w:color w:val="000000" w:themeColor="text1"/>
        </w:rPr>
        <w:t xml:space="preserve">prevé </w:t>
      </w:r>
      <w:r w:rsidR="00681B47" w:rsidRPr="00EB0C51">
        <w:rPr>
          <w:rFonts w:cs="Arial"/>
          <w:bCs/>
          <w:color w:val="000000" w:themeColor="text1"/>
        </w:rPr>
        <w:t>utilizar</w:t>
      </w:r>
      <w:r w:rsidR="00C22A83" w:rsidRPr="00EB0C51">
        <w:rPr>
          <w:rFonts w:cs="Arial"/>
          <w:bCs/>
          <w:color w:val="000000" w:themeColor="text1"/>
        </w:rPr>
        <w:t xml:space="preserve"> </w:t>
      </w:r>
      <w:r w:rsidR="00681B47" w:rsidRPr="00EB0C51">
        <w:rPr>
          <w:rFonts w:cs="Arial"/>
          <w:bCs/>
          <w:color w:val="000000" w:themeColor="text1"/>
        </w:rPr>
        <w:t>los</w:t>
      </w:r>
      <w:r w:rsidR="00C22A83" w:rsidRPr="00EB0C51">
        <w:rPr>
          <w:rFonts w:cs="Arial"/>
          <w:bCs/>
          <w:color w:val="000000" w:themeColor="text1"/>
        </w:rPr>
        <w:t xml:space="preserve"> recursos vigentes apropiados para el segundo semestre de la vigencia </w:t>
      </w:r>
      <w:r w:rsidR="008A6059" w:rsidRPr="00EB0C51">
        <w:rPr>
          <w:rFonts w:cs="Arial"/>
          <w:bCs/>
          <w:color w:val="000000" w:themeColor="text1"/>
        </w:rPr>
        <w:t>y/o dependiendo de la demanda de entidades p</w:t>
      </w:r>
      <w:r w:rsidR="00EC7FD8" w:rsidRPr="00EB0C51">
        <w:rPr>
          <w:rFonts w:cs="Arial"/>
          <w:bCs/>
          <w:color w:val="000000" w:themeColor="text1"/>
        </w:rPr>
        <w:t>ú</w:t>
      </w:r>
      <w:r w:rsidR="008A6059" w:rsidRPr="00EB0C51">
        <w:rPr>
          <w:rFonts w:cs="Arial"/>
          <w:bCs/>
          <w:color w:val="000000" w:themeColor="text1"/>
        </w:rPr>
        <w:t>blicas a los que van dirigidos</w:t>
      </w:r>
      <w:r w:rsidR="00EC7FD8" w:rsidRPr="00EB0C51">
        <w:rPr>
          <w:rFonts w:cs="Arial"/>
          <w:bCs/>
          <w:color w:val="000000" w:themeColor="text1"/>
        </w:rPr>
        <w:t xml:space="preserve">, la dinámica judicial o las decisiones que tomen terceros. </w:t>
      </w:r>
    </w:p>
    <w:p w14:paraId="2F36B4FC" w14:textId="77777777" w:rsidR="002E2B98" w:rsidRPr="00EB0C51" w:rsidRDefault="002E2B98" w:rsidP="006F12FE">
      <w:pPr>
        <w:jc w:val="both"/>
        <w:rPr>
          <w:rFonts w:cs="Arial"/>
          <w:bCs/>
          <w:color w:val="000000" w:themeColor="text1"/>
          <w:sz w:val="18"/>
          <w:szCs w:val="18"/>
        </w:rPr>
      </w:pPr>
    </w:p>
    <w:p w14:paraId="1A91993C" w14:textId="6000F14D" w:rsidR="006F12FE" w:rsidRPr="00EB0C51" w:rsidRDefault="006F12FE" w:rsidP="006F12FE">
      <w:pPr>
        <w:jc w:val="both"/>
        <w:rPr>
          <w:rFonts w:cs="Arial"/>
          <w:b/>
          <w:color w:val="000000" w:themeColor="text1"/>
        </w:rPr>
      </w:pPr>
      <w:r w:rsidRPr="00EB0C51">
        <w:rPr>
          <w:rFonts w:cs="Arial"/>
          <w:b/>
          <w:color w:val="000000" w:themeColor="text1"/>
        </w:rPr>
        <w:t>4.2.</w:t>
      </w:r>
      <w:r w:rsidR="001E765F" w:rsidRPr="00EB0C51">
        <w:rPr>
          <w:rFonts w:cs="Arial"/>
          <w:b/>
          <w:color w:val="000000" w:themeColor="text1"/>
        </w:rPr>
        <w:t>3</w:t>
      </w:r>
      <w:r w:rsidRPr="00EB0C51">
        <w:rPr>
          <w:rFonts w:cs="Arial"/>
          <w:b/>
          <w:color w:val="000000" w:themeColor="text1"/>
        </w:rPr>
        <w:t xml:space="preserve"> Verificación gestión ejecución Programa Anual Mensualizado de Caja </w:t>
      </w:r>
      <w:r w:rsidR="004F71E7" w:rsidRPr="00EB0C51">
        <w:rPr>
          <w:rFonts w:cs="Arial"/>
          <w:b/>
          <w:color w:val="000000" w:themeColor="text1"/>
        </w:rPr>
        <w:t>PAC</w:t>
      </w:r>
    </w:p>
    <w:p w14:paraId="778FEDBD" w14:textId="1989CB55" w:rsidR="00234E3E" w:rsidRPr="00EB0C51" w:rsidRDefault="00234E3E" w:rsidP="006F12FE">
      <w:pPr>
        <w:jc w:val="both"/>
        <w:rPr>
          <w:rFonts w:cs="Arial"/>
          <w:b/>
          <w:color w:val="000000" w:themeColor="text1"/>
          <w:sz w:val="22"/>
          <w:szCs w:val="22"/>
        </w:rPr>
      </w:pPr>
    </w:p>
    <w:p w14:paraId="3E7A8FA2" w14:textId="65B86942" w:rsidR="002453ED" w:rsidRPr="00EB0C51" w:rsidRDefault="00234E3E" w:rsidP="006F12FE">
      <w:pPr>
        <w:jc w:val="both"/>
        <w:rPr>
          <w:rFonts w:cs="Arial"/>
          <w:bCs/>
          <w:color w:val="000000" w:themeColor="text1"/>
        </w:rPr>
      </w:pPr>
      <w:r w:rsidRPr="00EB0C51">
        <w:rPr>
          <w:rFonts w:cs="Arial"/>
          <w:bCs/>
          <w:color w:val="000000" w:themeColor="text1"/>
        </w:rPr>
        <w:t xml:space="preserve">Con el fin de evaluar la gestión </w:t>
      </w:r>
      <w:r w:rsidR="004F71E7" w:rsidRPr="00EB0C51">
        <w:rPr>
          <w:rFonts w:cs="Arial"/>
          <w:bCs/>
          <w:color w:val="000000" w:themeColor="text1"/>
        </w:rPr>
        <w:t xml:space="preserve">de la ejecución del </w:t>
      </w:r>
      <w:r w:rsidR="001C7CED" w:rsidRPr="00EB0C51">
        <w:rPr>
          <w:rFonts w:cs="Arial"/>
          <w:bCs/>
          <w:color w:val="000000" w:themeColor="text1"/>
        </w:rPr>
        <w:t xml:space="preserve">Programa Anual Mensualizado de Caja (En adelante PAC) </w:t>
      </w:r>
      <w:r w:rsidR="005514BE" w:rsidRPr="00EB0C51">
        <w:rPr>
          <w:rFonts w:cs="Arial"/>
          <w:bCs/>
          <w:color w:val="000000" w:themeColor="text1"/>
        </w:rPr>
        <w:t xml:space="preserve">se tuvo en cuenta el comportamiento del indicador </w:t>
      </w:r>
      <w:r w:rsidR="00421377" w:rsidRPr="00EB0C51">
        <w:rPr>
          <w:rFonts w:cs="Arial"/>
          <w:bCs/>
          <w:color w:val="000000" w:themeColor="text1"/>
        </w:rPr>
        <w:t xml:space="preserve">INPANUT </w:t>
      </w:r>
      <w:r w:rsidR="009432DC" w:rsidRPr="00EB0C51">
        <w:rPr>
          <w:rFonts w:cs="Arial"/>
          <w:bCs/>
          <w:color w:val="000000" w:themeColor="text1"/>
        </w:rPr>
        <w:t xml:space="preserve">el cual proporciona información acerca de la eficiencia en el uso de los recursos asignados </w:t>
      </w:r>
      <w:r w:rsidR="00445357" w:rsidRPr="00EB0C51">
        <w:rPr>
          <w:rFonts w:cs="Arial"/>
          <w:bCs/>
          <w:color w:val="000000" w:themeColor="text1"/>
        </w:rPr>
        <w:t xml:space="preserve">y mejorar </w:t>
      </w:r>
      <w:r w:rsidR="009432DC" w:rsidRPr="00EB0C51">
        <w:rPr>
          <w:rFonts w:cs="Arial"/>
          <w:bCs/>
          <w:color w:val="000000" w:themeColor="text1"/>
        </w:rPr>
        <w:t>la toma de decisiones en la asignación del PAC</w:t>
      </w:r>
      <w:r w:rsidR="00434AA5" w:rsidRPr="00EB0C51">
        <w:rPr>
          <w:rFonts w:cs="Arial"/>
          <w:bCs/>
          <w:color w:val="000000" w:themeColor="text1"/>
        </w:rPr>
        <w:t>;</w:t>
      </w:r>
      <w:r w:rsidR="005514BE" w:rsidRPr="00EB0C51">
        <w:rPr>
          <w:rFonts w:cs="Arial"/>
          <w:bCs/>
          <w:color w:val="000000" w:themeColor="text1"/>
        </w:rPr>
        <w:t xml:space="preserve"> por lo que se solicit</w:t>
      </w:r>
      <w:r w:rsidR="00913AE9" w:rsidRPr="00EB0C51">
        <w:rPr>
          <w:rFonts w:cs="Arial"/>
          <w:bCs/>
          <w:color w:val="000000" w:themeColor="text1"/>
        </w:rPr>
        <w:t>aron</w:t>
      </w:r>
      <w:r w:rsidR="005514BE" w:rsidRPr="00EB0C51">
        <w:rPr>
          <w:rFonts w:cs="Arial"/>
          <w:bCs/>
          <w:color w:val="000000" w:themeColor="text1"/>
        </w:rPr>
        <w:t xml:space="preserve"> al Grupo PAC del MHCP </w:t>
      </w:r>
      <w:r w:rsidR="00913AE9" w:rsidRPr="00EB0C51">
        <w:rPr>
          <w:rFonts w:cs="Arial"/>
          <w:bCs/>
          <w:color w:val="000000" w:themeColor="text1"/>
        </w:rPr>
        <w:t>las</w:t>
      </w:r>
      <w:r w:rsidR="005514BE" w:rsidRPr="00EB0C51">
        <w:rPr>
          <w:rFonts w:cs="Arial"/>
          <w:bCs/>
          <w:color w:val="000000" w:themeColor="text1"/>
        </w:rPr>
        <w:t xml:space="preserve"> medici</w:t>
      </w:r>
      <w:r w:rsidR="00913AE9" w:rsidRPr="00EB0C51">
        <w:rPr>
          <w:rFonts w:cs="Arial"/>
          <w:bCs/>
          <w:color w:val="000000" w:themeColor="text1"/>
        </w:rPr>
        <w:t>ones</w:t>
      </w:r>
      <w:r w:rsidR="005514BE" w:rsidRPr="00EB0C51">
        <w:rPr>
          <w:rFonts w:cs="Arial"/>
          <w:bCs/>
          <w:color w:val="000000" w:themeColor="text1"/>
        </w:rPr>
        <w:t xml:space="preserve"> del indicador</w:t>
      </w:r>
      <w:r w:rsidR="00434AA5" w:rsidRPr="00EB0C51">
        <w:rPr>
          <w:rFonts w:cs="Arial"/>
          <w:bCs/>
          <w:color w:val="000000" w:themeColor="text1"/>
        </w:rPr>
        <w:t xml:space="preserve"> </w:t>
      </w:r>
      <w:r w:rsidR="00421377" w:rsidRPr="00EB0C51">
        <w:rPr>
          <w:rFonts w:cs="Arial"/>
          <w:bCs/>
          <w:color w:val="000000" w:themeColor="text1"/>
        </w:rPr>
        <w:t>de</w:t>
      </w:r>
      <w:r w:rsidR="00AB4AB4" w:rsidRPr="00EB0C51">
        <w:rPr>
          <w:rFonts w:cs="Arial"/>
          <w:bCs/>
          <w:color w:val="000000" w:themeColor="text1"/>
        </w:rPr>
        <w:t xml:space="preserve"> la Entidad, correspondiente</w:t>
      </w:r>
      <w:r w:rsidR="00A24518" w:rsidRPr="00EB0C51">
        <w:rPr>
          <w:rFonts w:cs="Arial"/>
          <w:bCs/>
          <w:color w:val="000000" w:themeColor="text1"/>
        </w:rPr>
        <w:t>s</w:t>
      </w:r>
      <w:r w:rsidR="00AB4AB4" w:rsidRPr="00EB0C51">
        <w:rPr>
          <w:rFonts w:cs="Arial"/>
          <w:bCs/>
          <w:color w:val="000000" w:themeColor="text1"/>
        </w:rPr>
        <w:t xml:space="preserve"> al primer semestre de la vigencia 2021 </w:t>
      </w:r>
      <w:r w:rsidR="00C100FF" w:rsidRPr="00EB0C51">
        <w:rPr>
          <w:rFonts w:cs="Arial"/>
          <w:bCs/>
          <w:color w:val="000000" w:themeColor="text1"/>
        </w:rPr>
        <w:t xml:space="preserve">y se identificaron </w:t>
      </w:r>
      <w:r w:rsidR="00596CBA" w:rsidRPr="00EB0C51">
        <w:rPr>
          <w:rFonts w:cs="Arial"/>
          <w:bCs/>
          <w:color w:val="000000" w:themeColor="text1"/>
        </w:rPr>
        <w:t>aquellos objeto</w:t>
      </w:r>
      <w:r w:rsidR="00A24518" w:rsidRPr="00EB0C51">
        <w:rPr>
          <w:rFonts w:cs="Arial"/>
          <w:bCs/>
          <w:color w:val="000000" w:themeColor="text1"/>
        </w:rPr>
        <w:t>s</w:t>
      </w:r>
      <w:r w:rsidR="00596CBA" w:rsidRPr="00EB0C51">
        <w:rPr>
          <w:rFonts w:cs="Arial"/>
          <w:bCs/>
          <w:color w:val="000000" w:themeColor="text1"/>
        </w:rPr>
        <w:t xml:space="preserve"> de gasto</w:t>
      </w:r>
      <w:r w:rsidR="00A24518" w:rsidRPr="00EB0C51">
        <w:rPr>
          <w:rFonts w:cs="Arial"/>
          <w:bCs/>
          <w:color w:val="000000" w:themeColor="text1"/>
        </w:rPr>
        <w:t>s</w:t>
      </w:r>
      <w:r w:rsidR="00596CBA" w:rsidRPr="00EB0C51">
        <w:rPr>
          <w:rFonts w:cs="Arial"/>
          <w:bCs/>
          <w:color w:val="000000" w:themeColor="text1"/>
        </w:rPr>
        <w:t xml:space="preserve"> que de enero a junio su</w:t>
      </w:r>
      <w:r w:rsidR="00255A87" w:rsidRPr="00EB0C51">
        <w:rPr>
          <w:rFonts w:cs="Arial"/>
          <w:bCs/>
          <w:color w:val="000000" w:themeColor="text1"/>
        </w:rPr>
        <w:t xml:space="preserve">peraron los </w:t>
      </w:r>
      <w:r w:rsidR="00484362" w:rsidRPr="00EB0C51">
        <w:rPr>
          <w:rFonts w:cs="Arial"/>
          <w:bCs/>
          <w:color w:val="000000" w:themeColor="text1"/>
        </w:rPr>
        <w:t>límites de no uso</w:t>
      </w:r>
      <w:r w:rsidR="00A24518" w:rsidRPr="00EB0C51">
        <w:rPr>
          <w:rFonts w:cs="Arial"/>
          <w:bCs/>
          <w:color w:val="000000" w:themeColor="text1"/>
        </w:rPr>
        <w:t xml:space="preserve"> de PAC</w:t>
      </w:r>
      <w:r w:rsidR="00484362" w:rsidRPr="00EB0C51">
        <w:rPr>
          <w:rFonts w:cs="Arial"/>
          <w:bCs/>
          <w:color w:val="000000" w:themeColor="text1"/>
        </w:rPr>
        <w:t xml:space="preserve"> </w:t>
      </w:r>
      <w:r w:rsidR="00A24518" w:rsidRPr="00EB0C51">
        <w:rPr>
          <w:rFonts w:cs="Arial"/>
          <w:bCs/>
          <w:color w:val="000000" w:themeColor="text1"/>
        </w:rPr>
        <w:t xml:space="preserve">establecidos, </w:t>
      </w:r>
      <w:r w:rsidR="0067043D" w:rsidRPr="00EB0C51">
        <w:rPr>
          <w:rFonts w:cs="Arial"/>
          <w:bCs/>
          <w:color w:val="000000" w:themeColor="text1"/>
        </w:rPr>
        <w:t>resultado de</w:t>
      </w:r>
      <w:r w:rsidR="00BB78A2" w:rsidRPr="00EB0C51">
        <w:rPr>
          <w:rFonts w:cs="Arial"/>
          <w:bCs/>
          <w:color w:val="000000" w:themeColor="text1"/>
        </w:rPr>
        <w:t xml:space="preserve"> efectuar citada identificación</w:t>
      </w:r>
      <w:r w:rsidR="0067043D" w:rsidRPr="00EB0C51">
        <w:rPr>
          <w:rFonts w:cs="Arial"/>
          <w:bCs/>
          <w:color w:val="000000" w:themeColor="text1"/>
        </w:rPr>
        <w:t xml:space="preserve">, se observó que con relación al rezago presupuestal un </w:t>
      </w:r>
      <w:r w:rsidR="005B3AA3" w:rsidRPr="00EB0C51">
        <w:rPr>
          <w:rFonts w:cs="Arial"/>
          <w:bCs/>
          <w:color w:val="000000" w:themeColor="text1"/>
        </w:rPr>
        <w:t xml:space="preserve">(1) </w:t>
      </w:r>
      <w:r w:rsidR="0067043D" w:rsidRPr="00EB0C51">
        <w:rPr>
          <w:rFonts w:cs="Arial"/>
          <w:bCs/>
          <w:color w:val="000000" w:themeColor="text1"/>
        </w:rPr>
        <w:t xml:space="preserve">objeto de gasto </w:t>
      </w:r>
      <w:r w:rsidR="00BB78A2" w:rsidRPr="00EB0C51">
        <w:rPr>
          <w:rFonts w:cs="Arial"/>
          <w:bCs/>
          <w:color w:val="000000" w:themeColor="text1"/>
        </w:rPr>
        <w:t>de</w:t>
      </w:r>
      <w:r w:rsidR="0067043D" w:rsidRPr="00EB0C51">
        <w:rPr>
          <w:rFonts w:cs="Arial"/>
          <w:bCs/>
          <w:color w:val="000000" w:themeColor="text1"/>
        </w:rPr>
        <w:t xml:space="preserve"> marzo superó el límite</w:t>
      </w:r>
      <w:r w:rsidR="00BB78A2" w:rsidRPr="00EB0C51">
        <w:rPr>
          <w:rFonts w:cs="Arial"/>
          <w:bCs/>
          <w:color w:val="000000" w:themeColor="text1"/>
        </w:rPr>
        <w:t xml:space="preserve"> estipulado</w:t>
      </w:r>
      <w:r w:rsidR="00370947" w:rsidRPr="00EB0C51">
        <w:rPr>
          <w:rFonts w:cs="Arial"/>
          <w:bCs/>
          <w:color w:val="000000" w:themeColor="text1"/>
        </w:rPr>
        <w:t>. F</w:t>
      </w:r>
      <w:r w:rsidR="00C01648" w:rsidRPr="00EB0C51">
        <w:rPr>
          <w:rFonts w:cs="Arial"/>
          <w:bCs/>
          <w:color w:val="000000" w:themeColor="text1"/>
        </w:rPr>
        <w:t>rente al PAC de la vigencia actual</w:t>
      </w:r>
      <w:r w:rsidR="00370947" w:rsidRPr="00EB0C51">
        <w:rPr>
          <w:rFonts w:cs="Arial"/>
          <w:bCs/>
          <w:color w:val="000000" w:themeColor="text1"/>
        </w:rPr>
        <w:t xml:space="preserve">, </w:t>
      </w:r>
      <w:r w:rsidR="00C01648" w:rsidRPr="00EB0C51">
        <w:rPr>
          <w:rFonts w:cs="Arial"/>
          <w:bCs/>
          <w:color w:val="000000" w:themeColor="text1"/>
        </w:rPr>
        <w:t xml:space="preserve"> diez (10) </w:t>
      </w:r>
      <w:r w:rsidR="00370947" w:rsidRPr="00EB0C51">
        <w:rPr>
          <w:rFonts w:cs="Arial"/>
          <w:bCs/>
          <w:color w:val="000000" w:themeColor="text1"/>
        </w:rPr>
        <w:t xml:space="preserve">objetos de gasto </w:t>
      </w:r>
      <w:r w:rsidR="00C01648" w:rsidRPr="00EB0C51">
        <w:rPr>
          <w:rFonts w:cs="Arial"/>
          <w:bCs/>
          <w:color w:val="000000" w:themeColor="text1"/>
        </w:rPr>
        <w:t xml:space="preserve">de diferentes meses superaron </w:t>
      </w:r>
      <w:r w:rsidR="00370947" w:rsidRPr="00EB0C51">
        <w:rPr>
          <w:rFonts w:cs="Arial"/>
          <w:bCs/>
          <w:color w:val="000000" w:themeColor="text1"/>
        </w:rPr>
        <w:t>mencionados</w:t>
      </w:r>
      <w:r w:rsidR="00C01648" w:rsidRPr="00EB0C51">
        <w:rPr>
          <w:rFonts w:cs="Arial"/>
          <w:bCs/>
          <w:color w:val="000000" w:themeColor="text1"/>
        </w:rPr>
        <w:t xml:space="preserve"> límites; por lo anterior, se solicitó a la Subdirección </w:t>
      </w:r>
      <w:r w:rsidR="006C44E5" w:rsidRPr="00EB0C51">
        <w:rPr>
          <w:rFonts w:cs="Arial"/>
          <w:bCs/>
          <w:color w:val="000000" w:themeColor="text1"/>
        </w:rPr>
        <w:t>F</w:t>
      </w:r>
      <w:r w:rsidR="00C01648" w:rsidRPr="00EB0C51">
        <w:rPr>
          <w:rFonts w:cs="Arial"/>
          <w:bCs/>
          <w:color w:val="000000" w:themeColor="text1"/>
        </w:rPr>
        <w:t>inanciera</w:t>
      </w:r>
      <w:r w:rsidR="00FA152E" w:rsidRPr="00EB0C51">
        <w:rPr>
          <w:rFonts w:cs="Arial"/>
          <w:bCs/>
          <w:color w:val="000000" w:themeColor="text1"/>
        </w:rPr>
        <w:t xml:space="preserve"> información frente a la razón p</w:t>
      </w:r>
      <w:r w:rsidR="006C44E5" w:rsidRPr="00EB0C51">
        <w:rPr>
          <w:rFonts w:cs="Arial"/>
          <w:bCs/>
          <w:color w:val="000000" w:themeColor="text1"/>
        </w:rPr>
        <w:t>or la que se presentó la situación descrita;</w:t>
      </w:r>
      <w:r w:rsidR="00F563E2" w:rsidRPr="00EB0C51">
        <w:rPr>
          <w:rFonts w:cs="Arial"/>
          <w:bCs/>
          <w:color w:val="000000" w:themeColor="text1"/>
        </w:rPr>
        <w:t xml:space="preserve"> l</w:t>
      </w:r>
      <w:r w:rsidR="00FA152E" w:rsidRPr="00EB0C51">
        <w:rPr>
          <w:rFonts w:cs="Arial"/>
          <w:bCs/>
          <w:color w:val="000000" w:themeColor="text1"/>
        </w:rPr>
        <w:t xml:space="preserve">as tablas </w:t>
      </w:r>
      <w:r w:rsidR="00C01648" w:rsidRPr="00EB0C51">
        <w:rPr>
          <w:rFonts w:cs="Arial"/>
          <w:bCs/>
          <w:color w:val="000000" w:themeColor="text1"/>
        </w:rPr>
        <w:t xml:space="preserve"> </w:t>
      </w:r>
      <w:r w:rsidR="007C7E19" w:rsidRPr="00EB0C51">
        <w:rPr>
          <w:rFonts w:cs="Arial"/>
          <w:bCs/>
          <w:color w:val="000000" w:themeColor="text1"/>
        </w:rPr>
        <w:t xml:space="preserve">No. 10 y 11 reflejan lo comentado por citada Subdirección. </w:t>
      </w:r>
    </w:p>
    <w:p w14:paraId="60DB6E9A" w14:textId="22A56759" w:rsidR="00FA152E" w:rsidRPr="00EB0C51" w:rsidRDefault="00EF5611" w:rsidP="006F12FE">
      <w:pPr>
        <w:jc w:val="both"/>
        <w:rPr>
          <w:rFonts w:cs="Arial"/>
          <w:bCs/>
          <w:color w:val="000000" w:themeColor="text1"/>
        </w:rPr>
      </w:pPr>
      <w:r w:rsidRPr="00EB0C51">
        <w:rPr>
          <w:rFonts w:cs="Arial"/>
          <w:b/>
          <w:color w:val="000000" w:themeColor="text1"/>
        </w:rPr>
        <w:lastRenderedPageBreak/>
        <w:t>4.2.3</w:t>
      </w:r>
      <w:r w:rsidR="00F06AF6" w:rsidRPr="00EB0C51">
        <w:rPr>
          <w:rFonts w:cs="Arial"/>
          <w:b/>
          <w:color w:val="000000" w:themeColor="text1"/>
        </w:rPr>
        <w:t xml:space="preserve">.1 </w:t>
      </w:r>
      <w:r w:rsidR="006F12FE" w:rsidRPr="00EB0C51">
        <w:rPr>
          <w:rFonts w:cs="Arial"/>
          <w:b/>
          <w:color w:val="000000" w:themeColor="text1"/>
        </w:rPr>
        <w:t xml:space="preserve">Rezago </w:t>
      </w:r>
      <w:r w:rsidRPr="00EB0C51">
        <w:rPr>
          <w:rFonts w:cs="Arial"/>
          <w:b/>
          <w:color w:val="000000" w:themeColor="text1"/>
        </w:rPr>
        <w:t xml:space="preserve">presupuestal </w:t>
      </w:r>
      <w:r w:rsidR="006F12FE" w:rsidRPr="00EB0C51">
        <w:rPr>
          <w:rFonts w:cs="Arial"/>
          <w:b/>
          <w:color w:val="000000" w:themeColor="text1"/>
        </w:rPr>
        <w:t xml:space="preserve">2020 </w:t>
      </w:r>
    </w:p>
    <w:p w14:paraId="631BFB62" w14:textId="77777777" w:rsidR="002453ED" w:rsidRPr="00EB0C51" w:rsidRDefault="002453ED" w:rsidP="006F12FE">
      <w:pPr>
        <w:jc w:val="both"/>
        <w:rPr>
          <w:rFonts w:cs="Arial"/>
          <w:b/>
          <w:color w:val="000000" w:themeColor="text1"/>
          <w:sz w:val="14"/>
          <w:szCs w:val="14"/>
        </w:rPr>
      </w:pPr>
    </w:p>
    <w:p w14:paraId="17C8EFE6" w14:textId="7EFB11D9" w:rsidR="006F12FE" w:rsidRPr="00EB0C51" w:rsidRDefault="00FA152E" w:rsidP="002A5BC4">
      <w:pPr>
        <w:pStyle w:val="Descripcin"/>
        <w:jc w:val="center"/>
        <w:rPr>
          <w:i w:val="0"/>
          <w:iCs w:val="0"/>
          <w:color w:val="000000" w:themeColor="text1"/>
          <w:sz w:val="24"/>
          <w:szCs w:val="24"/>
        </w:rPr>
      </w:pPr>
      <w:r w:rsidRPr="00EB0C51">
        <w:rPr>
          <w:color w:val="000000" w:themeColor="text1"/>
          <w:sz w:val="24"/>
          <w:szCs w:val="24"/>
        </w:rPr>
        <w:t xml:space="preserve">Tabla </w:t>
      </w:r>
      <w:r w:rsidRPr="00EB0C51">
        <w:rPr>
          <w:color w:val="000000" w:themeColor="text1"/>
          <w:sz w:val="24"/>
          <w:szCs w:val="24"/>
        </w:rPr>
        <w:fldChar w:fldCharType="begin"/>
      </w:r>
      <w:r w:rsidRPr="00EB0C51">
        <w:rPr>
          <w:color w:val="000000" w:themeColor="text1"/>
          <w:sz w:val="24"/>
          <w:szCs w:val="24"/>
        </w:rPr>
        <w:instrText xml:space="preserve"> SEQ Tabla \* ARABIC </w:instrText>
      </w:r>
      <w:r w:rsidRPr="00EB0C51">
        <w:rPr>
          <w:color w:val="000000" w:themeColor="text1"/>
          <w:sz w:val="24"/>
          <w:szCs w:val="24"/>
        </w:rPr>
        <w:fldChar w:fldCharType="separate"/>
      </w:r>
      <w:r w:rsidR="000E52FD" w:rsidRPr="00EB0C51">
        <w:rPr>
          <w:noProof/>
          <w:color w:val="000000" w:themeColor="text1"/>
          <w:sz w:val="24"/>
          <w:szCs w:val="24"/>
        </w:rPr>
        <w:t>10</w:t>
      </w:r>
      <w:r w:rsidRPr="00EB0C51">
        <w:rPr>
          <w:color w:val="000000" w:themeColor="text1"/>
          <w:sz w:val="24"/>
          <w:szCs w:val="24"/>
        </w:rPr>
        <w:fldChar w:fldCharType="end"/>
      </w:r>
      <w:r w:rsidR="00A04ADC" w:rsidRPr="00EB0C51">
        <w:rPr>
          <w:color w:val="000000" w:themeColor="text1"/>
          <w:sz w:val="24"/>
          <w:szCs w:val="24"/>
        </w:rPr>
        <w:t xml:space="preserve">. </w:t>
      </w:r>
      <w:r w:rsidR="00A04ADC" w:rsidRPr="00EB0C51">
        <w:rPr>
          <w:i w:val="0"/>
          <w:iCs w:val="0"/>
          <w:color w:val="000000" w:themeColor="text1"/>
          <w:sz w:val="24"/>
          <w:szCs w:val="24"/>
        </w:rPr>
        <w:t>Justificació</w:t>
      </w:r>
      <w:r w:rsidR="00965B02" w:rsidRPr="00EB0C51">
        <w:rPr>
          <w:i w:val="0"/>
          <w:iCs w:val="0"/>
          <w:color w:val="000000" w:themeColor="text1"/>
          <w:sz w:val="24"/>
          <w:szCs w:val="24"/>
        </w:rPr>
        <w:t>n objeto de gasto</w:t>
      </w:r>
      <w:r w:rsidR="00F23845" w:rsidRPr="00EB0C51">
        <w:rPr>
          <w:i w:val="0"/>
          <w:iCs w:val="0"/>
          <w:color w:val="000000" w:themeColor="text1"/>
          <w:sz w:val="24"/>
          <w:szCs w:val="24"/>
        </w:rPr>
        <w:t xml:space="preserve"> que superó el límite </w:t>
      </w:r>
      <w:r w:rsidR="002A5BC4" w:rsidRPr="00EB0C51">
        <w:rPr>
          <w:i w:val="0"/>
          <w:iCs w:val="0"/>
          <w:color w:val="000000" w:themeColor="text1"/>
          <w:sz w:val="24"/>
          <w:szCs w:val="24"/>
        </w:rPr>
        <w:t>de PAC no utilizado</w:t>
      </w:r>
      <w:r w:rsidR="006E479C" w:rsidRPr="00EB0C51">
        <w:rPr>
          <w:i w:val="0"/>
          <w:iCs w:val="0"/>
          <w:color w:val="000000" w:themeColor="text1"/>
          <w:sz w:val="24"/>
          <w:szCs w:val="24"/>
        </w:rPr>
        <w:t>,</w:t>
      </w:r>
      <w:r w:rsidR="00AC737F" w:rsidRPr="00EB0C51">
        <w:rPr>
          <w:i w:val="0"/>
          <w:iCs w:val="0"/>
          <w:color w:val="000000" w:themeColor="text1"/>
          <w:sz w:val="24"/>
          <w:szCs w:val="24"/>
        </w:rPr>
        <w:t xml:space="preserve"> del rezago </w:t>
      </w:r>
      <w:r w:rsidR="006E479C" w:rsidRPr="00EB0C51">
        <w:rPr>
          <w:i w:val="0"/>
          <w:iCs w:val="0"/>
          <w:color w:val="000000" w:themeColor="text1"/>
          <w:sz w:val="24"/>
          <w:szCs w:val="24"/>
        </w:rPr>
        <w:t xml:space="preserve">presupuestal </w:t>
      </w:r>
      <w:r w:rsidR="00AC737F" w:rsidRPr="00EB0C51">
        <w:rPr>
          <w:i w:val="0"/>
          <w:iCs w:val="0"/>
          <w:color w:val="000000" w:themeColor="text1"/>
          <w:sz w:val="24"/>
          <w:szCs w:val="24"/>
        </w:rPr>
        <w:t xml:space="preserve">2020 </w:t>
      </w:r>
    </w:p>
    <w:p w14:paraId="0C50C426" w14:textId="37FFF33F" w:rsidR="002A5BC4" w:rsidRPr="00EB0C51" w:rsidRDefault="002A5BC4" w:rsidP="002A5BC4">
      <w:pPr>
        <w:pStyle w:val="Descripcin"/>
        <w:ind w:left="-993"/>
        <w:rPr>
          <w:rFonts w:cs="Arial"/>
          <w:i w:val="0"/>
          <w:iCs w:val="0"/>
          <w:color w:val="000000" w:themeColor="text1"/>
          <w:sz w:val="20"/>
          <w:szCs w:val="20"/>
        </w:rPr>
      </w:pPr>
      <w:r w:rsidRPr="00EB0C51">
        <w:rPr>
          <w:rFonts w:cs="Arial"/>
          <w:i w:val="0"/>
          <w:iCs w:val="0"/>
          <w:color w:val="000000" w:themeColor="text1"/>
          <w:sz w:val="20"/>
          <w:szCs w:val="20"/>
        </w:rPr>
        <w:t>Cifras expresadas en pesos</w:t>
      </w:r>
    </w:p>
    <w:tbl>
      <w:tblPr>
        <w:tblW w:w="15594" w:type="dxa"/>
        <w:tblInd w:w="-998" w:type="dxa"/>
        <w:tblCellMar>
          <w:left w:w="70" w:type="dxa"/>
          <w:right w:w="70" w:type="dxa"/>
        </w:tblCellMar>
        <w:tblLook w:val="04A0" w:firstRow="1" w:lastRow="0" w:firstColumn="1" w:lastColumn="0" w:noHBand="0" w:noVBand="1"/>
      </w:tblPr>
      <w:tblGrid>
        <w:gridCol w:w="705"/>
        <w:gridCol w:w="2131"/>
        <w:gridCol w:w="851"/>
        <w:gridCol w:w="850"/>
        <w:gridCol w:w="1134"/>
        <w:gridCol w:w="1701"/>
        <w:gridCol w:w="8222"/>
      </w:tblGrid>
      <w:tr w:rsidR="00BC1DC0" w:rsidRPr="00EB0C51" w14:paraId="7E5A5DD2" w14:textId="77777777" w:rsidTr="002453ED">
        <w:trPr>
          <w:trHeight w:val="85"/>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2A5CF08" w14:textId="615902BE" w:rsidR="00BC1DC0" w:rsidRPr="00EB0C51" w:rsidRDefault="002453ED" w:rsidP="00A04ADC">
            <w:pPr>
              <w:rPr>
                <w:rFonts w:cs="Arial"/>
                <w:i/>
                <w:iCs/>
                <w:sz w:val="20"/>
                <w:szCs w:val="20"/>
                <w:lang w:eastAsia="es-CO"/>
              </w:rPr>
            </w:pPr>
            <w:r w:rsidRPr="00EB0C51">
              <w:rPr>
                <w:rFonts w:cs="Arial"/>
                <w:i/>
                <w:iCs/>
                <w:sz w:val="20"/>
                <w:szCs w:val="20"/>
                <w:lang w:eastAsia="es-CO"/>
              </w:rPr>
              <w:t xml:space="preserve"> Ítem</w:t>
            </w:r>
            <w:r w:rsidR="00A04ADC" w:rsidRPr="00EB0C51">
              <w:rPr>
                <w:rFonts w:cs="Arial"/>
                <w:i/>
                <w:iCs/>
                <w:sz w:val="20"/>
                <w:szCs w:val="20"/>
                <w:lang w:eastAsia="es-CO"/>
              </w:rPr>
              <w:t xml:space="preserve"> </w:t>
            </w:r>
          </w:p>
        </w:tc>
        <w:tc>
          <w:tcPr>
            <w:tcW w:w="21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80155" w14:textId="4A5BE67B" w:rsidR="00BC1DC0" w:rsidRPr="00EB0C51" w:rsidRDefault="00BC1DC0" w:rsidP="002058A0">
            <w:pPr>
              <w:jc w:val="center"/>
              <w:rPr>
                <w:rFonts w:cs="Arial"/>
                <w:i/>
                <w:iCs/>
                <w:sz w:val="20"/>
                <w:szCs w:val="20"/>
                <w:lang w:eastAsia="es-CO"/>
              </w:rPr>
            </w:pPr>
            <w:r w:rsidRPr="00EB0C51">
              <w:rPr>
                <w:rFonts w:cs="Arial"/>
                <w:i/>
                <w:iCs/>
                <w:sz w:val="20"/>
                <w:szCs w:val="20"/>
                <w:lang w:eastAsia="es-CO"/>
              </w:rPr>
              <w:t xml:space="preserve">Objeto de Gasto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247C4E3" w14:textId="77777777" w:rsidR="00BC1DC0" w:rsidRPr="00EB0C51" w:rsidRDefault="00BC1DC0" w:rsidP="002058A0">
            <w:pPr>
              <w:jc w:val="center"/>
              <w:rPr>
                <w:rFonts w:cs="Arial"/>
                <w:i/>
                <w:iCs/>
                <w:sz w:val="20"/>
                <w:szCs w:val="20"/>
                <w:lang w:eastAsia="es-CO"/>
              </w:rPr>
            </w:pPr>
            <w:r w:rsidRPr="00EB0C51">
              <w:rPr>
                <w:rFonts w:cs="Arial"/>
                <w:i/>
                <w:iCs/>
                <w:sz w:val="20"/>
                <w:szCs w:val="20"/>
                <w:lang w:eastAsia="es-CO"/>
              </w:rPr>
              <w:t>Mes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591C59" w14:textId="77777777" w:rsidR="00BC1DC0" w:rsidRPr="00EB0C51" w:rsidRDefault="00BC1DC0" w:rsidP="002058A0">
            <w:pPr>
              <w:jc w:val="center"/>
              <w:rPr>
                <w:rFonts w:cs="Arial"/>
                <w:i/>
                <w:iCs/>
                <w:sz w:val="20"/>
                <w:szCs w:val="20"/>
                <w:lang w:eastAsia="es-CO"/>
              </w:rPr>
            </w:pPr>
            <w:r w:rsidRPr="00EB0C51">
              <w:rPr>
                <w:rFonts w:cs="Arial"/>
                <w:i/>
                <w:iCs/>
                <w:sz w:val="20"/>
                <w:szCs w:val="20"/>
                <w:lang w:eastAsia="es-CO"/>
              </w:rPr>
              <w:t>Límite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A13AAE" w14:textId="77777777" w:rsidR="00BC1DC0" w:rsidRPr="00EB0C51" w:rsidRDefault="00BC1DC0" w:rsidP="002058A0">
            <w:pPr>
              <w:jc w:val="center"/>
              <w:rPr>
                <w:rFonts w:cs="Arial"/>
                <w:i/>
                <w:iCs/>
                <w:sz w:val="20"/>
                <w:szCs w:val="20"/>
                <w:lang w:eastAsia="es-CO"/>
              </w:rPr>
            </w:pPr>
            <w:r w:rsidRPr="00EB0C51">
              <w:rPr>
                <w:rFonts w:cs="Arial"/>
                <w:i/>
                <w:iCs/>
                <w:sz w:val="20"/>
                <w:szCs w:val="20"/>
                <w:lang w:eastAsia="es-CO"/>
              </w:rPr>
              <w:t>INPANUT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B54EF78" w14:textId="77777777" w:rsidR="00BC1DC0" w:rsidRPr="00EB0C51" w:rsidRDefault="00BC1DC0" w:rsidP="002058A0">
            <w:pPr>
              <w:jc w:val="center"/>
              <w:rPr>
                <w:rFonts w:cs="Arial"/>
                <w:i/>
                <w:iCs/>
                <w:sz w:val="20"/>
                <w:szCs w:val="20"/>
                <w:lang w:eastAsia="es-CO"/>
              </w:rPr>
            </w:pPr>
            <w:r w:rsidRPr="00EB0C51">
              <w:rPr>
                <w:rFonts w:cs="Arial"/>
                <w:i/>
                <w:iCs/>
                <w:sz w:val="20"/>
                <w:szCs w:val="20"/>
                <w:lang w:eastAsia="es-CO"/>
              </w:rPr>
              <w:t>PAC no utilizado</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14:paraId="2473824C" w14:textId="2CADACBB" w:rsidR="00BC1DC0" w:rsidRPr="00EB0C51" w:rsidRDefault="00C425EC" w:rsidP="002058A0">
            <w:pPr>
              <w:jc w:val="center"/>
              <w:rPr>
                <w:rFonts w:cs="Arial"/>
                <w:i/>
                <w:iCs/>
                <w:sz w:val="22"/>
                <w:szCs w:val="22"/>
                <w:lang w:eastAsia="es-CO"/>
              </w:rPr>
            </w:pPr>
            <w:r w:rsidRPr="00EB0C51">
              <w:rPr>
                <w:rFonts w:cs="Arial"/>
                <w:i/>
                <w:iCs/>
                <w:sz w:val="22"/>
                <w:szCs w:val="22"/>
                <w:lang w:eastAsia="es-CO"/>
              </w:rPr>
              <w:t>Justificación Subdirección Financiera</w:t>
            </w:r>
          </w:p>
        </w:tc>
      </w:tr>
      <w:tr w:rsidR="00BC1DC0" w:rsidRPr="00EB0C51" w14:paraId="62F51E49" w14:textId="77777777" w:rsidTr="002453ED">
        <w:trPr>
          <w:trHeight w:val="2625"/>
        </w:trPr>
        <w:tc>
          <w:tcPr>
            <w:tcW w:w="705" w:type="dxa"/>
            <w:tcBorders>
              <w:top w:val="nil"/>
              <w:left w:val="single" w:sz="4" w:space="0" w:color="auto"/>
              <w:bottom w:val="single" w:sz="4" w:space="0" w:color="auto"/>
              <w:right w:val="single" w:sz="4" w:space="0" w:color="auto"/>
            </w:tcBorders>
            <w:shd w:val="clear" w:color="000000" w:fill="FFFFFF"/>
          </w:tcPr>
          <w:p w14:paraId="3B5F9A1B" w14:textId="77777777" w:rsidR="00BC1DC0" w:rsidRPr="00EB0C51" w:rsidRDefault="00BC1DC0" w:rsidP="002058A0">
            <w:pPr>
              <w:jc w:val="center"/>
              <w:rPr>
                <w:rFonts w:cs="Arial"/>
                <w:color w:val="000000"/>
                <w:sz w:val="20"/>
                <w:szCs w:val="20"/>
                <w:lang w:eastAsia="es-CO"/>
              </w:rPr>
            </w:pPr>
          </w:p>
          <w:p w14:paraId="09B2BC5F" w14:textId="77777777" w:rsidR="00A04ADC" w:rsidRPr="00EB0C51" w:rsidRDefault="00A04ADC" w:rsidP="002058A0">
            <w:pPr>
              <w:jc w:val="center"/>
              <w:rPr>
                <w:rFonts w:cs="Arial"/>
                <w:color w:val="000000"/>
                <w:sz w:val="20"/>
                <w:szCs w:val="20"/>
                <w:lang w:eastAsia="es-CO"/>
              </w:rPr>
            </w:pPr>
          </w:p>
          <w:p w14:paraId="4846D9B7" w14:textId="77777777" w:rsidR="00A04ADC" w:rsidRPr="00EB0C51" w:rsidRDefault="00A04ADC" w:rsidP="002058A0">
            <w:pPr>
              <w:jc w:val="center"/>
              <w:rPr>
                <w:rFonts w:cs="Arial"/>
                <w:color w:val="000000"/>
                <w:sz w:val="20"/>
                <w:szCs w:val="20"/>
                <w:lang w:eastAsia="es-CO"/>
              </w:rPr>
            </w:pPr>
          </w:p>
          <w:p w14:paraId="656767D1" w14:textId="77777777" w:rsidR="00A04ADC" w:rsidRPr="00EB0C51" w:rsidRDefault="00A04ADC" w:rsidP="002058A0">
            <w:pPr>
              <w:jc w:val="center"/>
              <w:rPr>
                <w:rFonts w:cs="Arial"/>
                <w:color w:val="000000"/>
                <w:sz w:val="20"/>
                <w:szCs w:val="20"/>
                <w:lang w:eastAsia="es-CO"/>
              </w:rPr>
            </w:pPr>
          </w:p>
          <w:p w14:paraId="58F7B62C" w14:textId="77777777" w:rsidR="00A04ADC" w:rsidRPr="00EB0C51" w:rsidRDefault="00A04ADC" w:rsidP="002058A0">
            <w:pPr>
              <w:jc w:val="center"/>
              <w:rPr>
                <w:rFonts w:cs="Arial"/>
                <w:color w:val="000000"/>
                <w:sz w:val="20"/>
                <w:szCs w:val="20"/>
                <w:lang w:eastAsia="es-CO"/>
              </w:rPr>
            </w:pPr>
          </w:p>
          <w:p w14:paraId="5C932428" w14:textId="77777777" w:rsidR="00A04ADC" w:rsidRPr="00EB0C51" w:rsidRDefault="00A04ADC" w:rsidP="002058A0">
            <w:pPr>
              <w:jc w:val="center"/>
              <w:rPr>
                <w:rFonts w:cs="Arial"/>
                <w:color w:val="000000"/>
                <w:sz w:val="20"/>
                <w:szCs w:val="20"/>
                <w:lang w:eastAsia="es-CO"/>
              </w:rPr>
            </w:pPr>
          </w:p>
          <w:p w14:paraId="50B30BCC" w14:textId="77777777" w:rsidR="00A04ADC" w:rsidRPr="00EB0C51" w:rsidRDefault="00A04ADC" w:rsidP="00A04ADC">
            <w:pPr>
              <w:rPr>
                <w:rFonts w:cs="Arial"/>
                <w:color w:val="000000"/>
                <w:sz w:val="20"/>
                <w:szCs w:val="20"/>
                <w:lang w:eastAsia="es-CO"/>
              </w:rPr>
            </w:pPr>
          </w:p>
          <w:p w14:paraId="4322957A" w14:textId="77777777" w:rsidR="00A04ADC" w:rsidRPr="00EB0C51" w:rsidRDefault="00A04ADC" w:rsidP="002058A0">
            <w:pPr>
              <w:jc w:val="center"/>
              <w:rPr>
                <w:rFonts w:cs="Arial"/>
                <w:color w:val="000000"/>
                <w:sz w:val="20"/>
                <w:szCs w:val="20"/>
                <w:lang w:eastAsia="es-CO"/>
              </w:rPr>
            </w:pPr>
            <w:r w:rsidRPr="00EB0C51">
              <w:rPr>
                <w:rFonts w:cs="Arial"/>
                <w:color w:val="000000"/>
                <w:sz w:val="20"/>
                <w:szCs w:val="20"/>
                <w:lang w:eastAsia="es-CO"/>
              </w:rPr>
              <w:t>1</w:t>
            </w:r>
          </w:p>
          <w:p w14:paraId="4FF71B11" w14:textId="2C43E12F" w:rsidR="00A04ADC" w:rsidRPr="00EB0C51" w:rsidRDefault="00A04ADC" w:rsidP="002058A0">
            <w:pPr>
              <w:jc w:val="center"/>
              <w:rPr>
                <w:rFonts w:cs="Arial"/>
                <w:color w:val="000000"/>
                <w:sz w:val="20"/>
                <w:szCs w:val="20"/>
                <w:lang w:eastAsia="es-CO"/>
              </w:rPr>
            </w:pPr>
          </w:p>
        </w:tc>
        <w:tc>
          <w:tcPr>
            <w:tcW w:w="2131" w:type="dxa"/>
            <w:tcBorders>
              <w:top w:val="nil"/>
              <w:left w:val="single" w:sz="4" w:space="0" w:color="auto"/>
              <w:bottom w:val="single" w:sz="4" w:space="0" w:color="auto"/>
              <w:right w:val="single" w:sz="4" w:space="0" w:color="auto"/>
            </w:tcBorders>
            <w:shd w:val="clear" w:color="000000" w:fill="FFFFFF"/>
            <w:vAlign w:val="center"/>
            <w:hideMark/>
          </w:tcPr>
          <w:p w14:paraId="6BCE34AD" w14:textId="01A5C805" w:rsidR="00BC1DC0" w:rsidRPr="00EB0C51" w:rsidRDefault="00BC1DC0" w:rsidP="002058A0">
            <w:pPr>
              <w:jc w:val="center"/>
              <w:rPr>
                <w:rFonts w:cs="Arial"/>
                <w:color w:val="000000"/>
                <w:sz w:val="20"/>
                <w:szCs w:val="20"/>
                <w:lang w:eastAsia="es-CO"/>
              </w:rPr>
            </w:pPr>
            <w:r w:rsidRPr="00EB0C51">
              <w:rPr>
                <w:rFonts w:cs="Arial"/>
                <w:color w:val="000000"/>
                <w:sz w:val="20"/>
                <w:szCs w:val="20"/>
                <w:lang w:eastAsia="es-CO"/>
              </w:rPr>
              <w:t>Gastos Generales (2)</w:t>
            </w:r>
          </w:p>
        </w:tc>
        <w:tc>
          <w:tcPr>
            <w:tcW w:w="851" w:type="dxa"/>
            <w:tcBorders>
              <w:top w:val="nil"/>
              <w:left w:val="nil"/>
              <w:bottom w:val="single" w:sz="4" w:space="0" w:color="auto"/>
              <w:right w:val="single" w:sz="4" w:space="0" w:color="auto"/>
            </w:tcBorders>
            <w:shd w:val="clear" w:color="000000" w:fill="FFFFFF"/>
            <w:noWrap/>
            <w:vAlign w:val="center"/>
            <w:hideMark/>
          </w:tcPr>
          <w:p w14:paraId="60C7C68F" w14:textId="77777777" w:rsidR="00BC1DC0" w:rsidRPr="00EB0C51" w:rsidRDefault="00BC1DC0" w:rsidP="00482B8A">
            <w:pPr>
              <w:jc w:val="center"/>
              <w:rPr>
                <w:rFonts w:cs="Arial"/>
                <w:color w:val="000000"/>
                <w:sz w:val="20"/>
                <w:szCs w:val="20"/>
                <w:lang w:eastAsia="es-CO"/>
              </w:rPr>
            </w:pPr>
            <w:r w:rsidRPr="00EB0C51">
              <w:rPr>
                <w:rFonts w:cs="Arial"/>
                <w:color w:val="000000"/>
                <w:sz w:val="20"/>
                <w:szCs w:val="20"/>
                <w:lang w:eastAsia="es-CO"/>
              </w:rPr>
              <w:t>Marzo</w:t>
            </w:r>
          </w:p>
        </w:tc>
        <w:tc>
          <w:tcPr>
            <w:tcW w:w="850" w:type="dxa"/>
            <w:tcBorders>
              <w:top w:val="nil"/>
              <w:left w:val="nil"/>
              <w:bottom w:val="single" w:sz="4" w:space="0" w:color="auto"/>
              <w:right w:val="single" w:sz="4" w:space="0" w:color="auto"/>
            </w:tcBorders>
            <w:shd w:val="clear" w:color="000000" w:fill="FFFFFF"/>
            <w:vAlign w:val="center"/>
            <w:hideMark/>
          </w:tcPr>
          <w:p w14:paraId="6B194393" w14:textId="77777777" w:rsidR="00BC1DC0" w:rsidRPr="00EB0C51" w:rsidRDefault="00BC1DC0" w:rsidP="00482B8A">
            <w:pPr>
              <w:jc w:val="center"/>
              <w:rPr>
                <w:rFonts w:cs="Arial"/>
                <w:i/>
                <w:iCs/>
                <w:color w:val="000000"/>
                <w:sz w:val="20"/>
                <w:szCs w:val="20"/>
                <w:lang w:eastAsia="es-CO"/>
              </w:rPr>
            </w:pPr>
            <w:r w:rsidRPr="00EB0C51">
              <w:rPr>
                <w:rFonts w:cs="Arial"/>
                <w:i/>
                <w:iCs/>
                <w:color w:val="000000"/>
                <w:sz w:val="20"/>
                <w:szCs w:val="20"/>
                <w:lang w:eastAsia="es-C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3424042" w14:textId="77777777" w:rsidR="00BC1DC0" w:rsidRPr="00EB0C51" w:rsidRDefault="00BC1DC0" w:rsidP="00482B8A">
            <w:pPr>
              <w:jc w:val="center"/>
              <w:rPr>
                <w:rFonts w:cs="Arial"/>
                <w:i/>
                <w:iCs/>
                <w:color w:val="000000"/>
                <w:sz w:val="20"/>
                <w:szCs w:val="20"/>
                <w:lang w:eastAsia="es-CO"/>
              </w:rPr>
            </w:pPr>
            <w:r w:rsidRPr="00EB0C51">
              <w:rPr>
                <w:rFonts w:cs="Arial"/>
                <w:i/>
                <w:iCs/>
                <w:color w:val="000000"/>
                <w:sz w:val="20"/>
                <w:szCs w:val="20"/>
                <w:lang w:eastAsia="es-CO"/>
              </w:rPr>
              <w:t>29,90%</w:t>
            </w:r>
          </w:p>
        </w:tc>
        <w:tc>
          <w:tcPr>
            <w:tcW w:w="1701" w:type="dxa"/>
            <w:tcBorders>
              <w:top w:val="nil"/>
              <w:left w:val="nil"/>
              <w:bottom w:val="single" w:sz="4" w:space="0" w:color="auto"/>
              <w:right w:val="single" w:sz="4" w:space="0" w:color="auto"/>
            </w:tcBorders>
            <w:shd w:val="clear" w:color="000000" w:fill="FFFFFF"/>
            <w:noWrap/>
            <w:vAlign w:val="center"/>
            <w:hideMark/>
          </w:tcPr>
          <w:p w14:paraId="5FA80681" w14:textId="2E91DB71" w:rsidR="00BC1DC0" w:rsidRPr="00EB0C51" w:rsidRDefault="00BC1DC0" w:rsidP="00482B8A">
            <w:pPr>
              <w:jc w:val="center"/>
              <w:rPr>
                <w:rFonts w:cs="Arial"/>
                <w:color w:val="000000"/>
                <w:sz w:val="20"/>
                <w:szCs w:val="20"/>
                <w:lang w:eastAsia="es-CO"/>
              </w:rPr>
            </w:pPr>
            <w:r w:rsidRPr="00EB0C51">
              <w:rPr>
                <w:rFonts w:cs="Arial"/>
                <w:color w:val="000000"/>
                <w:sz w:val="20"/>
                <w:szCs w:val="20"/>
                <w:lang w:eastAsia="es-CO"/>
              </w:rPr>
              <w:t>12.027.392</w:t>
            </w:r>
          </w:p>
        </w:tc>
        <w:tc>
          <w:tcPr>
            <w:tcW w:w="8222" w:type="dxa"/>
            <w:tcBorders>
              <w:top w:val="nil"/>
              <w:left w:val="nil"/>
              <w:bottom w:val="single" w:sz="4" w:space="0" w:color="auto"/>
              <w:right w:val="single" w:sz="4" w:space="0" w:color="auto"/>
            </w:tcBorders>
            <w:shd w:val="clear" w:color="000000" w:fill="FFFFFF"/>
            <w:vAlign w:val="center"/>
            <w:hideMark/>
          </w:tcPr>
          <w:p w14:paraId="65A04E52" w14:textId="6FB47041" w:rsidR="00A04ADC" w:rsidRPr="00EB0C51" w:rsidRDefault="00E87B9A" w:rsidP="002058A0">
            <w:pPr>
              <w:jc w:val="both"/>
              <w:rPr>
                <w:rFonts w:cs="Arial"/>
                <w:sz w:val="22"/>
                <w:szCs w:val="22"/>
                <w:lang w:eastAsia="es-CO"/>
              </w:rPr>
            </w:pPr>
            <w:r w:rsidRPr="00EB0C51">
              <w:rPr>
                <w:rFonts w:cs="Arial"/>
                <w:sz w:val="22"/>
                <w:szCs w:val="22"/>
                <w:lang w:eastAsia="es-CO"/>
              </w:rPr>
              <w:t xml:space="preserve">De acuerdo con lo </w:t>
            </w:r>
            <w:r w:rsidR="00F23845" w:rsidRPr="00EB0C51">
              <w:rPr>
                <w:rFonts w:cs="Arial"/>
                <w:sz w:val="22"/>
                <w:szCs w:val="22"/>
                <w:lang w:eastAsia="es-CO"/>
              </w:rPr>
              <w:t>manifestado</w:t>
            </w:r>
            <w:r w:rsidRPr="00EB0C51">
              <w:rPr>
                <w:rFonts w:cs="Arial"/>
                <w:sz w:val="22"/>
                <w:szCs w:val="22"/>
                <w:lang w:eastAsia="es-CO"/>
              </w:rPr>
              <w:t xml:space="preserve"> por la Subdirección Financiera, </w:t>
            </w:r>
            <w:r w:rsidR="00F23845" w:rsidRPr="00EB0C51">
              <w:rPr>
                <w:rFonts w:cs="Arial"/>
                <w:sz w:val="22"/>
                <w:szCs w:val="22"/>
                <w:lang w:eastAsia="es-CO"/>
              </w:rPr>
              <w:t>el saldo corresponde a u</w:t>
            </w:r>
            <w:r w:rsidR="00BC1DC0" w:rsidRPr="00EB0C51">
              <w:rPr>
                <w:rFonts w:cs="Arial"/>
                <w:sz w:val="22"/>
                <w:szCs w:val="22"/>
                <w:lang w:eastAsia="es-CO"/>
              </w:rPr>
              <w:t xml:space="preserve">na obligación  a nombre de la empresa </w:t>
            </w:r>
            <w:r w:rsidR="00BC1DC0" w:rsidRPr="00EB0C51">
              <w:rPr>
                <w:rFonts w:cs="Arial"/>
                <w:i/>
                <w:iCs/>
                <w:sz w:val="22"/>
                <w:szCs w:val="22"/>
                <w:lang w:eastAsia="es-CO"/>
              </w:rPr>
              <w:t>PRODUCTOS DE SEGURIDAD S.A - EN REORGANIZACION</w:t>
            </w:r>
            <w:r w:rsidR="00BC1DC0" w:rsidRPr="00EB0C51">
              <w:rPr>
                <w:rFonts w:cs="Arial"/>
                <w:sz w:val="22"/>
                <w:szCs w:val="22"/>
                <w:lang w:eastAsia="es-CO"/>
              </w:rPr>
              <w:t xml:space="preserve"> por valor de 11.815.997 </w:t>
            </w:r>
            <w:r w:rsidR="006F666F" w:rsidRPr="00EB0C51">
              <w:rPr>
                <w:rFonts w:cs="Arial"/>
                <w:sz w:val="22"/>
                <w:szCs w:val="22"/>
                <w:lang w:eastAsia="es-CO"/>
              </w:rPr>
              <w:t>cuyo pago no se</w:t>
            </w:r>
            <w:r w:rsidR="00BC1DC0" w:rsidRPr="00EB0C51">
              <w:rPr>
                <w:rFonts w:cs="Arial"/>
                <w:sz w:val="22"/>
                <w:szCs w:val="22"/>
                <w:lang w:eastAsia="es-CO"/>
              </w:rPr>
              <w:t xml:space="preserve"> atendió </w:t>
            </w:r>
            <w:r w:rsidR="006F666F" w:rsidRPr="00EB0C51">
              <w:rPr>
                <w:rFonts w:cs="Arial"/>
                <w:sz w:val="22"/>
                <w:szCs w:val="22"/>
                <w:lang w:eastAsia="es-CO"/>
              </w:rPr>
              <w:t>debido a la falta de</w:t>
            </w:r>
            <w:r w:rsidR="00BC1DC0" w:rsidRPr="00EB0C51">
              <w:rPr>
                <w:rFonts w:cs="Arial"/>
                <w:sz w:val="22"/>
                <w:szCs w:val="22"/>
                <w:lang w:eastAsia="es-CO"/>
              </w:rPr>
              <w:t xml:space="preserve"> claridad </w:t>
            </w:r>
            <w:r w:rsidR="009672CD" w:rsidRPr="00EB0C51">
              <w:rPr>
                <w:rFonts w:cs="Arial"/>
                <w:sz w:val="22"/>
                <w:szCs w:val="22"/>
                <w:lang w:eastAsia="es-CO"/>
              </w:rPr>
              <w:t xml:space="preserve">frente al </w:t>
            </w:r>
            <w:r w:rsidR="00BC1DC0" w:rsidRPr="00EB0C51">
              <w:rPr>
                <w:rFonts w:cs="Arial"/>
                <w:sz w:val="22"/>
                <w:szCs w:val="22"/>
                <w:lang w:eastAsia="es-CO"/>
              </w:rPr>
              <w:t>soporte para afectar la retención del ICA del municipio de Cota</w:t>
            </w:r>
            <w:r w:rsidR="009672CD" w:rsidRPr="00EB0C51">
              <w:rPr>
                <w:rFonts w:cs="Arial"/>
                <w:sz w:val="22"/>
                <w:szCs w:val="22"/>
                <w:lang w:eastAsia="es-CO"/>
              </w:rPr>
              <w:t>. La</w:t>
            </w:r>
            <w:r w:rsidR="00BC1DC0" w:rsidRPr="00EB0C51">
              <w:rPr>
                <w:rFonts w:cs="Arial"/>
                <w:sz w:val="22"/>
                <w:szCs w:val="22"/>
                <w:lang w:eastAsia="es-CO"/>
              </w:rPr>
              <w:t xml:space="preserve"> empresa presentó un cuadro no oficial en </w:t>
            </w:r>
            <w:r w:rsidRPr="00EB0C51">
              <w:rPr>
                <w:rFonts w:cs="Arial"/>
                <w:sz w:val="22"/>
                <w:szCs w:val="22"/>
                <w:lang w:eastAsia="es-CO"/>
              </w:rPr>
              <w:t xml:space="preserve">formato </w:t>
            </w:r>
            <w:r w:rsidR="00BC1DC0" w:rsidRPr="00EB0C51">
              <w:rPr>
                <w:rFonts w:cs="Arial"/>
                <w:sz w:val="22"/>
                <w:szCs w:val="22"/>
                <w:lang w:eastAsia="es-CO"/>
              </w:rPr>
              <w:t xml:space="preserve">Excel, y en consecuencia, se solicitó </w:t>
            </w:r>
            <w:r w:rsidRPr="00EB0C51">
              <w:rPr>
                <w:rFonts w:cs="Arial"/>
                <w:sz w:val="22"/>
                <w:szCs w:val="22"/>
                <w:lang w:eastAsia="es-CO"/>
              </w:rPr>
              <w:t xml:space="preserve">a la Alcaldía de Cota </w:t>
            </w:r>
            <w:r w:rsidR="00BC1DC0" w:rsidRPr="00EB0C51">
              <w:rPr>
                <w:rFonts w:cs="Arial"/>
                <w:sz w:val="22"/>
                <w:szCs w:val="22"/>
                <w:lang w:eastAsia="es-CO"/>
              </w:rPr>
              <w:t xml:space="preserve">aclaración por escrito </w:t>
            </w:r>
            <w:r w:rsidRPr="00EB0C51">
              <w:rPr>
                <w:rFonts w:cs="Arial"/>
                <w:sz w:val="22"/>
                <w:szCs w:val="22"/>
                <w:lang w:eastAsia="es-CO"/>
              </w:rPr>
              <w:t>sobre el particular</w:t>
            </w:r>
            <w:r w:rsidR="00D76C67" w:rsidRPr="00EB0C51">
              <w:rPr>
                <w:rFonts w:cs="Arial"/>
                <w:sz w:val="22"/>
                <w:szCs w:val="22"/>
                <w:lang w:eastAsia="es-CO"/>
              </w:rPr>
              <w:t xml:space="preserve">, por lo tanto, esa obligación no se pagó en el mes de marzo, no obstante, </w:t>
            </w:r>
            <w:r w:rsidR="00BC1DC0" w:rsidRPr="00EB0C51">
              <w:rPr>
                <w:rFonts w:cs="Arial"/>
                <w:sz w:val="22"/>
                <w:szCs w:val="22"/>
                <w:lang w:eastAsia="es-CO"/>
              </w:rPr>
              <w:t xml:space="preserve"> </w:t>
            </w:r>
            <w:r w:rsidR="00D76C67" w:rsidRPr="00EB0C51">
              <w:rPr>
                <w:rFonts w:cs="Arial"/>
                <w:sz w:val="22"/>
                <w:szCs w:val="22"/>
                <w:lang w:eastAsia="es-CO"/>
              </w:rPr>
              <w:t xml:space="preserve">la </w:t>
            </w:r>
            <w:r w:rsidR="00BC1DC0" w:rsidRPr="00EB0C51">
              <w:rPr>
                <w:rFonts w:cs="Arial"/>
                <w:sz w:val="22"/>
                <w:szCs w:val="22"/>
                <w:lang w:eastAsia="es-CO"/>
              </w:rPr>
              <w:t>situación se subsanó en el mes de abril</w:t>
            </w:r>
            <w:r w:rsidR="00D76C67" w:rsidRPr="00EB0C51">
              <w:rPr>
                <w:rFonts w:cs="Arial"/>
                <w:sz w:val="22"/>
                <w:szCs w:val="22"/>
                <w:lang w:eastAsia="es-CO"/>
              </w:rPr>
              <w:t xml:space="preserve">. </w:t>
            </w:r>
          </w:p>
          <w:p w14:paraId="4C0E7D98" w14:textId="79E6164E" w:rsidR="00BC1DC0" w:rsidRPr="00EB0C51" w:rsidRDefault="00BC1DC0" w:rsidP="002058A0">
            <w:pPr>
              <w:jc w:val="both"/>
              <w:rPr>
                <w:rFonts w:cs="Arial"/>
                <w:sz w:val="22"/>
                <w:szCs w:val="22"/>
                <w:lang w:eastAsia="es-CO"/>
              </w:rPr>
            </w:pPr>
            <w:r w:rsidRPr="00EB0C51">
              <w:rPr>
                <w:rFonts w:cs="Arial"/>
                <w:sz w:val="22"/>
                <w:szCs w:val="22"/>
                <w:lang w:eastAsia="es-CO"/>
              </w:rPr>
              <w:br/>
            </w:r>
            <w:r w:rsidR="00E33F34" w:rsidRPr="00EB0C51">
              <w:rPr>
                <w:rFonts w:cs="Arial"/>
                <w:sz w:val="22"/>
                <w:szCs w:val="22"/>
                <w:lang w:eastAsia="es-CO"/>
              </w:rPr>
              <w:t>E</w:t>
            </w:r>
            <w:r w:rsidRPr="00EB0C51">
              <w:rPr>
                <w:rFonts w:cs="Arial"/>
                <w:sz w:val="22"/>
                <w:szCs w:val="22"/>
                <w:lang w:eastAsia="es-CO"/>
              </w:rPr>
              <w:t xml:space="preserve">l valor de 211.394 de PAC </w:t>
            </w:r>
            <w:r w:rsidR="006E479C" w:rsidRPr="00EB0C51">
              <w:rPr>
                <w:rFonts w:cs="Arial"/>
                <w:sz w:val="22"/>
                <w:szCs w:val="22"/>
                <w:lang w:eastAsia="es-CO"/>
              </w:rPr>
              <w:t>disponible</w:t>
            </w:r>
            <w:r w:rsidRPr="00EB0C51">
              <w:rPr>
                <w:rFonts w:cs="Arial"/>
                <w:sz w:val="22"/>
                <w:szCs w:val="22"/>
                <w:lang w:eastAsia="es-CO"/>
              </w:rPr>
              <w:t xml:space="preserve"> </w:t>
            </w:r>
            <w:r w:rsidR="002141C5" w:rsidRPr="00EB0C51">
              <w:rPr>
                <w:rFonts w:cs="Arial"/>
                <w:sz w:val="22"/>
                <w:szCs w:val="22"/>
                <w:lang w:eastAsia="es-CO"/>
              </w:rPr>
              <w:t xml:space="preserve">corresponde a </w:t>
            </w:r>
            <w:r w:rsidRPr="00EB0C51">
              <w:rPr>
                <w:rFonts w:cs="Arial"/>
                <w:sz w:val="22"/>
                <w:szCs w:val="22"/>
                <w:lang w:eastAsia="es-CO"/>
              </w:rPr>
              <w:t xml:space="preserve">un saldo insuficiente que no </w:t>
            </w:r>
            <w:r w:rsidR="002C2E16" w:rsidRPr="00EB0C51">
              <w:rPr>
                <w:rFonts w:cs="Arial"/>
                <w:sz w:val="22"/>
                <w:szCs w:val="22"/>
                <w:lang w:eastAsia="es-CO"/>
              </w:rPr>
              <w:t xml:space="preserve">se </w:t>
            </w:r>
            <w:r w:rsidRPr="00EB0C51">
              <w:rPr>
                <w:rFonts w:cs="Arial"/>
                <w:sz w:val="22"/>
                <w:szCs w:val="22"/>
                <w:lang w:eastAsia="es-CO"/>
              </w:rPr>
              <w:t xml:space="preserve">ajustó a una obligación para pago dentro del mes de marzo, por </w:t>
            </w:r>
            <w:r w:rsidR="002141C5" w:rsidRPr="00EB0C51">
              <w:rPr>
                <w:rFonts w:cs="Arial"/>
                <w:sz w:val="22"/>
                <w:szCs w:val="22"/>
                <w:lang w:eastAsia="es-CO"/>
              </w:rPr>
              <w:t>lo que</w:t>
            </w:r>
            <w:r w:rsidRPr="00EB0C51">
              <w:rPr>
                <w:rFonts w:cs="Arial"/>
                <w:sz w:val="22"/>
                <w:szCs w:val="22"/>
                <w:lang w:eastAsia="es-CO"/>
              </w:rPr>
              <w:t xml:space="preserve"> quedó como sobrante del mes.</w:t>
            </w:r>
          </w:p>
        </w:tc>
      </w:tr>
    </w:tbl>
    <w:p w14:paraId="2736261C" w14:textId="640EF1B2" w:rsidR="00E303A7" w:rsidRPr="00EB0C51" w:rsidRDefault="002C2E16" w:rsidP="002453ED">
      <w:pPr>
        <w:jc w:val="center"/>
        <w:rPr>
          <w:rFonts w:cs="Arial"/>
          <w:sz w:val="16"/>
          <w:szCs w:val="16"/>
        </w:rP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w:t>
      </w:r>
    </w:p>
    <w:p w14:paraId="10DB6D57" w14:textId="77777777" w:rsidR="00E303A7" w:rsidRPr="00EB0C51" w:rsidRDefault="00E303A7" w:rsidP="002C2E16">
      <w:pPr>
        <w:jc w:val="center"/>
        <w:rPr>
          <w:rFonts w:cs="Arial"/>
          <w:sz w:val="12"/>
          <w:szCs w:val="12"/>
        </w:rPr>
      </w:pPr>
    </w:p>
    <w:p w14:paraId="4CFE625E" w14:textId="38D79C02" w:rsidR="00E303A7" w:rsidRPr="00EB0C51" w:rsidRDefault="00E303A7" w:rsidP="00E303A7">
      <w:pPr>
        <w:jc w:val="both"/>
        <w:rPr>
          <w:rFonts w:cs="Arial"/>
          <w:b/>
          <w:color w:val="000000" w:themeColor="text1"/>
        </w:rPr>
      </w:pPr>
      <w:r w:rsidRPr="00EB0C51">
        <w:rPr>
          <w:rFonts w:cs="Arial"/>
          <w:b/>
          <w:color w:val="000000" w:themeColor="text1"/>
        </w:rPr>
        <w:t>4.2.3.2 Ejecución presupuestal PAC enero a junio 202</w:t>
      </w:r>
      <w:r w:rsidR="008F0284" w:rsidRPr="00EB0C51">
        <w:rPr>
          <w:rFonts w:cs="Arial"/>
          <w:b/>
          <w:color w:val="000000" w:themeColor="text1"/>
        </w:rPr>
        <w:t>1</w:t>
      </w:r>
      <w:r w:rsidRPr="00EB0C51">
        <w:rPr>
          <w:rFonts w:cs="Arial"/>
          <w:b/>
          <w:color w:val="000000" w:themeColor="text1"/>
        </w:rPr>
        <w:t xml:space="preserve"> </w:t>
      </w:r>
    </w:p>
    <w:p w14:paraId="7A046A74" w14:textId="77777777" w:rsidR="000E52FD" w:rsidRPr="00EB0C51" w:rsidRDefault="000E52FD" w:rsidP="00AC737F">
      <w:pPr>
        <w:rPr>
          <w:rFonts w:cs="Arial"/>
          <w:bCs/>
          <w:color w:val="000000" w:themeColor="text1"/>
          <w:sz w:val="12"/>
          <w:szCs w:val="12"/>
        </w:rPr>
      </w:pPr>
    </w:p>
    <w:p w14:paraId="35C2FBDD" w14:textId="0AF2B7E9" w:rsidR="001B1BC8" w:rsidRPr="00EB0C51" w:rsidRDefault="000E52FD" w:rsidP="002453ED">
      <w:pPr>
        <w:pStyle w:val="Descripcin"/>
        <w:jc w:val="center"/>
        <w:rPr>
          <w:i w:val="0"/>
          <w:iCs w:val="0"/>
          <w:color w:val="000000" w:themeColor="text1"/>
          <w:sz w:val="24"/>
          <w:szCs w:val="24"/>
        </w:rPr>
      </w:pPr>
      <w:r w:rsidRPr="00EB0C51">
        <w:rPr>
          <w:color w:val="000000" w:themeColor="text1"/>
          <w:sz w:val="24"/>
          <w:szCs w:val="24"/>
        </w:rPr>
        <w:t xml:space="preserve">Tabla </w:t>
      </w:r>
      <w:r w:rsidRPr="00EB0C51">
        <w:rPr>
          <w:color w:val="000000" w:themeColor="text1"/>
          <w:sz w:val="24"/>
          <w:szCs w:val="24"/>
        </w:rPr>
        <w:fldChar w:fldCharType="begin"/>
      </w:r>
      <w:r w:rsidRPr="00EB0C51">
        <w:rPr>
          <w:color w:val="000000" w:themeColor="text1"/>
          <w:sz w:val="24"/>
          <w:szCs w:val="24"/>
        </w:rPr>
        <w:instrText xml:space="preserve"> SEQ Tabla \* ARABIC </w:instrText>
      </w:r>
      <w:r w:rsidRPr="00EB0C51">
        <w:rPr>
          <w:color w:val="000000" w:themeColor="text1"/>
          <w:sz w:val="24"/>
          <w:szCs w:val="24"/>
        </w:rPr>
        <w:fldChar w:fldCharType="separate"/>
      </w:r>
      <w:r w:rsidRPr="00EB0C51">
        <w:rPr>
          <w:color w:val="000000" w:themeColor="text1"/>
          <w:sz w:val="24"/>
          <w:szCs w:val="24"/>
        </w:rPr>
        <w:t>11</w:t>
      </w:r>
      <w:r w:rsidRPr="00EB0C51">
        <w:rPr>
          <w:color w:val="000000" w:themeColor="text1"/>
          <w:sz w:val="24"/>
          <w:szCs w:val="24"/>
        </w:rPr>
        <w:fldChar w:fldCharType="end"/>
      </w:r>
      <w:r w:rsidRPr="00EB0C51">
        <w:rPr>
          <w:color w:val="000000" w:themeColor="text1"/>
          <w:sz w:val="24"/>
          <w:szCs w:val="24"/>
        </w:rPr>
        <w:t>.</w:t>
      </w:r>
      <w:r w:rsidRPr="00EB0C51">
        <w:t xml:space="preserve">  </w:t>
      </w:r>
      <w:r w:rsidRPr="00EB0C51">
        <w:rPr>
          <w:i w:val="0"/>
          <w:iCs w:val="0"/>
          <w:color w:val="000000" w:themeColor="text1"/>
          <w:sz w:val="24"/>
          <w:szCs w:val="24"/>
        </w:rPr>
        <w:t>Justificación objeto de gasto que superó el límite de PAC no utilizado</w:t>
      </w:r>
      <w:r w:rsidR="006E479C" w:rsidRPr="00EB0C51">
        <w:rPr>
          <w:i w:val="0"/>
          <w:iCs w:val="0"/>
          <w:color w:val="000000" w:themeColor="text1"/>
          <w:sz w:val="24"/>
          <w:szCs w:val="24"/>
        </w:rPr>
        <w:t>,</w:t>
      </w:r>
      <w:r w:rsidR="00AC737F" w:rsidRPr="00EB0C51">
        <w:rPr>
          <w:i w:val="0"/>
          <w:iCs w:val="0"/>
          <w:color w:val="000000" w:themeColor="text1"/>
          <w:sz w:val="24"/>
          <w:szCs w:val="24"/>
        </w:rPr>
        <w:t xml:space="preserve"> de enero a junio de 202</w:t>
      </w:r>
      <w:r w:rsidR="002453ED" w:rsidRPr="00EB0C51">
        <w:rPr>
          <w:i w:val="0"/>
          <w:iCs w:val="0"/>
          <w:color w:val="000000" w:themeColor="text1"/>
          <w:sz w:val="24"/>
          <w:szCs w:val="24"/>
        </w:rPr>
        <w:t>1</w:t>
      </w:r>
    </w:p>
    <w:tbl>
      <w:tblPr>
        <w:tblW w:w="15594" w:type="dxa"/>
        <w:tblInd w:w="-998" w:type="dxa"/>
        <w:tblCellMar>
          <w:left w:w="70" w:type="dxa"/>
          <w:right w:w="70" w:type="dxa"/>
        </w:tblCellMar>
        <w:tblLook w:val="04A0" w:firstRow="1" w:lastRow="0" w:firstColumn="1" w:lastColumn="0" w:noHBand="0" w:noVBand="1"/>
      </w:tblPr>
      <w:tblGrid>
        <w:gridCol w:w="705"/>
        <w:gridCol w:w="2261"/>
        <w:gridCol w:w="774"/>
        <w:gridCol w:w="850"/>
        <w:gridCol w:w="1134"/>
        <w:gridCol w:w="1642"/>
        <w:gridCol w:w="8228"/>
      </w:tblGrid>
      <w:tr w:rsidR="001B1BC8" w:rsidRPr="00EB0C51" w14:paraId="6A3C89CD" w14:textId="77777777" w:rsidTr="00A457EB">
        <w:trPr>
          <w:trHeight w:val="64"/>
          <w:tblHeader/>
        </w:trPr>
        <w:tc>
          <w:tcPr>
            <w:tcW w:w="708" w:type="dxa"/>
            <w:tcBorders>
              <w:top w:val="single" w:sz="4" w:space="0" w:color="auto"/>
              <w:left w:val="single" w:sz="4" w:space="0" w:color="auto"/>
              <w:bottom w:val="single" w:sz="4" w:space="0" w:color="auto"/>
              <w:right w:val="single" w:sz="4" w:space="0" w:color="auto"/>
            </w:tcBorders>
            <w:shd w:val="clear" w:color="000000" w:fill="FFFFFF"/>
          </w:tcPr>
          <w:p w14:paraId="14452F25" w14:textId="77777777" w:rsidR="001B1BC8" w:rsidRPr="00EB0C51" w:rsidRDefault="001B1BC8" w:rsidP="002058A0">
            <w:pPr>
              <w:jc w:val="center"/>
              <w:rPr>
                <w:rFonts w:cs="Arial"/>
                <w:i/>
                <w:iCs/>
                <w:sz w:val="20"/>
                <w:szCs w:val="20"/>
                <w:lang w:eastAsia="es-CO"/>
              </w:rPr>
            </w:pPr>
            <w:r w:rsidRPr="00EB0C51">
              <w:rPr>
                <w:rFonts w:cs="Arial"/>
                <w:i/>
                <w:iCs/>
                <w:sz w:val="20"/>
                <w:szCs w:val="20"/>
                <w:lang w:eastAsia="es-CO"/>
              </w:rPr>
              <w:t>Ítem</w:t>
            </w:r>
          </w:p>
        </w:tc>
        <w:tc>
          <w:tcPr>
            <w:tcW w:w="2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E5A76" w14:textId="77777777" w:rsidR="001B1BC8" w:rsidRPr="00EB0C51" w:rsidRDefault="001B1BC8" w:rsidP="002058A0">
            <w:pPr>
              <w:jc w:val="center"/>
              <w:rPr>
                <w:rFonts w:cs="Arial"/>
                <w:i/>
                <w:iCs/>
                <w:sz w:val="20"/>
                <w:szCs w:val="20"/>
                <w:lang w:eastAsia="es-CO"/>
              </w:rPr>
            </w:pPr>
            <w:r w:rsidRPr="00EB0C51">
              <w:rPr>
                <w:rFonts w:cs="Arial"/>
                <w:i/>
                <w:iCs/>
                <w:sz w:val="20"/>
                <w:szCs w:val="20"/>
                <w:lang w:eastAsia="es-CO"/>
              </w:rPr>
              <w:t xml:space="preserve">Objeto de Gasto </w:t>
            </w:r>
          </w:p>
        </w:tc>
        <w:tc>
          <w:tcPr>
            <w:tcW w:w="691" w:type="dxa"/>
            <w:tcBorders>
              <w:top w:val="single" w:sz="4" w:space="0" w:color="auto"/>
              <w:left w:val="nil"/>
              <w:bottom w:val="single" w:sz="4" w:space="0" w:color="auto"/>
              <w:right w:val="single" w:sz="4" w:space="0" w:color="auto"/>
            </w:tcBorders>
            <w:shd w:val="clear" w:color="000000" w:fill="FFFFFF"/>
            <w:vAlign w:val="center"/>
            <w:hideMark/>
          </w:tcPr>
          <w:p w14:paraId="3651274D" w14:textId="77777777" w:rsidR="001B1BC8" w:rsidRPr="00EB0C51" w:rsidRDefault="001B1BC8" w:rsidP="002058A0">
            <w:pPr>
              <w:jc w:val="center"/>
              <w:rPr>
                <w:rFonts w:cs="Arial"/>
                <w:sz w:val="20"/>
                <w:szCs w:val="20"/>
                <w:lang w:eastAsia="es-CO"/>
              </w:rPr>
            </w:pPr>
            <w:r w:rsidRPr="00EB0C51">
              <w:rPr>
                <w:rFonts w:cs="Arial"/>
                <w:sz w:val="20"/>
                <w:szCs w:val="20"/>
                <w:lang w:eastAsia="es-CO"/>
              </w:rPr>
              <w:t>Mes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5D84EB" w14:textId="77777777" w:rsidR="001B1BC8" w:rsidRPr="00EB0C51" w:rsidRDefault="001B1BC8" w:rsidP="002058A0">
            <w:pPr>
              <w:jc w:val="center"/>
              <w:rPr>
                <w:rFonts w:cs="Arial"/>
                <w:i/>
                <w:iCs/>
                <w:sz w:val="20"/>
                <w:szCs w:val="20"/>
                <w:lang w:eastAsia="es-CO"/>
              </w:rPr>
            </w:pPr>
            <w:r w:rsidRPr="00EB0C51">
              <w:rPr>
                <w:rFonts w:cs="Arial"/>
                <w:i/>
                <w:iCs/>
                <w:sz w:val="20"/>
                <w:szCs w:val="20"/>
                <w:lang w:eastAsia="es-CO"/>
              </w:rPr>
              <w:t>Límite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C1244E" w14:textId="77777777" w:rsidR="001B1BC8" w:rsidRPr="00EB0C51" w:rsidRDefault="001B1BC8" w:rsidP="002058A0">
            <w:pPr>
              <w:jc w:val="center"/>
              <w:rPr>
                <w:rFonts w:cs="Arial"/>
                <w:i/>
                <w:iCs/>
                <w:sz w:val="20"/>
                <w:szCs w:val="20"/>
                <w:lang w:eastAsia="es-CO"/>
              </w:rPr>
            </w:pPr>
            <w:r w:rsidRPr="00EB0C51">
              <w:rPr>
                <w:rFonts w:cs="Arial"/>
                <w:i/>
                <w:iCs/>
                <w:sz w:val="20"/>
                <w:szCs w:val="20"/>
                <w:lang w:eastAsia="es-CO"/>
              </w:rPr>
              <w:t>INPANUT</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649AA49E" w14:textId="77777777" w:rsidR="001B1BC8" w:rsidRPr="00EB0C51" w:rsidRDefault="001B1BC8" w:rsidP="002058A0">
            <w:pPr>
              <w:jc w:val="center"/>
              <w:rPr>
                <w:rFonts w:cs="Arial"/>
                <w:i/>
                <w:iCs/>
                <w:sz w:val="20"/>
                <w:szCs w:val="20"/>
                <w:lang w:eastAsia="es-CO"/>
              </w:rPr>
            </w:pPr>
            <w:r w:rsidRPr="00EB0C51">
              <w:rPr>
                <w:rFonts w:cs="Arial"/>
                <w:i/>
                <w:iCs/>
                <w:sz w:val="20"/>
                <w:szCs w:val="20"/>
                <w:lang w:eastAsia="es-CO"/>
              </w:rPr>
              <w:t>PAC no utilizado</w:t>
            </w:r>
          </w:p>
        </w:tc>
        <w:tc>
          <w:tcPr>
            <w:tcW w:w="8299" w:type="dxa"/>
            <w:tcBorders>
              <w:top w:val="single" w:sz="4" w:space="0" w:color="auto"/>
              <w:left w:val="nil"/>
              <w:bottom w:val="single" w:sz="4" w:space="0" w:color="auto"/>
              <w:right w:val="single" w:sz="4" w:space="0" w:color="auto"/>
            </w:tcBorders>
            <w:shd w:val="clear" w:color="000000" w:fill="FFFFFF"/>
            <w:vAlign w:val="center"/>
            <w:hideMark/>
          </w:tcPr>
          <w:p w14:paraId="1BAA2AE6" w14:textId="78321EBB" w:rsidR="001B1BC8" w:rsidRPr="00EB0C51" w:rsidRDefault="00BB504E" w:rsidP="002058A0">
            <w:pPr>
              <w:jc w:val="center"/>
              <w:rPr>
                <w:rFonts w:cs="Arial"/>
                <w:sz w:val="22"/>
                <w:szCs w:val="22"/>
                <w:lang w:eastAsia="es-CO"/>
              </w:rPr>
            </w:pPr>
            <w:r w:rsidRPr="00EB0C51">
              <w:rPr>
                <w:rFonts w:cs="Arial"/>
                <w:i/>
                <w:iCs/>
                <w:sz w:val="22"/>
                <w:szCs w:val="22"/>
                <w:lang w:eastAsia="es-CO"/>
              </w:rPr>
              <w:t>Justificación Subdirección Financiera</w:t>
            </w:r>
          </w:p>
        </w:tc>
      </w:tr>
      <w:tr w:rsidR="001B1BC8" w:rsidRPr="00EB0C51" w14:paraId="052DB872" w14:textId="77777777" w:rsidTr="00A457EB">
        <w:trPr>
          <w:trHeight w:val="550"/>
        </w:trPr>
        <w:tc>
          <w:tcPr>
            <w:tcW w:w="708" w:type="dxa"/>
            <w:tcBorders>
              <w:top w:val="nil"/>
              <w:left w:val="single" w:sz="4" w:space="0" w:color="auto"/>
              <w:bottom w:val="single" w:sz="4" w:space="0" w:color="auto"/>
              <w:right w:val="single" w:sz="4" w:space="0" w:color="auto"/>
            </w:tcBorders>
            <w:shd w:val="clear" w:color="000000" w:fill="FFFFFF"/>
          </w:tcPr>
          <w:p w14:paraId="2F7F6BEB" w14:textId="77777777" w:rsidR="001B1BC8" w:rsidRPr="00EB0C51" w:rsidRDefault="001B1BC8" w:rsidP="002058A0">
            <w:pPr>
              <w:jc w:val="center"/>
              <w:rPr>
                <w:rFonts w:cs="Arial"/>
                <w:color w:val="000000"/>
                <w:sz w:val="20"/>
                <w:szCs w:val="20"/>
                <w:lang w:eastAsia="es-CO"/>
              </w:rPr>
            </w:pPr>
          </w:p>
          <w:p w14:paraId="465BE62B" w14:textId="77777777" w:rsidR="001B1BC8" w:rsidRPr="00EB0C51" w:rsidRDefault="001B1BC8" w:rsidP="002058A0">
            <w:pPr>
              <w:jc w:val="center"/>
              <w:rPr>
                <w:rFonts w:cs="Arial"/>
                <w:color w:val="000000"/>
                <w:sz w:val="20"/>
                <w:szCs w:val="20"/>
                <w:lang w:eastAsia="es-CO"/>
              </w:rPr>
            </w:pPr>
          </w:p>
          <w:p w14:paraId="4E99EA9E" w14:textId="77777777" w:rsidR="001B1BC8" w:rsidRPr="00EB0C51" w:rsidRDefault="001B1BC8" w:rsidP="002058A0">
            <w:pPr>
              <w:jc w:val="center"/>
              <w:rPr>
                <w:rFonts w:cs="Arial"/>
                <w:color w:val="000000"/>
                <w:sz w:val="20"/>
                <w:szCs w:val="20"/>
                <w:lang w:eastAsia="es-CO"/>
              </w:rPr>
            </w:pPr>
          </w:p>
          <w:p w14:paraId="01CA97ED" w14:textId="77777777" w:rsidR="001B1BC8" w:rsidRPr="00EB0C51" w:rsidRDefault="001B1BC8" w:rsidP="002058A0">
            <w:pPr>
              <w:jc w:val="center"/>
              <w:rPr>
                <w:rFonts w:cs="Arial"/>
                <w:color w:val="000000"/>
                <w:sz w:val="20"/>
                <w:szCs w:val="20"/>
                <w:lang w:eastAsia="es-CO"/>
              </w:rPr>
            </w:pPr>
          </w:p>
          <w:p w14:paraId="5433217C"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1</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48986957"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Gastos Generales (2)</w:t>
            </w:r>
          </w:p>
        </w:tc>
        <w:tc>
          <w:tcPr>
            <w:tcW w:w="691" w:type="dxa"/>
            <w:tcBorders>
              <w:top w:val="nil"/>
              <w:left w:val="nil"/>
              <w:bottom w:val="single" w:sz="4" w:space="0" w:color="auto"/>
              <w:right w:val="single" w:sz="4" w:space="0" w:color="auto"/>
            </w:tcBorders>
            <w:shd w:val="clear" w:color="000000" w:fill="FFFFFF"/>
            <w:noWrap/>
            <w:vAlign w:val="center"/>
            <w:hideMark/>
          </w:tcPr>
          <w:p w14:paraId="1A0E108A"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enero</w:t>
            </w:r>
          </w:p>
        </w:tc>
        <w:tc>
          <w:tcPr>
            <w:tcW w:w="850" w:type="dxa"/>
            <w:tcBorders>
              <w:top w:val="nil"/>
              <w:left w:val="nil"/>
              <w:bottom w:val="single" w:sz="4" w:space="0" w:color="auto"/>
              <w:right w:val="single" w:sz="4" w:space="0" w:color="auto"/>
            </w:tcBorders>
            <w:shd w:val="clear" w:color="000000" w:fill="FFFFFF"/>
            <w:vAlign w:val="center"/>
            <w:hideMark/>
          </w:tcPr>
          <w:p w14:paraId="289D411F" w14:textId="77777777" w:rsidR="001B1BC8" w:rsidRPr="00EB0C51" w:rsidRDefault="001B1BC8" w:rsidP="00482B8A">
            <w:pPr>
              <w:jc w:val="center"/>
              <w:rPr>
                <w:rFonts w:cs="Arial"/>
                <w:i/>
                <w:iCs/>
                <w:color w:val="000000"/>
                <w:sz w:val="20"/>
                <w:szCs w:val="20"/>
                <w:lang w:eastAsia="es-CO"/>
              </w:rPr>
            </w:pPr>
            <w:r w:rsidRPr="00EB0C51">
              <w:rPr>
                <w:rFonts w:cs="Arial"/>
                <w:i/>
                <w:iCs/>
                <w:color w:val="000000"/>
                <w:sz w:val="20"/>
                <w:szCs w:val="20"/>
                <w:lang w:eastAsia="es-C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33D80493" w14:textId="77777777" w:rsidR="001B1BC8" w:rsidRPr="00EB0C51" w:rsidRDefault="001B1BC8" w:rsidP="00482B8A">
            <w:pPr>
              <w:jc w:val="center"/>
              <w:rPr>
                <w:rFonts w:cs="Arial"/>
                <w:i/>
                <w:iCs/>
                <w:color w:val="000000"/>
                <w:sz w:val="20"/>
                <w:szCs w:val="20"/>
                <w:lang w:eastAsia="es-CO"/>
              </w:rPr>
            </w:pPr>
            <w:r w:rsidRPr="00EB0C51">
              <w:rPr>
                <w:rFonts w:cs="Arial"/>
                <w:i/>
                <w:iCs/>
                <w:color w:val="000000"/>
                <w:sz w:val="20"/>
                <w:szCs w:val="20"/>
                <w:lang w:eastAsia="es-CO"/>
              </w:rPr>
              <w:t>60,10%</w:t>
            </w:r>
          </w:p>
        </w:tc>
        <w:tc>
          <w:tcPr>
            <w:tcW w:w="1642" w:type="dxa"/>
            <w:tcBorders>
              <w:top w:val="nil"/>
              <w:left w:val="nil"/>
              <w:bottom w:val="single" w:sz="4" w:space="0" w:color="auto"/>
              <w:right w:val="single" w:sz="4" w:space="0" w:color="auto"/>
            </w:tcBorders>
            <w:shd w:val="clear" w:color="000000" w:fill="FFFFFF"/>
            <w:noWrap/>
            <w:vAlign w:val="center"/>
            <w:hideMark/>
          </w:tcPr>
          <w:p w14:paraId="01344BBB"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363.398.020</w:t>
            </w:r>
          </w:p>
        </w:tc>
        <w:tc>
          <w:tcPr>
            <w:tcW w:w="8299" w:type="dxa"/>
            <w:tcBorders>
              <w:top w:val="nil"/>
              <w:left w:val="nil"/>
              <w:bottom w:val="single" w:sz="4" w:space="0" w:color="auto"/>
              <w:right w:val="single" w:sz="4" w:space="0" w:color="auto"/>
            </w:tcBorders>
            <w:shd w:val="clear" w:color="000000" w:fill="FFFFFF"/>
            <w:vAlign w:val="center"/>
            <w:hideMark/>
          </w:tcPr>
          <w:p w14:paraId="4E49ED9E" w14:textId="3D79DE9C" w:rsidR="001B1BC8" w:rsidRPr="00EB0C51" w:rsidRDefault="00AF2250" w:rsidP="002058A0">
            <w:pPr>
              <w:jc w:val="both"/>
              <w:rPr>
                <w:rFonts w:cs="Arial"/>
                <w:sz w:val="22"/>
                <w:szCs w:val="22"/>
                <w:lang w:eastAsia="es-CO"/>
              </w:rPr>
            </w:pPr>
            <w:r w:rsidRPr="00EB0C51">
              <w:rPr>
                <w:rFonts w:cs="Arial"/>
                <w:sz w:val="22"/>
                <w:szCs w:val="22"/>
                <w:lang w:eastAsia="es-CO"/>
              </w:rPr>
              <w:t>Según lo mencionado por el responsable, s</w:t>
            </w:r>
            <w:r w:rsidR="001B1BC8" w:rsidRPr="00EB0C51">
              <w:rPr>
                <w:rFonts w:cs="Arial"/>
                <w:sz w:val="22"/>
                <w:szCs w:val="22"/>
                <w:lang w:eastAsia="es-CO"/>
              </w:rPr>
              <w:t>e proyectó PAC para atender las Cajas Menores de Viáticos y de Gastos Generales, sin embargo</w:t>
            </w:r>
            <w:r w:rsidRPr="00EB0C51">
              <w:rPr>
                <w:rFonts w:cs="Arial"/>
                <w:sz w:val="22"/>
                <w:szCs w:val="22"/>
                <w:lang w:eastAsia="es-CO"/>
              </w:rPr>
              <w:t>,</w:t>
            </w:r>
            <w:r w:rsidR="001B1BC8" w:rsidRPr="00EB0C51">
              <w:rPr>
                <w:rFonts w:cs="Arial"/>
                <w:sz w:val="22"/>
                <w:szCs w:val="22"/>
                <w:lang w:eastAsia="es-CO"/>
              </w:rPr>
              <w:t xml:space="preserve"> para la presente vigencia fiscal y con ocasión de los efectos </w:t>
            </w:r>
            <w:r w:rsidRPr="00EB0C51">
              <w:rPr>
                <w:rFonts w:cs="Arial"/>
                <w:sz w:val="22"/>
                <w:szCs w:val="22"/>
                <w:lang w:eastAsia="es-CO"/>
              </w:rPr>
              <w:t xml:space="preserve">derivados de la declaratoria </w:t>
            </w:r>
            <w:r w:rsidR="001B1BC8" w:rsidRPr="00EB0C51">
              <w:rPr>
                <w:rFonts w:cs="Arial"/>
                <w:sz w:val="22"/>
                <w:szCs w:val="22"/>
                <w:lang w:eastAsia="es-CO"/>
              </w:rPr>
              <w:t>de la Emergencia Económica, Social y Ecológica por causa del COVID-19, se constituyeron por menor valor.</w:t>
            </w:r>
            <w:r w:rsidR="001B1BC8" w:rsidRPr="00EB0C51">
              <w:rPr>
                <w:rFonts w:cs="Arial"/>
                <w:sz w:val="22"/>
                <w:szCs w:val="22"/>
                <w:lang w:eastAsia="es-CO"/>
              </w:rPr>
              <w:br/>
              <w:t xml:space="preserve">Se proyectó PAC para atender los servicios públicos como Acueducto, ETB, Colombia Telecomunicaciones, Movistar, Comcel, DIRECTV, UNE EPM, Avantel y Codensa,  </w:t>
            </w:r>
            <w:r w:rsidR="000530F5" w:rsidRPr="00EB0C51">
              <w:rPr>
                <w:rFonts w:cs="Arial"/>
                <w:sz w:val="22"/>
                <w:szCs w:val="22"/>
                <w:lang w:eastAsia="es-CO"/>
              </w:rPr>
              <w:t xml:space="preserve">no obstante, </w:t>
            </w:r>
            <w:r w:rsidR="001B1BC8" w:rsidRPr="00EB0C51">
              <w:rPr>
                <w:rFonts w:cs="Arial"/>
                <w:sz w:val="22"/>
                <w:szCs w:val="22"/>
                <w:lang w:eastAsia="es-CO"/>
              </w:rPr>
              <w:t>una vez radicados los documentos para trámite de pago, se observó una disminución en los consumos</w:t>
            </w:r>
            <w:r w:rsidR="00A457EB" w:rsidRPr="00EB0C51">
              <w:rPr>
                <w:rFonts w:cs="Arial"/>
                <w:sz w:val="22"/>
                <w:szCs w:val="22"/>
                <w:lang w:eastAsia="es-CO"/>
              </w:rPr>
              <w:t xml:space="preserve">, </w:t>
            </w:r>
            <w:r w:rsidR="001B1BC8" w:rsidRPr="00EB0C51">
              <w:rPr>
                <w:rFonts w:cs="Arial"/>
                <w:sz w:val="22"/>
                <w:szCs w:val="22"/>
                <w:lang w:eastAsia="es-CO"/>
              </w:rPr>
              <w:t xml:space="preserve">a raíz de la no presencialidad de los </w:t>
            </w:r>
            <w:r w:rsidR="00A457EB" w:rsidRPr="00EB0C51">
              <w:rPr>
                <w:rFonts w:cs="Arial"/>
                <w:sz w:val="22"/>
                <w:szCs w:val="22"/>
                <w:lang w:eastAsia="es-CO"/>
              </w:rPr>
              <w:t>funcionarios las instalaciones de la Entidad,</w:t>
            </w:r>
            <w:r w:rsidR="001B1BC8" w:rsidRPr="00EB0C51">
              <w:rPr>
                <w:rFonts w:cs="Arial"/>
                <w:sz w:val="22"/>
                <w:szCs w:val="22"/>
                <w:lang w:eastAsia="es-CO"/>
              </w:rPr>
              <w:t xml:space="preserve"> por lo que los pagos realizados fueron inferiores a los proyectados. </w:t>
            </w:r>
          </w:p>
        </w:tc>
      </w:tr>
      <w:tr w:rsidR="001B1BC8" w:rsidRPr="00EB0C51" w14:paraId="6ED28394" w14:textId="77777777" w:rsidTr="00A457EB">
        <w:trPr>
          <w:trHeight w:val="60"/>
        </w:trPr>
        <w:tc>
          <w:tcPr>
            <w:tcW w:w="708" w:type="dxa"/>
            <w:tcBorders>
              <w:top w:val="nil"/>
              <w:left w:val="single" w:sz="4" w:space="0" w:color="auto"/>
              <w:bottom w:val="single" w:sz="4" w:space="0" w:color="auto"/>
              <w:right w:val="single" w:sz="4" w:space="0" w:color="auto"/>
            </w:tcBorders>
            <w:shd w:val="clear" w:color="000000" w:fill="FFFFFF"/>
          </w:tcPr>
          <w:p w14:paraId="46099786" w14:textId="77777777" w:rsidR="001B1BC8" w:rsidRPr="00EB0C51" w:rsidRDefault="001B1BC8" w:rsidP="002058A0">
            <w:pPr>
              <w:jc w:val="center"/>
              <w:rPr>
                <w:rFonts w:cs="Arial"/>
                <w:color w:val="000000"/>
                <w:sz w:val="20"/>
                <w:szCs w:val="20"/>
                <w:lang w:eastAsia="es-CO"/>
              </w:rPr>
            </w:pPr>
          </w:p>
          <w:p w14:paraId="7906CCAA" w14:textId="77777777" w:rsidR="001B1BC8" w:rsidRPr="00EB0C51" w:rsidRDefault="001B1BC8" w:rsidP="002058A0">
            <w:pPr>
              <w:jc w:val="center"/>
              <w:rPr>
                <w:rFonts w:cs="Arial"/>
                <w:color w:val="000000"/>
                <w:sz w:val="20"/>
                <w:szCs w:val="20"/>
                <w:lang w:eastAsia="es-CO"/>
              </w:rPr>
            </w:pPr>
          </w:p>
          <w:p w14:paraId="14E67F8F"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2</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69B856B5" w14:textId="77777777" w:rsidR="001B1BC8" w:rsidRPr="00EB0C51" w:rsidRDefault="001B1BC8" w:rsidP="00A457EB">
            <w:pPr>
              <w:rPr>
                <w:rFonts w:cs="Arial"/>
                <w:color w:val="000000"/>
                <w:sz w:val="20"/>
                <w:szCs w:val="20"/>
                <w:lang w:eastAsia="es-CO"/>
              </w:rPr>
            </w:pPr>
            <w:r w:rsidRPr="00EB0C51">
              <w:rPr>
                <w:rFonts w:cs="Arial"/>
                <w:color w:val="000000"/>
                <w:sz w:val="20"/>
                <w:szCs w:val="20"/>
                <w:lang w:eastAsia="es-CO"/>
              </w:rPr>
              <w:t xml:space="preserve">Inversión Ordinaria (8) </w:t>
            </w:r>
          </w:p>
        </w:tc>
        <w:tc>
          <w:tcPr>
            <w:tcW w:w="691" w:type="dxa"/>
            <w:tcBorders>
              <w:top w:val="nil"/>
              <w:left w:val="nil"/>
              <w:bottom w:val="single" w:sz="4" w:space="0" w:color="auto"/>
              <w:right w:val="single" w:sz="4" w:space="0" w:color="auto"/>
            </w:tcBorders>
            <w:shd w:val="clear" w:color="000000" w:fill="FFFFFF"/>
            <w:noWrap/>
            <w:vAlign w:val="center"/>
            <w:hideMark/>
          </w:tcPr>
          <w:p w14:paraId="5FE33BB6"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enero</w:t>
            </w:r>
          </w:p>
        </w:tc>
        <w:tc>
          <w:tcPr>
            <w:tcW w:w="850" w:type="dxa"/>
            <w:tcBorders>
              <w:top w:val="nil"/>
              <w:left w:val="nil"/>
              <w:bottom w:val="single" w:sz="4" w:space="0" w:color="auto"/>
              <w:right w:val="single" w:sz="4" w:space="0" w:color="auto"/>
            </w:tcBorders>
            <w:shd w:val="clear" w:color="000000" w:fill="FFFFFF"/>
            <w:noWrap/>
            <w:vAlign w:val="center"/>
            <w:hideMark/>
          </w:tcPr>
          <w:p w14:paraId="2B76ACC7"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2CF2B35"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82,60%</w:t>
            </w:r>
          </w:p>
        </w:tc>
        <w:tc>
          <w:tcPr>
            <w:tcW w:w="1642" w:type="dxa"/>
            <w:tcBorders>
              <w:top w:val="nil"/>
              <w:left w:val="nil"/>
              <w:bottom w:val="single" w:sz="4" w:space="0" w:color="auto"/>
              <w:right w:val="single" w:sz="4" w:space="0" w:color="auto"/>
            </w:tcBorders>
            <w:shd w:val="clear" w:color="000000" w:fill="FFFFFF"/>
            <w:noWrap/>
            <w:vAlign w:val="center"/>
            <w:hideMark/>
          </w:tcPr>
          <w:p w14:paraId="60B94CB8"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71.250.000</w:t>
            </w:r>
          </w:p>
        </w:tc>
        <w:tc>
          <w:tcPr>
            <w:tcW w:w="8299" w:type="dxa"/>
            <w:tcBorders>
              <w:top w:val="nil"/>
              <w:left w:val="nil"/>
              <w:bottom w:val="single" w:sz="4" w:space="0" w:color="auto"/>
              <w:right w:val="single" w:sz="4" w:space="0" w:color="auto"/>
            </w:tcBorders>
            <w:shd w:val="clear" w:color="000000" w:fill="FFFFFF"/>
            <w:vAlign w:val="center"/>
            <w:hideMark/>
          </w:tcPr>
          <w:p w14:paraId="3FC11F17" w14:textId="41E02503" w:rsidR="001B1BC8" w:rsidRPr="00EB0C51" w:rsidRDefault="00A457EB" w:rsidP="002058A0">
            <w:pPr>
              <w:jc w:val="both"/>
              <w:rPr>
                <w:rFonts w:cs="Arial"/>
                <w:sz w:val="22"/>
                <w:szCs w:val="22"/>
                <w:lang w:eastAsia="es-CO"/>
              </w:rPr>
            </w:pPr>
            <w:r w:rsidRPr="00EB0C51">
              <w:rPr>
                <w:rFonts w:cs="Arial"/>
                <w:sz w:val="22"/>
                <w:szCs w:val="22"/>
                <w:lang w:eastAsia="es-CO"/>
              </w:rPr>
              <w:t>Conforme lo reportado por el responsable, s</w:t>
            </w:r>
            <w:r w:rsidR="001B1BC8" w:rsidRPr="00EB0C51">
              <w:rPr>
                <w:rFonts w:cs="Arial"/>
                <w:sz w:val="22"/>
                <w:szCs w:val="22"/>
                <w:lang w:eastAsia="es-CO"/>
              </w:rPr>
              <w:t>e proyectó PAC para atender la Caja Menor de Viáticos y Gastos de viaje de la Dirección de Apoyo Fiscal, sin embargo</w:t>
            </w:r>
            <w:r w:rsidR="00E41C77" w:rsidRPr="00EB0C51">
              <w:rPr>
                <w:rFonts w:cs="Arial"/>
                <w:sz w:val="22"/>
                <w:szCs w:val="22"/>
                <w:lang w:eastAsia="es-CO"/>
              </w:rPr>
              <w:t>,</w:t>
            </w:r>
            <w:r w:rsidR="001B1BC8" w:rsidRPr="00EB0C51">
              <w:rPr>
                <w:rFonts w:cs="Arial"/>
                <w:sz w:val="22"/>
                <w:szCs w:val="22"/>
                <w:lang w:eastAsia="es-CO"/>
              </w:rPr>
              <w:t xml:space="preserve"> para la presente vigencia fiscal y con ocasión de los efectos de la Emergencia Económica, Social y Ecológica por causa del COVID-19, se constituyó por menor valor.</w:t>
            </w:r>
          </w:p>
        </w:tc>
      </w:tr>
      <w:tr w:rsidR="001B1BC8" w:rsidRPr="00EB0C51" w14:paraId="17D8D48F" w14:textId="77777777" w:rsidTr="00C03649">
        <w:trPr>
          <w:trHeight w:val="1956"/>
        </w:trPr>
        <w:tc>
          <w:tcPr>
            <w:tcW w:w="708" w:type="dxa"/>
            <w:tcBorders>
              <w:top w:val="nil"/>
              <w:left w:val="single" w:sz="4" w:space="0" w:color="auto"/>
              <w:bottom w:val="single" w:sz="4" w:space="0" w:color="auto"/>
              <w:right w:val="single" w:sz="4" w:space="0" w:color="auto"/>
            </w:tcBorders>
            <w:shd w:val="clear" w:color="000000" w:fill="FFFFFF"/>
          </w:tcPr>
          <w:p w14:paraId="1D0EB6E2" w14:textId="77777777" w:rsidR="001B1BC8" w:rsidRPr="00EB0C51" w:rsidRDefault="001B1BC8" w:rsidP="002058A0">
            <w:pPr>
              <w:jc w:val="center"/>
              <w:rPr>
                <w:rFonts w:cs="Arial"/>
                <w:color w:val="000000"/>
                <w:sz w:val="20"/>
                <w:szCs w:val="20"/>
                <w:lang w:eastAsia="es-CO"/>
              </w:rPr>
            </w:pPr>
          </w:p>
          <w:p w14:paraId="588AC827" w14:textId="77777777" w:rsidR="001B1BC8" w:rsidRPr="00EB0C51" w:rsidRDefault="001B1BC8" w:rsidP="002058A0">
            <w:pPr>
              <w:jc w:val="center"/>
              <w:rPr>
                <w:rFonts w:cs="Arial"/>
                <w:color w:val="000000"/>
                <w:sz w:val="20"/>
                <w:szCs w:val="20"/>
                <w:lang w:eastAsia="es-CO"/>
              </w:rPr>
            </w:pPr>
          </w:p>
          <w:p w14:paraId="5F2D6804" w14:textId="77777777" w:rsidR="001B1BC8" w:rsidRPr="00EB0C51" w:rsidRDefault="001B1BC8" w:rsidP="002058A0">
            <w:pPr>
              <w:jc w:val="center"/>
              <w:rPr>
                <w:rFonts w:cs="Arial"/>
                <w:color w:val="000000"/>
                <w:sz w:val="20"/>
                <w:szCs w:val="20"/>
                <w:lang w:eastAsia="es-CO"/>
              </w:rPr>
            </w:pPr>
          </w:p>
          <w:p w14:paraId="6BFC5836" w14:textId="4F1FE699" w:rsidR="001B1BC8" w:rsidRPr="00EB0C51" w:rsidRDefault="001B1BC8" w:rsidP="002058A0">
            <w:pPr>
              <w:jc w:val="center"/>
              <w:rPr>
                <w:rFonts w:cs="Arial"/>
                <w:color w:val="000000"/>
                <w:sz w:val="20"/>
                <w:szCs w:val="20"/>
                <w:lang w:eastAsia="es-CO"/>
              </w:rPr>
            </w:pPr>
          </w:p>
          <w:p w14:paraId="15DE6C6D" w14:textId="77777777" w:rsidR="00C608E8" w:rsidRPr="00EB0C51" w:rsidRDefault="00C608E8" w:rsidP="002058A0">
            <w:pPr>
              <w:jc w:val="center"/>
              <w:rPr>
                <w:rFonts w:cs="Arial"/>
                <w:color w:val="000000"/>
                <w:sz w:val="20"/>
                <w:szCs w:val="20"/>
                <w:lang w:eastAsia="es-CO"/>
              </w:rPr>
            </w:pPr>
          </w:p>
          <w:p w14:paraId="4AD10BFF"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3</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50C6238E"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Gastos Generales (2)</w:t>
            </w:r>
          </w:p>
        </w:tc>
        <w:tc>
          <w:tcPr>
            <w:tcW w:w="691" w:type="dxa"/>
            <w:tcBorders>
              <w:top w:val="nil"/>
              <w:left w:val="nil"/>
              <w:bottom w:val="single" w:sz="4" w:space="0" w:color="auto"/>
              <w:right w:val="single" w:sz="4" w:space="0" w:color="auto"/>
            </w:tcBorders>
            <w:shd w:val="clear" w:color="000000" w:fill="FFFFFF"/>
            <w:noWrap/>
            <w:vAlign w:val="center"/>
            <w:hideMark/>
          </w:tcPr>
          <w:p w14:paraId="5C4EEA55"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febrero</w:t>
            </w:r>
          </w:p>
        </w:tc>
        <w:tc>
          <w:tcPr>
            <w:tcW w:w="850" w:type="dxa"/>
            <w:tcBorders>
              <w:top w:val="nil"/>
              <w:left w:val="nil"/>
              <w:bottom w:val="single" w:sz="4" w:space="0" w:color="auto"/>
              <w:right w:val="single" w:sz="4" w:space="0" w:color="auto"/>
            </w:tcBorders>
            <w:shd w:val="clear" w:color="000000" w:fill="FFFFFF"/>
            <w:vAlign w:val="center"/>
            <w:hideMark/>
          </w:tcPr>
          <w:p w14:paraId="5A80A05C" w14:textId="77777777" w:rsidR="001B1BC8" w:rsidRPr="00EB0C51" w:rsidRDefault="001B1BC8" w:rsidP="00482B8A">
            <w:pPr>
              <w:jc w:val="center"/>
              <w:rPr>
                <w:rFonts w:cs="Arial"/>
                <w:i/>
                <w:iCs/>
                <w:color w:val="000000"/>
                <w:sz w:val="20"/>
                <w:szCs w:val="20"/>
                <w:lang w:eastAsia="es-CO"/>
              </w:rPr>
            </w:pPr>
            <w:r w:rsidRPr="00EB0C51">
              <w:rPr>
                <w:rFonts w:cs="Arial"/>
                <w:i/>
                <w:iCs/>
                <w:color w:val="000000"/>
                <w:sz w:val="20"/>
                <w:szCs w:val="20"/>
                <w:lang w:eastAsia="es-C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394CF54"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23,40%</w:t>
            </w:r>
          </w:p>
        </w:tc>
        <w:tc>
          <w:tcPr>
            <w:tcW w:w="1642" w:type="dxa"/>
            <w:tcBorders>
              <w:top w:val="nil"/>
              <w:left w:val="nil"/>
              <w:bottom w:val="single" w:sz="4" w:space="0" w:color="auto"/>
              <w:right w:val="single" w:sz="4" w:space="0" w:color="auto"/>
            </w:tcBorders>
            <w:shd w:val="clear" w:color="000000" w:fill="FFFFFF"/>
            <w:noWrap/>
            <w:vAlign w:val="center"/>
            <w:hideMark/>
          </w:tcPr>
          <w:p w14:paraId="4EE27E31"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880.466.741</w:t>
            </w:r>
          </w:p>
        </w:tc>
        <w:tc>
          <w:tcPr>
            <w:tcW w:w="8299" w:type="dxa"/>
            <w:tcBorders>
              <w:top w:val="nil"/>
              <w:left w:val="nil"/>
              <w:bottom w:val="single" w:sz="4" w:space="0" w:color="auto"/>
              <w:right w:val="single" w:sz="4" w:space="0" w:color="auto"/>
            </w:tcBorders>
            <w:shd w:val="clear" w:color="000000" w:fill="FFFFFF"/>
            <w:vAlign w:val="center"/>
            <w:hideMark/>
          </w:tcPr>
          <w:p w14:paraId="279FCC90" w14:textId="77777777" w:rsidR="00B35BF3" w:rsidRPr="00EB0C51" w:rsidRDefault="00E41C77" w:rsidP="002058A0">
            <w:pPr>
              <w:jc w:val="both"/>
              <w:rPr>
                <w:rFonts w:cs="Arial"/>
                <w:sz w:val="22"/>
                <w:szCs w:val="22"/>
                <w:lang w:eastAsia="es-CO"/>
              </w:rPr>
            </w:pPr>
            <w:r w:rsidRPr="00EB0C51">
              <w:rPr>
                <w:rFonts w:cs="Arial"/>
                <w:sz w:val="22"/>
                <w:szCs w:val="22"/>
                <w:lang w:eastAsia="es-CO"/>
              </w:rPr>
              <w:t>Según lo manifestado por el responsable, s</w:t>
            </w:r>
            <w:r w:rsidR="001B1BC8" w:rsidRPr="00EB0C51">
              <w:rPr>
                <w:rFonts w:cs="Arial"/>
                <w:sz w:val="22"/>
                <w:szCs w:val="22"/>
                <w:lang w:eastAsia="es-CO"/>
              </w:rPr>
              <w:t>e program</w:t>
            </w:r>
            <w:r w:rsidRPr="00EB0C51">
              <w:rPr>
                <w:rFonts w:cs="Arial"/>
                <w:sz w:val="22"/>
                <w:szCs w:val="22"/>
                <w:lang w:eastAsia="es-CO"/>
              </w:rPr>
              <w:t>ó</w:t>
            </w:r>
            <w:r w:rsidR="001B1BC8" w:rsidRPr="00EB0C51">
              <w:rPr>
                <w:rFonts w:cs="Arial"/>
                <w:sz w:val="22"/>
                <w:szCs w:val="22"/>
                <w:lang w:eastAsia="es-CO"/>
              </w:rPr>
              <w:t xml:space="preserve"> en el PAC una mensualidad para cada contrato; </w:t>
            </w:r>
            <w:r w:rsidRPr="00EB0C51">
              <w:rPr>
                <w:rFonts w:cs="Arial"/>
                <w:sz w:val="22"/>
                <w:szCs w:val="22"/>
                <w:lang w:eastAsia="es-CO"/>
              </w:rPr>
              <w:t>no obstante</w:t>
            </w:r>
            <w:r w:rsidR="001B1BC8" w:rsidRPr="00EB0C51">
              <w:rPr>
                <w:rFonts w:cs="Arial"/>
                <w:sz w:val="22"/>
                <w:szCs w:val="22"/>
                <w:lang w:eastAsia="es-CO"/>
              </w:rPr>
              <w:t xml:space="preserve">, para algunos contratos no se recibieron los documentos soporte </w:t>
            </w:r>
            <w:r w:rsidRPr="00EB0C51">
              <w:rPr>
                <w:rFonts w:cs="Arial"/>
                <w:sz w:val="22"/>
                <w:szCs w:val="22"/>
                <w:lang w:eastAsia="es-CO"/>
              </w:rPr>
              <w:t xml:space="preserve">necesarios para efectuar </w:t>
            </w:r>
            <w:r w:rsidR="001B1BC8" w:rsidRPr="00EB0C51">
              <w:rPr>
                <w:rFonts w:cs="Arial"/>
                <w:sz w:val="22"/>
                <w:szCs w:val="22"/>
                <w:lang w:eastAsia="es-CO"/>
              </w:rPr>
              <w:t>el pago, para otros</w:t>
            </w:r>
            <w:r w:rsidRPr="00EB0C51">
              <w:rPr>
                <w:rFonts w:cs="Arial"/>
                <w:sz w:val="22"/>
                <w:szCs w:val="22"/>
                <w:lang w:eastAsia="es-CO"/>
              </w:rPr>
              <w:t xml:space="preserve">, </w:t>
            </w:r>
            <w:r w:rsidR="001B1BC8" w:rsidRPr="00EB0C51">
              <w:rPr>
                <w:rFonts w:cs="Arial"/>
                <w:sz w:val="22"/>
                <w:szCs w:val="22"/>
                <w:lang w:eastAsia="es-CO"/>
              </w:rPr>
              <w:t>los servicios requeridos</w:t>
            </w:r>
            <w:r w:rsidRPr="00EB0C51">
              <w:rPr>
                <w:rFonts w:cs="Arial"/>
                <w:sz w:val="22"/>
                <w:szCs w:val="22"/>
                <w:lang w:eastAsia="es-CO"/>
              </w:rPr>
              <w:t xml:space="preserve"> a pagar </w:t>
            </w:r>
            <w:r w:rsidR="001B1BC8" w:rsidRPr="00EB0C51">
              <w:rPr>
                <w:rFonts w:cs="Arial"/>
                <w:sz w:val="22"/>
                <w:szCs w:val="22"/>
                <w:lang w:eastAsia="es-CO"/>
              </w:rPr>
              <w:t xml:space="preserve">fueron inferiores a la programación mensual, en otros casos, se devolvieron los documentos presentados por tener inconsistencias y </w:t>
            </w:r>
            <w:r w:rsidR="00B35BF3" w:rsidRPr="00EB0C51">
              <w:rPr>
                <w:rFonts w:cs="Arial"/>
                <w:sz w:val="22"/>
                <w:szCs w:val="22"/>
                <w:lang w:eastAsia="es-CO"/>
              </w:rPr>
              <w:t xml:space="preserve">para </w:t>
            </w:r>
            <w:r w:rsidR="001B1BC8" w:rsidRPr="00EB0C51">
              <w:rPr>
                <w:rFonts w:cs="Arial"/>
                <w:sz w:val="22"/>
                <w:szCs w:val="22"/>
                <w:lang w:eastAsia="es-CO"/>
              </w:rPr>
              <w:t>otros</w:t>
            </w:r>
            <w:r w:rsidR="00B35BF3" w:rsidRPr="00EB0C51">
              <w:rPr>
                <w:rFonts w:cs="Arial"/>
                <w:sz w:val="22"/>
                <w:szCs w:val="22"/>
                <w:lang w:eastAsia="es-CO"/>
              </w:rPr>
              <w:t xml:space="preserve"> más documentos </w:t>
            </w:r>
            <w:r w:rsidR="001B1BC8" w:rsidRPr="00EB0C51">
              <w:rPr>
                <w:rFonts w:cs="Arial"/>
                <w:sz w:val="22"/>
                <w:szCs w:val="22"/>
                <w:lang w:eastAsia="es-CO"/>
              </w:rPr>
              <w:t>se recibieron al final del mes</w:t>
            </w:r>
            <w:r w:rsidR="00B35BF3" w:rsidRPr="00EB0C51">
              <w:rPr>
                <w:rFonts w:cs="Arial"/>
                <w:sz w:val="22"/>
                <w:szCs w:val="22"/>
                <w:lang w:eastAsia="es-CO"/>
              </w:rPr>
              <w:t>,</w:t>
            </w:r>
            <w:r w:rsidR="001B1BC8" w:rsidRPr="00EB0C51">
              <w:rPr>
                <w:rFonts w:cs="Arial"/>
                <w:sz w:val="22"/>
                <w:szCs w:val="22"/>
                <w:lang w:eastAsia="es-CO"/>
              </w:rPr>
              <w:t xml:space="preserve"> lo que impidió su trámite.</w:t>
            </w:r>
          </w:p>
          <w:p w14:paraId="620FEBE0" w14:textId="156FDB02" w:rsidR="001B1BC8" w:rsidRPr="00EB0C51" w:rsidRDefault="001B1BC8" w:rsidP="002058A0">
            <w:pPr>
              <w:jc w:val="both"/>
              <w:rPr>
                <w:rFonts w:cs="Arial"/>
                <w:sz w:val="22"/>
                <w:szCs w:val="22"/>
                <w:lang w:eastAsia="es-CO"/>
              </w:rPr>
            </w:pPr>
            <w:r w:rsidRPr="00EB0C51">
              <w:rPr>
                <w:rFonts w:cs="Arial"/>
                <w:sz w:val="22"/>
                <w:szCs w:val="22"/>
                <w:lang w:eastAsia="es-CO"/>
              </w:rPr>
              <w:br/>
            </w:r>
            <w:r w:rsidR="00B35BF3" w:rsidRPr="00EB0C51">
              <w:rPr>
                <w:rFonts w:cs="Arial"/>
                <w:sz w:val="22"/>
                <w:szCs w:val="22"/>
                <w:lang w:eastAsia="es-CO"/>
              </w:rPr>
              <w:t>A su vez</w:t>
            </w:r>
            <w:r w:rsidRPr="00EB0C51">
              <w:rPr>
                <w:rFonts w:cs="Arial"/>
                <w:sz w:val="22"/>
                <w:szCs w:val="22"/>
                <w:lang w:eastAsia="es-CO"/>
              </w:rPr>
              <w:t>, la DIAN efectuó el reintegro por los servicios públicos que son compartidos en el Edificio San Agustín, afectando el porcentaje de PAC no utilizado en este tipo de gasto.</w:t>
            </w:r>
          </w:p>
        </w:tc>
      </w:tr>
      <w:tr w:rsidR="001B1BC8" w:rsidRPr="00EB0C51" w14:paraId="18410E0C" w14:textId="77777777" w:rsidTr="00A457EB">
        <w:trPr>
          <w:trHeight w:val="801"/>
        </w:trPr>
        <w:tc>
          <w:tcPr>
            <w:tcW w:w="708" w:type="dxa"/>
            <w:tcBorders>
              <w:top w:val="nil"/>
              <w:left w:val="single" w:sz="4" w:space="0" w:color="auto"/>
              <w:bottom w:val="single" w:sz="4" w:space="0" w:color="auto"/>
              <w:right w:val="single" w:sz="4" w:space="0" w:color="auto"/>
            </w:tcBorders>
            <w:shd w:val="clear" w:color="000000" w:fill="FFFFFF"/>
          </w:tcPr>
          <w:p w14:paraId="745F1FCD" w14:textId="77777777" w:rsidR="001B1BC8" w:rsidRPr="00EB0C51" w:rsidRDefault="001B1BC8" w:rsidP="002058A0">
            <w:pPr>
              <w:jc w:val="center"/>
              <w:rPr>
                <w:rFonts w:cs="Arial"/>
                <w:color w:val="000000"/>
                <w:sz w:val="20"/>
                <w:szCs w:val="20"/>
                <w:lang w:eastAsia="es-CO"/>
              </w:rPr>
            </w:pPr>
          </w:p>
          <w:p w14:paraId="005401F9" w14:textId="77777777" w:rsidR="001B1BC8" w:rsidRPr="00EB0C51" w:rsidRDefault="001B1BC8" w:rsidP="002058A0">
            <w:pPr>
              <w:jc w:val="center"/>
              <w:rPr>
                <w:rFonts w:cs="Arial"/>
                <w:color w:val="000000"/>
                <w:sz w:val="20"/>
                <w:szCs w:val="20"/>
                <w:lang w:eastAsia="es-CO"/>
              </w:rPr>
            </w:pPr>
          </w:p>
          <w:p w14:paraId="31DC62BB" w14:textId="77777777" w:rsidR="001B1BC8" w:rsidRPr="00EB0C51" w:rsidRDefault="001B1BC8" w:rsidP="002058A0">
            <w:pPr>
              <w:rPr>
                <w:rFonts w:cs="Arial"/>
                <w:color w:val="000000"/>
                <w:sz w:val="20"/>
                <w:szCs w:val="20"/>
                <w:lang w:eastAsia="es-CO"/>
              </w:rPr>
            </w:pPr>
            <w:r w:rsidRPr="00EB0C51">
              <w:rPr>
                <w:rFonts w:cs="Arial"/>
                <w:color w:val="000000"/>
                <w:sz w:val="20"/>
                <w:szCs w:val="20"/>
                <w:lang w:eastAsia="es-CO"/>
              </w:rPr>
              <w:t xml:space="preserve">  </w:t>
            </w:r>
          </w:p>
          <w:p w14:paraId="6EC47F64" w14:textId="77777777" w:rsidR="001B1BC8" w:rsidRPr="00EB0C51" w:rsidRDefault="001B1BC8" w:rsidP="002058A0">
            <w:pPr>
              <w:rPr>
                <w:rFonts w:cs="Arial"/>
                <w:color w:val="000000"/>
                <w:sz w:val="20"/>
                <w:szCs w:val="20"/>
                <w:lang w:eastAsia="es-CO"/>
              </w:rPr>
            </w:pPr>
            <w:r w:rsidRPr="00EB0C51">
              <w:rPr>
                <w:rFonts w:cs="Arial"/>
                <w:color w:val="000000"/>
                <w:sz w:val="20"/>
                <w:szCs w:val="20"/>
                <w:lang w:eastAsia="es-CO"/>
              </w:rPr>
              <w:t xml:space="preserve">  4</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0358174B"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Transferencias de Capital (4)</w:t>
            </w:r>
          </w:p>
        </w:tc>
        <w:tc>
          <w:tcPr>
            <w:tcW w:w="691" w:type="dxa"/>
            <w:tcBorders>
              <w:top w:val="nil"/>
              <w:left w:val="nil"/>
              <w:bottom w:val="single" w:sz="4" w:space="0" w:color="auto"/>
              <w:right w:val="single" w:sz="4" w:space="0" w:color="auto"/>
            </w:tcBorders>
            <w:shd w:val="clear" w:color="000000" w:fill="FFFFFF"/>
            <w:noWrap/>
            <w:vAlign w:val="center"/>
            <w:hideMark/>
          </w:tcPr>
          <w:p w14:paraId="65824460"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febrero</w:t>
            </w:r>
          </w:p>
        </w:tc>
        <w:tc>
          <w:tcPr>
            <w:tcW w:w="850" w:type="dxa"/>
            <w:tcBorders>
              <w:top w:val="nil"/>
              <w:left w:val="nil"/>
              <w:bottom w:val="single" w:sz="4" w:space="0" w:color="auto"/>
              <w:right w:val="single" w:sz="4" w:space="0" w:color="auto"/>
            </w:tcBorders>
            <w:shd w:val="clear" w:color="000000" w:fill="FFFFFF"/>
            <w:noWrap/>
            <w:vAlign w:val="center"/>
            <w:hideMark/>
          </w:tcPr>
          <w:p w14:paraId="5186168D"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201C0CD8"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11,40%</w:t>
            </w:r>
          </w:p>
        </w:tc>
        <w:tc>
          <w:tcPr>
            <w:tcW w:w="1642" w:type="dxa"/>
            <w:tcBorders>
              <w:top w:val="nil"/>
              <w:left w:val="nil"/>
              <w:bottom w:val="single" w:sz="4" w:space="0" w:color="auto"/>
              <w:right w:val="single" w:sz="4" w:space="0" w:color="auto"/>
            </w:tcBorders>
            <w:shd w:val="clear" w:color="000000" w:fill="FFFFFF"/>
            <w:noWrap/>
            <w:vAlign w:val="center"/>
            <w:hideMark/>
          </w:tcPr>
          <w:p w14:paraId="6F258A57"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42.777.856.704</w:t>
            </w:r>
          </w:p>
        </w:tc>
        <w:tc>
          <w:tcPr>
            <w:tcW w:w="8299" w:type="dxa"/>
            <w:tcBorders>
              <w:top w:val="nil"/>
              <w:left w:val="nil"/>
              <w:bottom w:val="single" w:sz="4" w:space="0" w:color="auto"/>
              <w:right w:val="single" w:sz="4" w:space="0" w:color="auto"/>
            </w:tcBorders>
            <w:shd w:val="clear" w:color="000000" w:fill="FFFFFF"/>
            <w:vAlign w:val="center"/>
            <w:hideMark/>
          </w:tcPr>
          <w:p w14:paraId="2D7890FE" w14:textId="77777777" w:rsidR="007F56F2" w:rsidRPr="00EB0C51" w:rsidRDefault="007F56F2" w:rsidP="002058A0">
            <w:pPr>
              <w:jc w:val="both"/>
              <w:rPr>
                <w:rFonts w:cs="Arial"/>
                <w:sz w:val="22"/>
                <w:szCs w:val="22"/>
                <w:lang w:eastAsia="es-CO"/>
              </w:rPr>
            </w:pPr>
          </w:p>
          <w:p w14:paraId="0E391D93" w14:textId="6E426419" w:rsidR="001B1BC8" w:rsidRPr="00EB0C51" w:rsidRDefault="00C608E8" w:rsidP="002058A0">
            <w:pPr>
              <w:jc w:val="both"/>
              <w:rPr>
                <w:rFonts w:cs="Arial"/>
                <w:sz w:val="22"/>
                <w:szCs w:val="22"/>
                <w:lang w:eastAsia="es-CO"/>
              </w:rPr>
            </w:pPr>
            <w:r w:rsidRPr="00EB0C51">
              <w:rPr>
                <w:rFonts w:cs="Arial"/>
                <w:sz w:val="22"/>
                <w:szCs w:val="22"/>
                <w:lang w:eastAsia="es-CO"/>
              </w:rPr>
              <w:t>De acuerdo con lo comentado por el responsable, s</w:t>
            </w:r>
            <w:r w:rsidR="001B1BC8" w:rsidRPr="00EB0C51">
              <w:rPr>
                <w:rFonts w:cs="Arial"/>
                <w:sz w:val="22"/>
                <w:szCs w:val="22"/>
                <w:lang w:eastAsia="es-CO"/>
              </w:rPr>
              <w:t>e solicitaron recursos para el pago de la</w:t>
            </w:r>
            <w:r w:rsidR="00B266C7" w:rsidRPr="00EB0C51">
              <w:rPr>
                <w:rFonts w:cs="Arial"/>
                <w:sz w:val="22"/>
                <w:szCs w:val="22"/>
                <w:lang w:eastAsia="es-CO"/>
              </w:rPr>
              <w:t xml:space="preserve"> </w:t>
            </w:r>
            <w:r w:rsidR="001B1BC8" w:rsidRPr="00EB0C51">
              <w:rPr>
                <w:rFonts w:cs="Arial"/>
                <w:sz w:val="22"/>
                <w:szCs w:val="22"/>
                <w:lang w:eastAsia="es-CO"/>
              </w:rPr>
              <w:t>CORPORACION ANDINA DE FOMENTO CAF por valor de US$93.663.200 estimando una tasa de cambio a $4.000 considerando la volatilidad de la T</w:t>
            </w:r>
            <w:r w:rsidR="00B266C7" w:rsidRPr="00EB0C51">
              <w:rPr>
                <w:rFonts w:cs="Arial"/>
                <w:sz w:val="22"/>
                <w:szCs w:val="22"/>
                <w:lang w:eastAsia="es-CO"/>
              </w:rPr>
              <w:t xml:space="preserve">asa </w:t>
            </w:r>
            <w:r w:rsidR="001B1BC8" w:rsidRPr="00EB0C51">
              <w:rPr>
                <w:rFonts w:cs="Arial"/>
                <w:sz w:val="22"/>
                <w:szCs w:val="22"/>
                <w:lang w:eastAsia="es-CO"/>
              </w:rPr>
              <w:t>R</w:t>
            </w:r>
            <w:r w:rsidR="00B266C7" w:rsidRPr="00EB0C51">
              <w:rPr>
                <w:rFonts w:cs="Arial"/>
                <w:sz w:val="22"/>
                <w:szCs w:val="22"/>
                <w:lang w:eastAsia="es-CO"/>
              </w:rPr>
              <w:t xml:space="preserve">epresentativa de </w:t>
            </w:r>
            <w:r w:rsidR="001B1BC8" w:rsidRPr="00EB0C51">
              <w:rPr>
                <w:rFonts w:cs="Arial"/>
                <w:sz w:val="22"/>
                <w:szCs w:val="22"/>
                <w:lang w:eastAsia="es-CO"/>
              </w:rPr>
              <w:t>M</w:t>
            </w:r>
            <w:r w:rsidR="00B266C7" w:rsidRPr="00EB0C51">
              <w:rPr>
                <w:rFonts w:cs="Arial"/>
                <w:sz w:val="22"/>
                <w:szCs w:val="22"/>
                <w:lang w:eastAsia="es-CO"/>
              </w:rPr>
              <w:t>ercado TRM</w:t>
            </w:r>
            <w:r w:rsidR="001B1BC8" w:rsidRPr="00EB0C51">
              <w:rPr>
                <w:rFonts w:cs="Arial"/>
                <w:sz w:val="22"/>
                <w:szCs w:val="22"/>
                <w:lang w:eastAsia="es-CO"/>
              </w:rPr>
              <w:t xml:space="preserve"> por efectos de la situación económica del país, y cuyo valor en pesos aproximado era de $374.652 millones. Sin embargo, la tasa del día aplicada para el pago fue de $3.543,20 por lo que el giro fue de $331.874 millones, lo cual generó un sobrante de $42.777,8 millones</w:t>
            </w:r>
            <w:r w:rsidR="003A2E11" w:rsidRPr="00EB0C51">
              <w:rPr>
                <w:rFonts w:cs="Arial"/>
                <w:sz w:val="22"/>
                <w:szCs w:val="22"/>
                <w:lang w:eastAsia="es-CO"/>
              </w:rPr>
              <w:t>; motivo por el cual</w:t>
            </w:r>
            <w:r w:rsidR="00931640" w:rsidRPr="00EB0C51">
              <w:rPr>
                <w:rFonts w:cs="Arial"/>
                <w:sz w:val="22"/>
                <w:szCs w:val="22"/>
                <w:lang w:eastAsia="es-CO"/>
              </w:rPr>
              <w:t>,</w:t>
            </w:r>
            <w:r w:rsidR="003A2E11" w:rsidRPr="00EB0C51">
              <w:rPr>
                <w:rFonts w:cs="Arial"/>
                <w:sz w:val="22"/>
                <w:szCs w:val="22"/>
                <w:lang w:eastAsia="es-CO"/>
              </w:rPr>
              <w:t xml:space="preserve"> no </w:t>
            </w:r>
            <w:r w:rsidR="001B1BC8" w:rsidRPr="00EB0C51">
              <w:rPr>
                <w:rFonts w:cs="Arial"/>
                <w:sz w:val="22"/>
                <w:szCs w:val="22"/>
                <w:lang w:eastAsia="es-CO"/>
              </w:rPr>
              <w:t>se ejecutó la totalidad del PAC solicitado.</w:t>
            </w:r>
          </w:p>
          <w:p w14:paraId="04071563" w14:textId="77777777" w:rsidR="007F56F2" w:rsidRPr="00EB0C51" w:rsidRDefault="007F56F2" w:rsidP="002058A0">
            <w:pPr>
              <w:jc w:val="both"/>
              <w:rPr>
                <w:rFonts w:cs="Arial"/>
                <w:sz w:val="22"/>
                <w:szCs w:val="22"/>
                <w:lang w:eastAsia="es-CO"/>
              </w:rPr>
            </w:pPr>
          </w:p>
          <w:p w14:paraId="40304E85" w14:textId="77777777" w:rsidR="001B1BC8" w:rsidRPr="00EB0C51" w:rsidRDefault="001B1BC8" w:rsidP="002058A0">
            <w:pPr>
              <w:jc w:val="both"/>
              <w:rPr>
                <w:rFonts w:cs="Arial"/>
                <w:sz w:val="22"/>
                <w:szCs w:val="22"/>
                <w:lang w:eastAsia="es-CO"/>
              </w:rPr>
            </w:pPr>
          </w:p>
        </w:tc>
      </w:tr>
      <w:tr w:rsidR="001B1BC8" w:rsidRPr="00EB0C51" w14:paraId="39318167" w14:textId="77777777" w:rsidTr="00A457EB">
        <w:trPr>
          <w:trHeight w:val="60"/>
        </w:trPr>
        <w:tc>
          <w:tcPr>
            <w:tcW w:w="708" w:type="dxa"/>
            <w:tcBorders>
              <w:top w:val="nil"/>
              <w:left w:val="single" w:sz="4" w:space="0" w:color="auto"/>
              <w:bottom w:val="single" w:sz="4" w:space="0" w:color="auto"/>
              <w:right w:val="single" w:sz="4" w:space="0" w:color="auto"/>
            </w:tcBorders>
            <w:shd w:val="clear" w:color="000000" w:fill="FFFFFF"/>
          </w:tcPr>
          <w:p w14:paraId="12C4B203" w14:textId="77777777" w:rsidR="001B1BC8" w:rsidRPr="00EB0C51" w:rsidRDefault="001B1BC8" w:rsidP="002058A0">
            <w:pPr>
              <w:jc w:val="center"/>
              <w:rPr>
                <w:rFonts w:cs="Arial"/>
                <w:color w:val="000000"/>
                <w:sz w:val="20"/>
                <w:szCs w:val="20"/>
                <w:lang w:eastAsia="es-CO"/>
              </w:rPr>
            </w:pPr>
          </w:p>
          <w:p w14:paraId="1EEDD3CA" w14:textId="0EDCDCF1" w:rsidR="001B1BC8" w:rsidRPr="00EB0C51" w:rsidRDefault="001B1BC8" w:rsidP="002058A0">
            <w:pPr>
              <w:rPr>
                <w:rFonts w:cs="Arial"/>
                <w:color w:val="000000"/>
                <w:sz w:val="20"/>
                <w:szCs w:val="20"/>
                <w:lang w:eastAsia="es-CO"/>
              </w:rPr>
            </w:pPr>
          </w:p>
          <w:p w14:paraId="4A14CE09" w14:textId="1B3109DC" w:rsidR="007F56F2" w:rsidRPr="00EB0C51" w:rsidRDefault="007F56F2" w:rsidP="002058A0">
            <w:pPr>
              <w:rPr>
                <w:rFonts w:cs="Arial"/>
                <w:color w:val="000000"/>
                <w:sz w:val="20"/>
                <w:szCs w:val="20"/>
                <w:lang w:eastAsia="es-CO"/>
              </w:rPr>
            </w:pPr>
          </w:p>
          <w:p w14:paraId="4354078D" w14:textId="09B282C5" w:rsidR="007F56F2" w:rsidRPr="00EB0C51" w:rsidRDefault="007F56F2" w:rsidP="002058A0">
            <w:pPr>
              <w:rPr>
                <w:rFonts w:cs="Arial"/>
                <w:color w:val="000000"/>
                <w:sz w:val="20"/>
                <w:szCs w:val="20"/>
                <w:lang w:eastAsia="es-CO"/>
              </w:rPr>
            </w:pPr>
          </w:p>
          <w:p w14:paraId="204F6B2D" w14:textId="77777777" w:rsidR="007F56F2" w:rsidRPr="00EB0C51" w:rsidRDefault="007F56F2" w:rsidP="002058A0">
            <w:pPr>
              <w:rPr>
                <w:rFonts w:cs="Arial"/>
                <w:color w:val="000000"/>
                <w:sz w:val="20"/>
                <w:szCs w:val="20"/>
                <w:lang w:eastAsia="es-CO"/>
              </w:rPr>
            </w:pPr>
          </w:p>
          <w:p w14:paraId="24E2B6CA"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5</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288B2506"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 xml:space="preserve">Inversión Ordinaria (8) </w:t>
            </w:r>
          </w:p>
        </w:tc>
        <w:tc>
          <w:tcPr>
            <w:tcW w:w="691" w:type="dxa"/>
            <w:tcBorders>
              <w:top w:val="nil"/>
              <w:left w:val="nil"/>
              <w:bottom w:val="single" w:sz="4" w:space="0" w:color="auto"/>
              <w:right w:val="single" w:sz="4" w:space="0" w:color="auto"/>
            </w:tcBorders>
            <w:shd w:val="clear" w:color="000000" w:fill="FFFFFF"/>
            <w:noWrap/>
            <w:vAlign w:val="center"/>
            <w:hideMark/>
          </w:tcPr>
          <w:p w14:paraId="7D180F26"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febrero</w:t>
            </w:r>
          </w:p>
        </w:tc>
        <w:tc>
          <w:tcPr>
            <w:tcW w:w="850" w:type="dxa"/>
            <w:tcBorders>
              <w:top w:val="nil"/>
              <w:left w:val="nil"/>
              <w:bottom w:val="single" w:sz="4" w:space="0" w:color="auto"/>
              <w:right w:val="single" w:sz="4" w:space="0" w:color="auto"/>
            </w:tcBorders>
            <w:shd w:val="clear" w:color="000000" w:fill="FFFFFF"/>
            <w:noWrap/>
            <w:vAlign w:val="center"/>
            <w:hideMark/>
          </w:tcPr>
          <w:p w14:paraId="1F0A18F2"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16BC45E"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28,00%</w:t>
            </w:r>
          </w:p>
        </w:tc>
        <w:tc>
          <w:tcPr>
            <w:tcW w:w="1642" w:type="dxa"/>
            <w:tcBorders>
              <w:top w:val="nil"/>
              <w:left w:val="nil"/>
              <w:bottom w:val="single" w:sz="4" w:space="0" w:color="auto"/>
              <w:right w:val="single" w:sz="4" w:space="0" w:color="auto"/>
            </w:tcBorders>
            <w:shd w:val="clear" w:color="000000" w:fill="FFFFFF"/>
            <w:noWrap/>
            <w:vAlign w:val="center"/>
            <w:hideMark/>
          </w:tcPr>
          <w:p w14:paraId="7E593CC9"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4.692.915.922</w:t>
            </w:r>
          </w:p>
        </w:tc>
        <w:tc>
          <w:tcPr>
            <w:tcW w:w="8299" w:type="dxa"/>
            <w:tcBorders>
              <w:top w:val="nil"/>
              <w:left w:val="nil"/>
              <w:bottom w:val="single" w:sz="4" w:space="0" w:color="auto"/>
              <w:right w:val="single" w:sz="4" w:space="0" w:color="auto"/>
            </w:tcBorders>
            <w:shd w:val="clear" w:color="000000" w:fill="FFFFFF"/>
            <w:vAlign w:val="center"/>
            <w:hideMark/>
          </w:tcPr>
          <w:p w14:paraId="798BC0A3" w14:textId="77777777" w:rsidR="007F56F2" w:rsidRPr="00EB0C51" w:rsidRDefault="007F56F2" w:rsidP="00931640">
            <w:pPr>
              <w:jc w:val="both"/>
              <w:rPr>
                <w:rFonts w:cs="Arial"/>
                <w:sz w:val="22"/>
                <w:szCs w:val="22"/>
                <w:lang w:eastAsia="es-CO"/>
              </w:rPr>
            </w:pPr>
          </w:p>
          <w:p w14:paraId="5FB3C6C2" w14:textId="77777777" w:rsidR="007F56F2" w:rsidRPr="00EB0C51" w:rsidRDefault="007F56F2" w:rsidP="00931640">
            <w:pPr>
              <w:jc w:val="both"/>
              <w:rPr>
                <w:rFonts w:cs="Arial"/>
                <w:sz w:val="22"/>
                <w:szCs w:val="22"/>
                <w:lang w:eastAsia="es-CO"/>
              </w:rPr>
            </w:pPr>
          </w:p>
          <w:p w14:paraId="0DF105E0" w14:textId="63C3F365" w:rsidR="007F56F2" w:rsidRPr="00EB0C51" w:rsidRDefault="00931640" w:rsidP="00931640">
            <w:pPr>
              <w:jc w:val="both"/>
              <w:rPr>
                <w:rFonts w:cs="Arial"/>
                <w:sz w:val="22"/>
                <w:szCs w:val="22"/>
                <w:lang w:eastAsia="es-CO"/>
              </w:rPr>
            </w:pPr>
            <w:r w:rsidRPr="00EB0C51">
              <w:rPr>
                <w:rFonts w:cs="Arial"/>
                <w:sz w:val="22"/>
                <w:szCs w:val="22"/>
                <w:lang w:eastAsia="es-CO"/>
              </w:rPr>
              <w:t xml:space="preserve">De conformidad con lo reportado por el responsable, </w:t>
            </w:r>
            <w:r w:rsidR="003B5466" w:rsidRPr="00EB0C51">
              <w:rPr>
                <w:rFonts w:cs="Arial"/>
                <w:sz w:val="22"/>
                <w:szCs w:val="22"/>
                <w:lang w:eastAsia="es-CO"/>
              </w:rPr>
              <w:t>s</w:t>
            </w:r>
            <w:r w:rsidR="001B1BC8" w:rsidRPr="00EB0C51">
              <w:rPr>
                <w:rFonts w:cs="Arial"/>
                <w:sz w:val="22"/>
                <w:szCs w:val="22"/>
                <w:lang w:eastAsia="es-CO"/>
              </w:rPr>
              <w:t xml:space="preserve">e proyectó PAC para atender el FRECH NO VIS tanto por vigencia como por rezago, </w:t>
            </w:r>
            <w:r w:rsidR="003B5466" w:rsidRPr="00EB0C51">
              <w:rPr>
                <w:rFonts w:cs="Arial"/>
                <w:sz w:val="22"/>
                <w:szCs w:val="22"/>
                <w:lang w:eastAsia="es-CO"/>
              </w:rPr>
              <w:t>no obstante</w:t>
            </w:r>
            <w:r w:rsidR="007F56F2" w:rsidRPr="00EB0C51">
              <w:rPr>
                <w:rFonts w:cs="Arial"/>
                <w:sz w:val="22"/>
                <w:szCs w:val="22"/>
                <w:lang w:eastAsia="es-CO"/>
              </w:rPr>
              <w:t>,</w:t>
            </w:r>
            <w:r w:rsidR="001B1BC8" w:rsidRPr="00EB0C51">
              <w:rPr>
                <w:rFonts w:cs="Arial"/>
                <w:sz w:val="22"/>
                <w:szCs w:val="22"/>
                <w:lang w:eastAsia="es-CO"/>
              </w:rPr>
              <w:t xml:space="preserve"> y debido a que el valor a girar depende del número de postulantes que aprueben los requisitos ante las entidades de crédito hipotecario y una vez recibidas las cuentas de cobro por parte del Banco de la Republica con el valor real otorgado, se atendió el pago con cargo al rezago generando un sobrante por la vigencia. </w:t>
            </w:r>
          </w:p>
          <w:p w14:paraId="407DE7C7" w14:textId="3D4B5462" w:rsidR="007F56F2" w:rsidRPr="00EB0C51" w:rsidRDefault="007F56F2" w:rsidP="00931640">
            <w:pPr>
              <w:jc w:val="both"/>
              <w:rPr>
                <w:rFonts w:cs="Arial"/>
                <w:sz w:val="22"/>
                <w:szCs w:val="22"/>
                <w:lang w:eastAsia="es-CO"/>
              </w:rPr>
            </w:pPr>
          </w:p>
        </w:tc>
      </w:tr>
      <w:tr w:rsidR="001B1BC8" w:rsidRPr="00EB0C51" w14:paraId="0EFAE6DD" w14:textId="77777777" w:rsidTr="00A457EB">
        <w:trPr>
          <w:trHeight w:val="410"/>
        </w:trPr>
        <w:tc>
          <w:tcPr>
            <w:tcW w:w="708" w:type="dxa"/>
            <w:tcBorders>
              <w:top w:val="nil"/>
              <w:left w:val="single" w:sz="4" w:space="0" w:color="auto"/>
              <w:bottom w:val="single" w:sz="4" w:space="0" w:color="auto"/>
              <w:right w:val="single" w:sz="4" w:space="0" w:color="auto"/>
            </w:tcBorders>
            <w:shd w:val="clear" w:color="000000" w:fill="FFFFFF"/>
          </w:tcPr>
          <w:p w14:paraId="3B3E2A87" w14:textId="77777777" w:rsidR="001B1BC8" w:rsidRPr="00EB0C51" w:rsidRDefault="001B1BC8" w:rsidP="002058A0">
            <w:pPr>
              <w:jc w:val="center"/>
              <w:rPr>
                <w:rFonts w:cs="Arial"/>
                <w:color w:val="000000"/>
                <w:sz w:val="20"/>
                <w:szCs w:val="20"/>
                <w:lang w:eastAsia="es-CO"/>
              </w:rPr>
            </w:pPr>
          </w:p>
          <w:p w14:paraId="5AF25C47" w14:textId="77777777" w:rsidR="001B1BC8" w:rsidRPr="00EB0C51" w:rsidRDefault="001B1BC8" w:rsidP="002058A0">
            <w:pPr>
              <w:jc w:val="center"/>
              <w:rPr>
                <w:rFonts w:cs="Arial"/>
                <w:color w:val="000000"/>
                <w:sz w:val="20"/>
                <w:szCs w:val="20"/>
                <w:lang w:eastAsia="es-CO"/>
              </w:rPr>
            </w:pPr>
          </w:p>
          <w:p w14:paraId="1ECAE477" w14:textId="77777777" w:rsidR="001B1BC8" w:rsidRPr="00EB0C51" w:rsidRDefault="001B1BC8" w:rsidP="002058A0">
            <w:pPr>
              <w:jc w:val="center"/>
              <w:rPr>
                <w:rFonts w:cs="Arial"/>
                <w:color w:val="000000"/>
                <w:sz w:val="20"/>
                <w:szCs w:val="20"/>
                <w:lang w:eastAsia="es-CO"/>
              </w:rPr>
            </w:pPr>
          </w:p>
          <w:p w14:paraId="68AB6672" w14:textId="77777777" w:rsidR="001B1BC8" w:rsidRPr="00EB0C51" w:rsidRDefault="001B1BC8" w:rsidP="002058A0">
            <w:pPr>
              <w:jc w:val="center"/>
              <w:rPr>
                <w:rFonts w:cs="Arial"/>
                <w:color w:val="000000"/>
                <w:sz w:val="20"/>
                <w:szCs w:val="20"/>
                <w:lang w:eastAsia="es-CO"/>
              </w:rPr>
            </w:pPr>
          </w:p>
          <w:p w14:paraId="12860C9E" w14:textId="77777777" w:rsidR="001B1BC8" w:rsidRPr="00EB0C51" w:rsidRDefault="001B1BC8" w:rsidP="002058A0">
            <w:pPr>
              <w:jc w:val="center"/>
              <w:rPr>
                <w:rFonts w:cs="Arial"/>
                <w:color w:val="000000"/>
                <w:sz w:val="20"/>
                <w:szCs w:val="20"/>
                <w:lang w:eastAsia="es-CO"/>
              </w:rPr>
            </w:pPr>
          </w:p>
          <w:p w14:paraId="3B9EBDC6"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6</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53E32D7E"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Transferencias Corrientes (3)</w:t>
            </w:r>
          </w:p>
        </w:tc>
        <w:tc>
          <w:tcPr>
            <w:tcW w:w="691" w:type="dxa"/>
            <w:tcBorders>
              <w:top w:val="nil"/>
              <w:left w:val="nil"/>
              <w:bottom w:val="single" w:sz="4" w:space="0" w:color="auto"/>
              <w:right w:val="single" w:sz="4" w:space="0" w:color="auto"/>
            </w:tcBorders>
            <w:shd w:val="clear" w:color="000000" w:fill="FFFFFF"/>
            <w:noWrap/>
            <w:vAlign w:val="center"/>
            <w:hideMark/>
          </w:tcPr>
          <w:p w14:paraId="4D552F70"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marzo</w:t>
            </w:r>
          </w:p>
        </w:tc>
        <w:tc>
          <w:tcPr>
            <w:tcW w:w="850" w:type="dxa"/>
            <w:tcBorders>
              <w:top w:val="nil"/>
              <w:left w:val="nil"/>
              <w:bottom w:val="single" w:sz="4" w:space="0" w:color="auto"/>
              <w:right w:val="single" w:sz="4" w:space="0" w:color="auto"/>
            </w:tcBorders>
            <w:shd w:val="clear" w:color="000000" w:fill="FFFFFF"/>
            <w:noWrap/>
            <w:vAlign w:val="center"/>
            <w:hideMark/>
          </w:tcPr>
          <w:p w14:paraId="5809AE68"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0674BA01"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28,20%</w:t>
            </w:r>
          </w:p>
        </w:tc>
        <w:tc>
          <w:tcPr>
            <w:tcW w:w="1642" w:type="dxa"/>
            <w:tcBorders>
              <w:top w:val="nil"/>
              <w:left w:val="nil"/>
              <w:bottom w:val="single" w:sz="4" w:space="0" w:color="auto"/>
              <w:right w:val="single" w:sz="4" w:space="0" w:color="auto"/>
            </w:tcBorders>
            <w:shd w:val="clear" w:color="000000" w:fill="FFFFFF"/>
            <w:noWrap/>
            <w:vAlign w:val="center"/>
            <w:hideMark/>
          </w:tcPr>
          <w:p w14:paraId="47107342"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428.660.937.644</w:t>
            </w:r>
          </w:p>
        </w:tc>
        <w:tc>
          <w:tcPr>
            <w:tcW w:w="8299" w:type="dxa"/>
            <w:tcBorders>
              <w:top w:val="nil"/>
              <w:left w:val="nil"/>
              <w:bottom w:val="single" w:sz="4" w:space="0" w:color="auto"/>
              <w:right w:val="single" w:sz="4" w:space="0" w:color="auto"/>
            </w:tcBorders>
            <w:shd w:val="clear" w:color="000000" w:fill="FFFFFF"/>
            <w:vAlign w:val="center"/>
            <w:hideMark/>
          </w:tcPr>
          <w:p w14:paraId="5D227BF9" w14:textId="171A139B" w:rsidR="001B1BC8" w:rsidRPr="00EB0C51" w:rsidRDefault="003D58AB" w:rsidP="002058A0">
            <w:pPr>
              <w:jc w:val="both"/>
              <w:rPr>
                <w:rFonts w:cs="Arial"/>
                <w:sz w:val="22"/>
                <w:szCs w:val="22"/>
                <w:lang w:eastAsia="es-CO"/>
              </w:rPr>
            </w:pPr>
            <w:r w:rsidRPr="00EB0C51">
              <w:rPr>
                <w:rFonts w:cs="Arial"/>
                <w:sz w:val="22"/>
                <w:szCs w:val="22"/>
                <w:lang w:eastAsia="es-CO"/>
              </w:rPr>
              <w:t>De acuerdo con lo reportado por el responsable, c</w:t>
            </w:r>
            <w:r w:rsidR="001B1BC8" w:rsidRPr="00EB0C51">
              <w:rPr>
                <w:rFonts w:cs="Arial"/>
                <w:sz w:val="22"/>
                <w:szCs w:val="22"/>
                <w:lang w:eastAsia="es-CO"/>
              </w:rPr>
              <w:t>on cargo a los recursos del FOME para atender la emergencia económica y social con ocasión de la pandemia del COVID-19, es indispensable garantizar la disponibilidad de recursos suficientes para el pago del Programa de Apoyo al Empleo Formal (PAEF) y del Programa para el Apoyo a la Prima de Servicio (PAP)</w:t>
            </w:r>
            <w:r w:rsidR="00E04107" w:rsidRPr="00EB0C51">
              <w:rPr>
                <w:rFonts w:cs="Arial"/>
                <w:sz w:val="22"/>
                <w:szCs w:val="22"/>
                <w:lang w:eastAsia="es-CO"/>
              </w:rPr>
              <w:t>, p</w:t>
            </w:r>
            <w:r w:rsidR="001B1BC8" w:rsidRPr="00EB0C51">
              <w:rPr>
                <w:rFonts w:cs="Arial"/>
                <w:sz w:val="22"/>
                <w:szCs w:val="22"/>
                <w:lang w:eastAsia="es-CO"/>
              </w:rPr>
              <w:t xml:space="preserve">or </w:t>
            </w:r>
            <w:r w:rsidR="00E04107" w:rsidRPr="00EB0C51">
              <w:rPr>
                <w:rFonts w:cs="Arial"/>
                <w:sz w:val="22"/>
                <w:szCs w:val="22"/>
                <w:lang w:eastAsia="es-CO"/>
              </w:rPr>
              <w:t xml:space="preserve">lo que </w:t>
            </w:r>
            <w:r w:rsidR="001B1BC8" w:rsidRPr="00EB0C51">
              <w:rPr>
                <w:rFonts w:cs="Arial"/>
                <w:sz w:val="22"/>
                <w:szCs w:val="22"/>
                <w:lang w:eastAsia="es-CO"/>
              </w:rPr>
              <w:t xml:space="preserve"> se solicitaron recursos de acuerdo con la estimación de las empresas que se postularan como beneficiarias del programa y que fueran aprobadas por la U</w:t>
            </w:r>
            <w:r w:rsidR="00383FEA" w:rsidRPr="00EB0C51">
              <w:rPr>
                <w:rFonts w:cs="Arial"/>
                <w:sz w:val="22"/>
                <w:szCs w:val="22"/>
                <w:lang w:eastAsia="es-CO"/>
              </w:rPr>
              <w:t>nidad de Gestión Pensional y Parafiscal U</w:t>
            </w:r>
            <w:r w:rsidR="001B1BC8" w:rsidRPr="00EB0C51">
              <w:rPr>
                <w:rFonts w:cs="Arial"/>
                <w:sz w:val="22"/>
                <w:szCs w:val="22"/>
                <w:lang w:eastAsia="es-CO"/>
              </w:rPr>
              <w:t>GPP; sin embargo, el número de postulantes fue inferior a lo previsto</w:t>
            </w:r>
            <w:r w:rsidR="00383FEA" w:rsidRPr="00EB0C51">
              <w:rPr>
                <w:rFonts w:cs="Arial"/>
                <w:sz w:val="22"/>
                <w:szCs w:val="22"/>
                <w:lang w:eastAsia="es-CO"/>
              </w:rPr>
              <w:t>,</w:t>
            </w:r>
            <w:r w:rsidR="001B1BC8" w:rsidRPr="00EB0C51">
              <w:rPr>
                <w:rFonts w:cs="Arial"/>
                <w:sz w:val="22"/>
                <w:szCs w:val="22"/>
                <w:lang w:eastAsia="es-CO"/>
              </w:rPr>
              <w:t xml:space="preserve"> lo que ocasion</w:t>
            </w:r>
            <w:r w:rsidR="00383FEA" w:rsidRPr="00EB0C51">
              <w:rPr>
                <w:rFonts w:cs="Arial"/>
                <w:sz w:val="22"/>
                <w:szCs w:val="22"/>
                <w:lang w:eastAsia="es-CO"/>
              </w:rPr>
              <w:t>ó</w:t>
            </w:r>
            <w:r w:rsidR="001B1BC8" w:rsidRPr="00EB0C51">
              <w:rPr>
                <w:rFonts w:cs="Arial"/>
                <w:sz w:val="22"/>
                <w:szCs w:val="22"/>
                <w:lang w:eastAsia="es-CO"/>
              </w:rPr>
              <w:t xml:space="preserve"> el saldo de</w:t>
            </w:r>
            <w:r w:rsidR="00383FEA" w:rsidRPr="00EB0C51">
              <w:rPr>
                <w:rFonts w:cs="Arial"/>
                <w:sz w:val="22"/>
                <w:szCs w:val="22"/>
                <w:lang w:eastAsia="es-CO"/>
              </w:rPr>
              <w:t>l</w:t>
            </w:r>
            <w:r w:rsidR="001B1BC8" w:rsidRPr="00EB0C51">
              <w:rPr>
                <w:rFonts w:cs="Arial"/>
                <w:sz w:val="22"/>
                <w:szCs w:val="22"/>
                <w:lang w:eastAsia="es-CO"/>
              </w:rPr>
              <w:t xml:space="preserve"> PAC.</w:t>
            </w:r>
          </w:p>
        </w:tc>
      </w:tr>
      <w:tr w:rsidR="001B1BC8" w:rsidRPr="00EB0C51" w14:paraId="25142DF7" w14:textId="77777777" w:rsidTr="00A457EB">
        <w:trPr>
          <w:trHeight w:val="1605"/>
        </w:trPr>
        <w:tc>
          <w:tcPr>
            <w:tcW w:w="708" w:type="dxa"/>
            <w:tcBorders>
              <w:top w:val="nil"/>
              <w:left w:val="single" w:sz="4" w:space="0" w:color="auto"/>
              <w:bottom w:val="single" w:sz="4" w:space="0" w:color="auto"/>
              <w:right w:val="single" w:sz="4" w:space="0" w:color="auto"/>
            </w:tcBorders>
            <w:shd w:val="clear" w:color="000000" w:fill="FFFFFF"/>
          </w:tcPr>
          <w:p w14:paraId="4A7752DF" w14:textId="77777777" w:rsidR="001B1BC8" w:rsidRPr="00EB0C51" w:rsidRDefault="001B1BC8" w:rsidP="002058A0">
            <w:pPr>
              <w:jc w:val="center"/>
              <w:rPr>
                <w:rFonts w:cs="Arial"/>
                <w:color w:val="000000"/>
                <w:sz w:val="20"/>
                <w:szCs w:val="20"/>
                <w:lang w:eastAsia="es-CO"/>
              </w:rPr>
            </w:pPr>
          </w:p>
          <w:p w14:paraId="5EB323C1" w14:textId="77777777" w:rsidR="001B1BC8" w:rsidRPr="00EB0C51" w:rsidRDefault="001B1BC8" w:rsidP="002058A0">
            <w:pPr>
              <w:jc w:val="center"/>
              <w:rPr>
                <w:rFonts w:cs="Arial"/>
                <w:color w:val="000000"/>
                <w:sz w:val="20"/>
                <w:szCs w:val="20"/>
                <w:lang w:eastAsia="es-CO"/>
              </w:rPr>
            </w:pPr>
          </w:p>
          <w:p w14:paraId="196F8ECA" w14:textId="77777777" w:rsidR="001B1BC8" w:rsidRPr="00EB0C51" w:rsidRDefault="001B1BC8" w:rsidP="002058A0">
            <w:pPr>
              <w:jc w:val="center"/>
              <w:rPr>
                <w:rFonts w:cs="Arial"/>
                <w:color w:val="000000"/>
                <w:sz w:val="20"/>
                <w:szCs w:val="20"/>
                <w:lang w:eastAsia="es-CO"/>
              </w:rPr>
            </w:pPr>
          </w:p>
          <w:p w14:paraId="67C58F88"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7</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21203E6F"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Transferencias de Capital (4)</w:t>
            </w:r>
          </w:p>
        </w:tc>
        <w:tc>
          <w:tcPr>
            <w:tcW w:w="691" w:type="dxa"/>
            <w:tcBorders>
              <w:top w:val="nil"/>
              <w:left w:val="nil"/>
              <w:bottom w:val="single" w:sz="4" w:space="0" w:color="auto"/>
              <w:right w:val="single" w:sz="4" w:space="0" w:color="auto"/>
            </w:tcBorders>
            <w:shd w:val="clear" w:color="000000" w:fill="FFFFFF"/>
            <w:noWrap/>
            <w:vAlign w:val="center"/>
            <w:hideMark/>
          </w:tcPr>
          <w:p w14:paraId="6D07DC9F"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marzo</w:t>
            </w:r>
          </w:p>
        </w:tc>
        <w:tc>
          <w:tcPr>
            <w:tcW w:w="850" w:type="dxa"/>
            <w:tcBorders>
              <w:top w:val="nil"/>
              <w:left w:val="nil"/>
              <w:bottom w:val="single" w:sz="4" w:space="0" w:color="auto"/>
              <w:right w:val="single" w:sz="4" w:space="0" w:color="auto"/>
            </w:tcBorders>
            <w:shd w:val="clear" w:color="000000" w:fill="FFFFFF"/>
            <w:noWrap/>
            <w:vAlign w:val="center"/>
            <w:hideMark/>
          </w:tcPr>
          <w:p w14:paraId="61A7B7B8"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7A4006B3"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35,30%</w:t>
            </w:r>
          </w:p>
        </w:tc>
        <w:tc>
          <w:tcPr>
            <w:tcW w:w="1642" w:type="dxa"/>
            <w:tcBorders>
              <w:top w:val="nil"/>
              <w:left w:val="nil"/>
              <w:bottom w:val="single" w:sz="4" w:space="0" w:color="auto"/>
              <w:right w:val="single" w:sz="4" w:space="0" w:color="auto"/>
            </w:tcBorders>
            <w:shd w:val="clear" w:color="000000" w:fill="FFFFFF"/>
            <w:noWrap/>
            <w:vAlign w:val="center"/>
            <w:hideMark/>
          </w:tcPr>
          <w:p w14:paraId="054E00B6"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42.777.856.704</w:t>
            </w:r>
          </w:p>
        </w:tc>
        <w:tc>
          <w:tcPr>
            <w:tcW w:w="8299" w:type="dxa"/>
            <w:tcBorders>
              <w:top w:val="nil"/>
              <w:left w:val="nil"/>
              <w:bottom w:val="single" w:sz="4" w:space="0" w:color="auto"/>
              <w:right w:val="single" w:sz="4" w:space="0" w:color="auto"/>
            </w:tcBorders>
            <w:shd w:val="clear" w:color="000000" w:fill="FFFFFF"/>
            <w:vAlign w:val="center"/>
            <w:hideMark/>
          </w:tcPr>
          <w:p w14:paraId="1C7DE703" w14:textId="2FC12D19" w:rsidR="001B1BC8" w:rsidRPr="00EB0C51" w:rsidRDefault="00266D0C" w:rsidP="002058A0">
            <w:pPr>
              <w:jc w:val="both"/>
              <w:rPr>
                <w:rFonts w:cs="Arial"/>
                <w:sz w:val="22"/>
                <w:szCs w:val="22"/>
                <w:lang w:eastAsia="es-CO"/>
              </w:rPr>
            </w:pPr>
            <w:r w:rsidRPr="00EB0C51">
              <w:rPr>
                <w:rFonts w:cs="Arial"/>
                <w:sz w:val="22"/>
                <w:szCs w:val="22"/>
                <w:lang w:eastAsia="es-CO"/>
              </w:rPr>
              <w:t>Según lo comentado por el responsable, t</w:t>
            </w:r>
            <w:r w:rsidR="001B1BC8" w:rsidRPr="00EB0C51">
              <w:rPr>
                <w:rFonts w:cs="Arial"/>
                <w:sz w:val="22"/>
                <w:szCs w:val="22"/>
                <w:lang w:eastAsia="es-CO"/>
              </w:rPr>
              <w:t>eniendo en cuenta la situación presentada para el pago de la CORPORACION ANDINA DE FOMENTO CAF por valor de US$93.663.200 del mes de febrero, el sistema SIIF al cierre del mes de febrero pasa automáticamente el PAC sobrante para el mes siguiente. Dicho valor se provisionó para atender la capitalización de los Servicios Postales Nacionales, sin embargo</w:t>
            </w:r>
            <w:r w:rsidR="00D31726" w:rsidRPr="00EB0C51">
              <w:rPr>
                <w:rFonts w:cs="Arial"/>
                <w:sz w:val="22"/>
                <w:szCs w:val="22"/>
                <w:lang w:eastAsia="es-CO"/>
              </w:rPr>
              <w:t>,</w:t>
            </w:r>
            <w:r w:rsidR="001B1BC8" w:rsidRPr="00EB0C51">
              <w:rPr>
                <w:rFonts w:cs="Arial"/>
                <w:sz w:val="22"/>
                <w:szCs w:val="22"/>
                <w:lang w:eastAsia="es-CO"/>
              </w:rPr>
              <w:t xml:space="preserve"> el </w:t>
            </w:r>
            <w:r w:rsidR="00D31726" w:rsidRPr="00EB0C51">
              <w:rPr>
                <w:rFonts w:cs="Arial"/>
                <w:sz w:val="22"/>
                <w:szCs w:val="22"/>
                <w:lang w:eastAsia="es-CO"/>
              </w:rPr>
              <w:t>montó</w:t>
            </w:r>
            <w:r w:rsidR="001B1BC8" w:rsidRPr="00EB0C51">
              <w:rPr>
                <w:rFonts w:cs="Arial"/>
                <w:sz w:val="22"/>
                <w:szCs w:val="22"/>
                <w:lang w:eastAsia="es-CO"/>
              </w:rPr>
              <w:t xml:space="preserve"> de ejecución fue menor al valor proyectado de</w:t>
            </w:r>
            <w:r w:rsidR="00D31726" w:rsidRPr="00EB0C51">
              <w:rPr>
                <w:rFonts w:cs="Arial"/>
                <w:sz w:val="22"/>
                <w:szCs w:val="22"/>
                <w:lang w:eastAsia="es-CO"/>
              </w:rPr>
              <w:t xml:space="preserve">l </w:t>
            </w:r>
            <w:r w:rsidR="001B1BC8" w:rsidRPr="00EB0C51">
              <w:rPr>
                <w:rFonts w:cs="Arial"/>
                <w:sz w:val="22"/>
                <w:szCs w:val="22"/>
                <w:lang w:eastAsia="es-CO"/>
              </w:rPr>
              <w:t>PAC.</w:t>
            </w:r>
          </w:p>
        </w:tc>
      </w:tr>
      <w:tr w:rsidR="001B1BC8" w:rsidRPr="00EB0C51" w14:paraId="7DB4E28F" w14:textId="77777777" w:rsidTr="00A457EB">
        <w:trPr>
          <w:trHeight w:val="77"/>
        </w:trPr>
        <w:tc>
          <w:tcPr>
            <w:tcW w:w="708" w:type="dxa"/>
            <w:tcBorders>
              <w:top w:val="nil"/>
              <w:left w:val="single" w:sz="4" w:space="0" w:color="auto"/>
              <w:bottom w:val="single" w:sz="4" w:space="0" w:color="auto"/>
              <w:right w:val="single" w:sz="4" w:space="0" w:color="auto"/>
            </w:tcBorders>
            <w:shd w:val="clear" w:color="000000" w:fill="FFFFFF"/>
          </w:tcPr>
          <w:p w14:paraId="12342856" w14:textId="77777777" w:rsidR="001B1BC8" w:rsidRPr="00EB0C51" w:rsidRDefault="001B1BC8" w:rsidP="002058A0">
            <w:pPr>
              <w:jc w:val="center"/>
              <w:rPr>
                <w:rFonts w:cs="Arial"/>
                <w:color w:val="000000"/>
                <w:sz w:val="20"/>
                <w:szCs w:val="20"/>
                <w:lang w:eastAsia="es-CO"/>
              </w:rPr>
            </w:pPr>
          </w:p>
          <w:p w14:paraId="75FC2948" w14:textId="77777777" w:rsidR="001B1BC8" w:rsidRPr="00EB0C51" w:rsidRDefault="001B1BC8" w:rsidP="002058A0">
            <w:pPr>
              <w:jc w:val="center"/>
              <w:rPr>
                <w:rFonts w:cs="Arial"/>
                <w:color w:val="000000"/>
                <w:sz w:val="20"/>
                <w:szCs w:val="20"/>
                <w:lang w:eastAsia="es-CO"/>
              </w:rPr>
            </w:pPr>
          </w:p>
          <w:p w14:paraId="65C89847" w14:textId="77777777" w:rsidR="001B1BC8" w:rsidRPr="00EB0C51" w:rsidRDefault="001B1BC8" w:rsidP="002058A0">
            <w:pPr>
              <w:jc w:val="center"/>
              <w:rPr>
                <w:rFonts w:cs="Arial"/>
                <w:color w:val="000000"/>
                <w:sz w:val="20"/>
                <w:szCs w:val="20"/>
                <w:lang w:eastAsia="es-CO"/>
              </w:rPr>
            </w:pPr>
          </w:p>
          <w:p w14:paraId="5B86D600" w14:textId="77777777" w:rsidR="001B1BC8" w:rsidRPr="00EB0C51" w:rsidRDefault="001B1BC8" w:rsidP="002058A0">
            <w:pPr>
              <w:jc w:val="center"/>
              <w:rPr>
                <w:rFonts w:cs="Arial"/>
                <w:color w:val="000000"/>
                <w:sz w:val="20"/>
                <w:szCs w:val="20"/>
                <w:lang w:eastAsia="es-CO"/>
              </w:rPr>
            </w:pPr>
          </w:p>
          <w:p w14:paraId="5ECCA1A7" w14:textId="1F115E69" w:rsidR="001B1BC8" w:rsidRPr="00EB0C51" w:rsidRDefault="001B1BC8" w:rsidP="002058A0">
            <w:pPr>
              <w:rPr>
                <w:rFonts w:cs="Arial"/>
                <w:color w:val="000000"/>
                <w:sz w:val="20"/>
                <w:szCs w:val="20"/>
                <w:lang w:eastAsia="es-CO"/>
              </w:rPr>
            </w:pPr>
          </w:p>
          <w:p w14:paraId="785F9458" w14:textId="05CAE8A3" w:rsidR="00482B8A" w:rsidRPr="00EB0C51" w:rsidRDefault="00482B8A" w:rsidP="002058A0">
            <w:pPr>
              <w:rPr>
                <w:rFonts w:cs="Arial"/>
                <w:color w:val="000000"/>
                <w:sz w:val="20"/>
                <w:szCs w:val="20"/>
                <w:lang w:eastAsia="es-CO"/>
              </w:rPr>
            </w:pPr>
          </w:p>
          <w:p w14:paraId="544B61A5" w14:textId="6AEDEC21" w:rsidR="00482B8A" w:rsidRPr="00EB0C51" w:rsidRDefault="00482B8A" w:rsidP="002058A0">
            <w:pPr>
              <w:rPr>
                <w:rFonts w:cs="Arial"/>
                <w:color w:val="000000"/>
                <w:sz w:val="20"/>
                <w:szCs w:val="20"/>
                <w:lang w:eastAsia="es-CO"/>
              </w:rPr>
            </w:pPr>
          </w:p>
          <w:p w14:paraId="44888B20" w14:textId="454E1C12" w:rsidR="00482B8A" w:rsidRPr="00EB0C51" w:rsidRDefault="00482B8A" w:rsidP="002058A0">
            <w:pPr>
              <w:rPr>
                <w:rFonts w:cs="Arial"/>
                <w:color w:val="000000"/>
                <w:sz w:val="20"/>
                <w:szCs w:val="20"/>
                <w:lang w:eastAsia="es-CO"/>
              </w:rPr>
            </w:pPr>
          </w:p>
          <w:p w14:paraId="6097C963" w14:textId="77777777" w:rsidR="00482B8A" w:rsidRPr="00EB0C51" w:rsidRDefault="00482B8A" w:rsidP="002058A0">
            <w:pPr>
              <w:rPr>
                <w:rFonts w:cs="Arial"/>
                <w:color w:val="000000"/>
                <w:sz w:val="20"/>
                <w:szCs w:val="20"/>
                <w:lang w:eastAsia="es-CO"/>
              </w:rPr>
            </w:pPr>
          </w:p>
          <w:p w14:paraId="6B6273D5"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8</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3B02AF5C"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Gastos Generales (2)</w:t>
            </w:r>
          </w:p>
        </w:tc>
        <w:tc>
          <w:tcPr>
            <w:tcW w:w="691" w:type="dxa"/>
            <w:tcBorders>
              <w:top w:val="nil"/>
              <w:left w:val="nil"/>
              <w:bottom w:val="single" w:sz="4" w:space="0" w:color="auto"/>
              <w:right w:val="single" w:sz="4" w:space="0" w:color="auto"/>
            </w:tcBorders>
            <w:shd w:val="clear" w:color="000000" w:fill="FFFFFF"/>
            <w:noWrap/>
            <w:vAlign w:val="center"/>
            <w:hideMark/>
          </w:tcPr>
          <w:p w14:paraId="710E355C"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abril</w:t>
            </w:r>
          </w:p>
        </w:tc>
        <w:tc>
          <w:tcPr>
            <w:tcW w:w="850" w:type="dxa"/>
            <w:tcBorders>
              <w:top w:val="nil"/>
              <w:left w:val="nil"/>
              <w:bottom w:val="single" w:sz="4" w:space="0" w:color="auto"/>
              <w:right w:val="single" w:sz="4" w:space="0" w:color="auto"/>
            </w:tcBorders>
            <w:shd w:val="clear" w:color="000000" w:fill="FFFFFF"/>
            <w:noWrap/>
            <w:vAlign w:val="center"/>
            <w:hideMark/>
          </w:tcPr>
          <w:p w14:paraId="4921FB90" w14:textId="77777777" w:rsidR="001B1BC8" w:rsidRPr="00EB0C51" w:rsidRDefault="001B1BC8" w:rsidP="00482B8A">
            <w:pPr>
              <w:jc w:val="center"/>
              <w:rPr>
                <w:rFonts w:cs="Arial"/>
                <w:i/>
                <w:iCs/>
                <w:color w:val="000000"/>
                <w:sz w:val="20"/>
                <w:szCs w:val="20"/>
                <w:lang w:eastAsia="es-CO"/>
              </w:rPr>
            </w:pPr>
            <w:r w:rsidRPr="00EB0C51">
              <w:rPr>
                <w:rFonts w:cs="Arial"/>
                <w:i/>
                <w:iCs/>
                <w:color w:val="000000"/>
                <w:sz w:val="20"/>
                <w:szCs w:val="20"/>
                <w:lang w:eastAsia="es-CO"/>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37BCA7F1"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15,10%</w:t>
            </w:r>
          </w:p>
        </w:tc>
        <w:tc>
          <w:tcPr>
            <w:tcW w:w="1642" w:type="dxa"/>
            <w:tcBorders>
              <w:top w:val="nil"/>
              <w:left w:val="nil"/>
              <w:bottom w:val="single" w:sz="4" w:space="0" w:color="auto"/>
              <w:right w:val="single" w:sz="4" w:space="0" w:color="auto"/>
            </w:tcBorders>
            <w:shd w:val="clear" w:color="000000" w:fill="FFFFFF"/>
            <w:noWrap/>
            <w:vAlign w:val="center"/>
            <w:hideMark/>
          </w:tcPr>
          <w:p w14:paraId="5B83A037" w14:textId="77777777" w:rsidR="001B1BC8" w:rsidRPr="00EB0C51" w:rsidRDefault="001B1BC8" w:rsidP="00482B8A">
            <w:pPr>
              <w:jc w:val="center"/>
              <w:rPr>
                <w:rFonts w:cs="Arial"/>
                <w:color w:val="000000"/>
                <w:sz w:val="20"/>
                <w:szCs w:val="20"/>
                <w:lang w:eastAsia="es-CO"/>
              </w:rPr>
            </w:pPr>
            <w:r w:rsidRPr="00EB0C51">
              <w:rPr>
                <w:rFonts w:cs="Arial"/>
                <w:color w:val="000000"/>
                <w:sz w:val="20"/>
                <w:szCs w:val="20"/>
                <w:lang w:eastAsia="es-CO"/>
              </w:rPr>
              <w:t>692.288.636</w:t>
            </w:r>
          </w:p>
        </w:tc>
        <w:tc>
          <w:tcPr>
            <w:tcW w:w="8299" w:type="dxa"/>
            <w:tcBorders>
              <w:top w:val="nil"/>
              <w:left w:val="nil"/>
              <w:bottom w:val="single" w:sz="4" w:space="0" w:color="auto"/>
              <w:right w:val="single" w:sz="4" w:space="0" w:color="auto"/>
            </w:tcBorders>
            <w:shd w:val="clear" w:color="000000" w:fill="FFFFFF"/>
            <w:vAlign w:val="center"/>
            <w:hideMark/>
          </w:tcPr>
          <w:p w14:paraId="3F5EDB0A" w14:textId="77777777" w:rsidR="0088561C" w:rsidRPr="00EB0C51" w:rsidRDefault="00F858CC" w:rsidP="002058A0">
            <w:pPr>
              <w:jc w:val="both"/>
              <w:rPr>
                <w:rFonts w:cs="Arial"/>
                <w:sz w:val="22"/>
                <w:szCs w:val="22"/>
                <w:lang w:eastAsia="es-CO"/>
              </w:rPr>
            </w:pPr>
            <w:r w:rsidRPr="00EB0C51">
              <w:rPr>
                <w:rFonts w:cs="Arial"/>
                <w:sz w:val="22"/>
                <w:szCs w:val="22"/>
                <w:lang w:eastAsia="es-CO"/>
              </w:rPr>
              <w:t>Conforme lo reportado por el responsable, s</w:t>
            </w:r>
            <w:r w:rsidR="001B1BC8" w:rsidRPr="00EB0C51">
              <w:rPr>
                <w:rFonts w:cs="Arial"/>
                <w:sz w:val="22"/>
                <w:szCs w:val="22"/>
                <w:lang w:eastAsia="es-CO"/>
              </w:rPr>
              <w:t xml:space="preserve">e programa en el PAC una mensualidad para cada contrato; </w:t>
            </w:r>
            <w:r w:rsidRPr="00EB0C51">
              <w:rPr>
                <w:rFonts w:cs="Arial"/>
                <w:sz w:val="22"/>
                <w:szCs w:val="22"/>
                <w:lang w:eastAsia="es-CO"/>
              </w:rPr>
              <w:t>no obstante</w:t>
            </w:r>
            <w:r w:rsidR="001B1BC8" w:rsidRPr="00EB0C51">
              <w:rPr>
                <w:rFonts w:cs="Arial"/>
                <w:sz w:val="22"/>
                <w:szCs w:val="22"/>
                <w:lang w:eastAsia="es-CO"/>
              </w:rPr>
              <w:t xml:space="preserve">, para algunos contratos los servicios requeridos fueron inferiores a la programación mensual y para </w:t>
            </w:r>
            <w:r w:rsidR="0088561C" w:rsidRPr="00EB0C51">
              <w:rPr>
                <w:rFonts w:cs="Arial"/>
                <w:sz w:val="22"/>
                <w:szCs w:val="22"/>
                <w:lang w:eastAsia="es-CO"/>
              </w:rPr>
              <w:t>otros</w:t>
            </w:r>
            <w:r w:rsidR="001B1BC8" w:rsidRPr="00EB0C51">
              <w:rPr>
                <w:rFonts w:cs="Arial"/>
                <w:sz w:val="22"/>
                <w:szCs w:val="22"/>
                <w:lang w:eastAsia="es-CO"/>
              </w:rPr>
              <w:t xml:space="preserve"> no se recibieron los documentos soporte</w:t>
            </w:r>
            <w:r w:rsidR="0088561C" w:rsidRPr="00EB0C51">
              <w:rPr>
                <w:rFonts w:cs="Arial"/>
                <w:sz w:val="22"/>
                <w:szCs w:val="22"/>
                <w:lang w:eastAsia="es-CO"/>
              </w:rPr>
              <w:t xml:space="preserve"> necesarios para efectuar el</w:t>
            </w:r>
            <w:r w:rsidR="001B1BC8" w:rsidRPr="00EB0C51">
              <w:rPr>
                <w:rFonts w:cs="Arial"/>
                <w:sz w:val="22"/>
                <w:szCs w:val="22"/>
                <w:lang w:eastAsia="es-CO"/>
              </w:rPr>
              <w:t xml:space="preserve"> para el pago</w:t>
            </w:r>
            <w:r w:rsidR="0088561C" w:rsidRPr="00EB0C51">
              <w:rPr>
                <w:rFonts w:cs="Arial"/>
                <w:sz w:val="22"/>
                <w:szCs w:val="22"/>
                <w:lang w:eastAsia="es-CO"/>
              </w:rPr>
              <w:t>.</w:t>
            </w:r>
          </w:p>
          <w:p w14:paraId="58BC3AAC" w14:textId="679B689D" w:rsidR="002D161C" w:rsidRPr="00EB0C51" w:rsidRDefault="001B1BC8" w:rsidP="002058A0">
            <w:pPr>
              <w:jc w:val="both"/>
              <w:rPr>
                <w:rFonts w:cs="Arial"/>
                <w:sz w:val="22"/>
                <w:szCs w:val="22"/>
                <w:lang w:eastAsia="es-CO"/>
              </w:rPr>
            </w:pPr>
            <w:r w:rsidRPr="00EB0C51">
              <w:rPr>
                <w:rFonts w:cs="Arial"/>
                <w:sz w:val="22"/>
                <w:szCs w:val="22"/>
                <w:lang w:eastAsia="es-CO"/>
              </w:rPr>
              <w:br/>
            </w:r>
            <w:r w:rsidR="0088561C" w:rsidRPr="00EB0C51">
              <w:rPr>
                <w:rFonts w:cs="Arial"/>
                <w:sz w:val="22"/>
                <w:szCs w:val="22"/>
                <w:lang w:eastAsia="es-CO"/>
              </w:rPr>
              <w:t xml:space="preserve">De igual forma, </w:t>
            </w:r>
            <w:r w:rsidRPr="00EB0C51">
              <w:rPr>
                <w:rFonts w:cs="Arial"/>
                <w:sz w:val="22"/>
                <w:szCs w:val="22"/>
                <w:lang w:eastAsia="es-CO"/>
              </w:rPr>
              <w:t>como producto de la implementación de la facturación electrónica en cumplimiento a las disposiciones de</w:t>
            </w:r>
            <w:r w:rsidR="0088561C" w:rsidRPr="00EB0C51">
              <w:rPr>
                <w:rFonts w:cs="Arial"/>
                <w:sz w:val="22"/>
                <w:szCs w:val="22"/>
                <w:lang w:eastAsia="es-CO"/>
              </w:rPr>
              <w:t xml:space="preserve"> la normatividad aplicable, a saber: </w:t>
            </w:r>
            <w:r w:rsidRPr="00EB0C51">
              <w:rPr>
                <w:rFonts w:cs="Arial"/>
                <w:sz w:val="22"/>
                <w:szCs w:val="22"/>
                <w:lang w:eastAsia="es-CO"/>
              </w:rPr>
              <w:t xml:space="preserve"> </w:t>
            </w:r>
            <w:r w:rsidRPr="00EB0C51">
              <w:rPr>
                <w:rFonts w:cs="Arial"/>
                <w:sz w:val="22"/>
                <w:szCs w:val="22"/>
                <w:lang w:eastAsia="es-CO"/>
              </w:rPr>
              <w:br/>
              <w:t>-</w:t>
            </w:r>
            <w:r w:rsidR="002D161C" w:rsidRPr="00EB0C51">
              <w:rPr>
                <w:rFonts w:cs="Arial"/>
                <w:sz w:val="22"/>
                <w:szCs w:val="22"/>
                <w:lang w:eastAsia="es-CO"/>
              </w:rPr>
              <w:t xml:space="preserve"> </w:t>
            </w:r>
            <w:r w:rsidRPr="00EB0C51">
              <w:rPr>
                <w:rFonts w:cs="Arial"/>
                <w:sz w:val="22"/>
                <w:szCs w:val="22"/>
                <w:lang w:eastAsia="es-CO"/>
              </w:rPr>
              <w:t>Decreto 358 del 5 de marzo del 2020</w:t>
            </w:r>
          </w:p>
          <w:p w14:paraId="791F29DC" w14:textId="77777777" w:rsidR="002D161C" w:rsidRPr="00EB0C51" w:rsidRDefault="002D161C" w:rsidP="002D161C">
            <w:pPr>
              <w:jc w:val="both"/>
              <w:rPr>
                <w:rFonts w:cs="Arial"/>
                <w:sz w:val="22"/>
                <w:szCs w:val="22"/>
                <w:lang w:eastAsia="es-CO"/>
              </w:rPr>
            </w:pPr>
            <w:r w:rsidRPr="00EB0C51">
              <w:rPr>
                <w:rFonts w:cs="Arial"/>
                <w:sz w:val="22"/>
                <w:szCs w:val="22"/>
                <w:lang w:eastAsia="es-CO"/>
              </w:rPr>
              <w:t xml:space="preserve">- </w:t>
            </w:r>
            <w:r w:rsidR="001B1BC8" w:rsidRPr="00EB0C51">
              <w:rPr>
                <w:rFonts w:cs="Arial"/>
                <w:sz w:val="22"/>
                <w:szCs w:val="22"/>
                <w:lang w:eastAsia="es-CO"/>
              </w:rPr>
              <w:t>Resolución 000042 del 5 de mayo del 2020</w:t>
            </w:r>
          </w:p>
          <w:p w14:paraId="4C080180" w14:textId="77777777" w:rsidR="002D161C" w:rsidRPr="00EB0C51" w:rsidRDefault="002D161C" w:rsidP="002D161C">
            <w:pPr>
              <w:jc w:val="both"/>
              <w:rPr>
                <w:rFonts w:cs="Arial"/>
                <w:sz w:val="22"/>
                <w:szCs w:val="22"/>
                <w:lang w:eastAsia="es-CO"/>
              </w:rPr>
            </w:pPr>
            <w:r w:rsidRPr="00EB0C51">
              <w:rPr>
                <w:rFonts w:cs="Arial"/>
                <w:sz w:val="22"/>
                <w:szCs w:val="22"/>
                <w:lang w:eastAsia="es-CO"/>
              </w:rPr>
              <w:t xml:space="preserve">- </w:t>
            </w:r>
            <w:r w:rsidR="001B1BC8" w:rsidRPr="00EB0C51">
              <w:rPr>
                <w:rFonts w:cs="Arial"/>
                <w:sz w:val="22"/>
                <w:szCs w:val="22"/>
                <w:lang w:eastAsia="es-CO"/>
              </w:rPr>
              <w:t>Resolución 000094 del 30 de septiembre del 2020</w:t>
            </w:r>
          </w:p>
          <w:p w14:paraId="2AB5397C" w14:textId="77777777" w:rsidR="002D161C" w:rsidRPr="00EB0C51" w:rsidRDefault="002D161C" w:rsidP="002D161C">
            <w:pPr>
              <w:jc w:val="both"/>
              <w:rPr>
                <w:rFonts w:cs="Arial"/>
                <w:sz w:val="22"/>
                <w:szCs w:val="22"/>
                <w:lang w:eastAsia="es-CO"/>
              </w:rPr>
            </w:pPr>
            <w:r w:rsidRPr="00EB0C51">
              <w:rPr>
                <w:rFonts w:cs="Arial"/>
                <w:sz w:val="22"/>
                <w:szCs w:val="22"/>
                <w:lang w:eastAsia="es-CO"/>
              </w:rPr>
              <w:t xml:space="preserve">- </w:t>
            </w:r>
            <w:r w:rsidR="001B1BC8" w:rsidRPr="00EB0C51">
              <w:rPr>
                <w:rFonts w:cs="Arial"/>
                <w:sz w:val="22"/>
                <w:szCs w:val="22"/>
                <w:lang w:eastAsia="es-CO"/>
              </w:rPr>
              <w:t>Directriz presidencial 09 del 17 de septiembre del 2020</w:t>
            </w:r>
          </w:p>
          <w:p w14:paraId="63A64BC0" w14:textId="1F620065" w:rsidR="001B1BC8" w:rsidRPr="00EB0C51" w:rsidRDefault="002D161C" w:rsidP="002D161C">
            <w:pPr>
              <w:jc w:val="both"/>
              <w:rPr>
                <w:rFonts w:cs="Arial"/>
                <w:sz w:val="22"/>
                <w:szCs w:val="22"/>
                <w:lang w:eastAsia="es-CO"/>
              </w:rPr>
            </w:pPr>
            <w:r w:rsidRPr="00EB0C51">
              <w:rPr>
                <w:rFonts w:cs="Arial"/>
                <w:sz w:val="22"/>
                <w:szCs w:val="22"/>
                <w:lang w:eastAsia="es-CO"/>
              </w:rPr>
              <w:t xml:space="preserve">- </w:t>
            </w:r>
            <w:r w:rsidR="001B1BC8" w:rsidRPr="00EB0C51">
              <w:rPr>
                <w:rFonts w:cs="Arial"/>
                <w:sz w:val="22"/>
                <w:szCs w:val="22"/>
                <w:lang w:eastAsia="es-CO"/>
              </w:rPr>
              <w:t>Circular externa 016 del 09 de marzo del 2021 emitida por la administración del SIIF</w:t>
            </w:r>
            <w:r w:rsidR="001B1BC8" w:rsidRPr="00EB0C51">
              <w:rPr>
                <w:rFonts w:cs="Arial"/>
                <w:sz w:val="22"/>
                <w:szCs w:val="22"/>
                <w:lang w:eastAsia="es-CO"/>
              </w:rPr>
              <w:br/>
            </w:r>
            <w:r w:rsidR="001B1BC8" w:rsidRPr="00EB0C51">
              <w:rPr>
                <w:rFonts w:cs="Arial"/>
                <w:sz w:val="22"/>
                <w:szCs w:val="22"/>
                <w:lang w:eastAsia="es-CO"/>
              </w:rPr>
              <w:br/>
            </w:r>
            <w:r w:rsidR="0031784A" w:rsidRPr="00EB0C51">
              <w:rPr>
                <w:rFonts w:cs="Arial"/>
                <w:sz w:val="22"/>
                <w:szCs w:val="22"/>
                <w:lang w:eastAsia="es-CO"/>
              </w:rPr>
              <w:t>S</w:t>
            </w:r>
            <w:r w:rsidR="001B1BC8" w:rsidRPr="00EB0C51">
              <w:rPr>
                <w:rFonts w:cs="Arial"/>
                <w:sz w:val="22"/>
                <w:szCs w:val="22"/>
                <w:lang w:eastAsia="es-CO"/>
              </w:rPr>
              <w:t>e presentaron demoras en el remisión de los soportes</w:t>
            </w:r>
            <w:r w:rsidR="0045172D" w:rsidRPr="00EB0C51">
              <w:rPr>
                <w:rFonts w:cs="Arial"/>
                <w:sz w:val="22"/>
                <w:szCs w:val="22"/>
                <w:lang w:eastAsia="es-CO"/>
              </w:rPr>
              <w:t xml:space="preserve">, así como </w:t>
            </w:r>
            <w:r w:rsidR="001B1BC8" w:rsidRPr="00EB0C51">
              <w:rPr>
                <w:rFonts w:cs="Arial"/>
                <w:sz w:val="22"/>
                <w:szCs w:val="22"/>
                <w:lang w:eastAsia="es-CO"/>
              </w:rPr>
              <w:t>la no radicación de las facturas por parte de los proveedores de bienes y servicios y contratistas, ya que el SIIF Nación realizó una alianza estratégica con el proveedor tecnológico Olimpia S</w:t>
            </w:r>
            <w:r w:rsidR="00063395" w:rsidRPr="00EB0C51">
              <w:rPr>
                <w:rFonts w:cs="Arial"/>
                <w:sz w:val="22"/>
                <w:szCs w:val="22"/>
                <w:lang w:eastAsia="es-CO"/>
              </w:rPr>
              <w:t>.</w:t>
            </w:r>
            <w:r w:rsidR="001B1BC8" w:rsidRPr="00EB0C51">
              <w:rPr>
                <w:rFonts w:cs="Arial"/>
                <w:sz w:val="22"/>
                <w:szCs w:val="22"/>
                <w:lang w:eastAsia="es-CO"/>
              </w:rPr>
              <w:t>A que conllevó a reprocesos y nuevas tareas para el trámite de pago.</w:t>
            </w:r>
          </w:p>
        </w:tc>
      </w:tr>
      <w:tr w:rsidR="001B1BC8" w:rsidRPr="00EB0C51" w14:paraId="43C4BA86" w14:textId="77777777" w:rsidTr="009A5F9B">
        <w:trPr>
          <w:trHeight w:val="1967"/>
        </w:trPr>
        <w:tc>
          <w:tcPr>
            <w:tcW w:w="708" w:type="dxa"/>
            <w:tcBorders>
              <w:top w:val="nil"/>
              <w:left w:val="single" w:sz="4" w:space="0" w:color="auto"/>
              <w:bottom w:val="single" w:sz="4" w:space="0" w:color="auto"/>
              <w:right w:val="single" w:sz="4" w:space="0" w:color="auto"/>
            </w:tcBorders>
            <w:shd w:val="clear" w:color="000000" w:fill="FFFFFF"/>
          </w:tcPr>
          <w:p w14:paraId="1F6471AD" w14:textId="77777777" w:rsidR="001B1BC8" w:rsidRPr="00EB0C51" w:rsidRDefault="001B1BC8" w:rsidP="002058A0">
            <w:pPr>
              <w:jc w:val="center"/>
              <w:rPr>
                <w:rFonts w:cs="Arial"/>
                <w:color w:val="000000"/>
                <w:sz w:val="20"/>
                <w:szCs w:val="20"/>
                <w:lang w:eastAsia="es-CO"/>
              </w:rPr>
            </w:pPr>
          </w:p>
          <w:p w14:paraId="6B69B8B6" w14:textId="77777777" w:rsidR="001B1BC8" w:rsidRPr="00EB0C51" w:rsidRDefault="001B1BC8" w:rsidP="002058A0">
            <w:pPr>
              <w:jc w:val="center"/>
              <w:rPr>
                <w:rFonts w:cs="Arial"/>
                <w:color w:val="000000"/>
                <w:sz w:val="20"/>
                <w:szCs w:val="20"/>
                <w:lang w:eastAsia="es-CO"/>
              </w:rPr>
            </w:pPr>
          </w:p>
          <w:p w14:paraId="51E0072A" w14:textId="77777777" w:rsidR="001B1BC8" w:rsidRPr="00EB0C51" w:rsidRDefault="001B1BC8" w:rsidP="002058A0">
            <w:pPr>
              <w:jc w:val="center"/>
              <w:rPr>
                <w:rFonts w:cs="Arial"/>
                <w:color w:val="000000"/>
                <w:sz w:val="20"/>
                <w:szCs w:val="20"/>
                <w:lang w:eastAsia="es-CO"/>
              </w:rPr>
            </w:pPr>
          </w:p>
          <w:p w14:paraId="3364D4C9" w14:textId="77777777" w:rsidR="001B1BC8" w:rsidRPr="00EB0C51" w:rsidRDefault="001B1BC8" w:rsidP="009A5F9B">
            <w:pPr>
              <w:rPr>
                <w:rFonts w:cs="Arial"/>
                <w:color w:val="000000"/>
                <w:sz w:val="20"/>
                <w:szCs w:val="20"/>
                <w:lang w:eastAsia="es-CO"/>
              </w:rPr>
            </w:pPr>
          </w:p>
          <w:p w14:paraId="3E43E854"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9</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4E34B907"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Transferencias Corrientes (3)</w:t>
            </w:r>
          </w:p>
        </w:tc>
        <w:tc>
          <w:tcPr>
            <w:tcW w:w="691" w:type="dxa"/>
            <w:tcBorders>
              <w:top w:val="nil"/>
              <w:left w:val="nil"/>
              <w:bottom w:val="single" w:sz="4" w:space="0" w:color="auto"/>
              <w:right w:val="single" w:sz="4" w:space="0" w:color="auto"/>
            </w:tcBorders>
            <w:shd w:val="clear" w:color="000000" w:fill="FFFFFF"/>
            <w:noWrap/>
            <w:vAlign w:val="center"/>
            <w:hideMark/>
          </w:tcPr>
          <w:p w14:paraId="57AB2B91"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abril</w:t>
            </w:r>
          </w:p>
        </w:tc>
        <w:tc>
          <w:tcPr>
            <w:tcW w:w="850" w:type="dxa"/>
            <w:tcBorders>
              <w:top w:val="nil"/>
              <w:left w:val="nil"/>
              <w:bottom w:val="single" w:sz="4" w:space="0" w:color="auto"/>
              <w:right w:val="single" w:sz="4" w:space="0" w:color="auto"/>
            </w:tcBorders>
            <w:shd w:val="clear" w:color="000000" w:fill="FFFFFF"/>
            <w:noWrap/>
            <w:vAlign w:val="center"/>
            <w:hideMark/>
          </w:tcPr>
          <w:p w14:paraId="5CB33456"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61EBBF33"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6,20%</w:t>
            </w:r>
          </w:p>
        </w:tc>
        <w:tc>
          <w:tcPr>
            <w:tcW w:w="1642" w:type="dxa"/>
            <w:tcBorders>
              <w:top w:val="nil"/>
              <w:left w:val="nil"/>
              <w:bottom w:val="single" w:sz="4" w:space="0" w:color="auto"/>
              <w:right w:val="single" w:sz="4" w:space="0" w:color="auto"/>
            </w:tcBorders>
            <w:shd w:val="clear" w:color="000000" w:fill="FFFFFF"/>
            <w:noWrap/>
            <w:vAlign w:val="center"/>
            <w:hideMark/>
          </w:tcPr>
          <w:p w14:paraId="2C130050"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63.453.087.620</w:t>
            </w:r>
          </w:p>
        </w:tc>
        <w:tc>
          <w:tcPr>
            <w:tcW w:w="8299" w:type="dxa"/>
            <w:tcBorders>
              <w:top w:val="nil"/>
              <w:left w:val="nil"/>
              <w:bottom w:val="single" w:sz="4" w:space="0" w:color="auto"/>
              <w:right w:val="single" w:sz="4" w:space="0" w:color="auto"/>
            </w:tcBorders>
            <w:shd w:val="clear" w:color="000000" w:fill="FFFFFF"/>
            <w:vAlign w:val="center"/>
            <w:hideMark/>
          </w:tcPr>
          <w:p w14:paraId="6FFFCF68" w14:textId="56194253" w:rsidR="001B1BC8" w:rsidRPr="00EB0C51" w:rsidRDefault="00DD1B6F" w:rsidP="002058A0">
            <w:pPr>
              <w:jc w:val="both"/>
              <w:rPr>
                <w:rFonts w:cs="Arial"/>
                <w:sz w:val="22"/>
                <w:szCs w:val="22"/>
                <w:lang w:eastAsia="es-CO"/>
              </w:rPr>
            </w:pPr>
            <w:r w:rsidRPr="00EB0C51">
              <w:rPr>
                <w:rFonts w:cs="Arial"/>
                <w:sz w:val="22"/>
                <w:szCs w:val="22"/>
                <w:lang w:eastAsia="es-CO"/>
              </w:rPr>
              <w:t>Según lo comentado por el responsable, c</w:t>
            </w:r>
            <w:r w:rsidR="001B1BC8" w:rsidRPr="00EB0C51">
              <w:rPr>
                <w:rFonts w:cs="Arial"/>
                <w:sz w:val="22"/>
                <w:szCs w:val="22"/>
                <w:lang w:eastAsia="es-CO"/>
              </w:rPr>
              <w:t>on cargo a los recursos del FOME para atender la emergencia económica y social con ocasión de la pandemia del COVID-19, es indispensable garantizar la disponibilidad de recursos suficientes para el pago del Programa de Apoyo al Empleo Formal (PAEF) y del Programa para el Apoyo a la Prima de Servicio (PAP)</w:t>
            </w:r>
            <w:r w:rsidR="009A5F9B" w:rsidRPr="00EB0C51">
              <w:rPr>
                <w:rFonts w:cs="Arial"/>
                <w:sz w:val="22"/>
                <w:szCs w:val="22"/>
                <w:lang w:eastAsia="es-CO"/>
              </w:rPr>
              <w:t>, motivo por el cual</w:t>
            </w:r>
            <w:r w:rsidR="00B7009A" w:rsidRPr="00EB0C51">
              <w:rPr>
                <w:rFonts w:cs="Arial"/>
                <w:sz w:val="22"/>
                <w:szCs w:val="22"/>
                <w:lang w:eastAsia="es-CO"/>
              </w:rPr>
              <w:t xml:space="preserve">, </w:t>
            </w:r>
            <w:r w:rsidR="001B1BC8" w:rsidRPr="00EB0C51">
              <w:rPr>
                <w:rFonts w:cs="Arial"/>
                <w:sz w:val="22"/>
                <w:szCs w:val="22"/>
                <w:lang w:eastAsia="es-CO"/>
              </w:rPr>
              <w:t>se solicitaron recursos de acuerdo con la estimación de las empresas que se postularan como beneficiarias del programa</w:t>
            </w:r>
            <w:r w:rsidR="00B7009A" w:rsidRPr="00EB0C51">
              <w:rPr>
                <w:rFonts w:cs="Arial"/>
                <w:sz w:val="22"/>
                <w:szCs w:val="22"/>
                <w:lang w:eastAsia="es-CO"/>
              </w:rPr>
              <w:t xml:space="preserve"> y que fueron </w:t>
            </w:r>
            <w:r w:rsidR="001B1BC8" w:rsidRPr="00EB0C51">
              <w:rPr>
                <w:rFonts w:cs="Arial"/>
                <w:sz w:val="22"/>
                <w:szCs w:val="22"/>
                <w:lang w:eastAsia="es-CO"/>
              </w:rPr>
              <w:t xml:space="preserve">aprobadas por la UGPP; sin embargo, el </w:t>
            </w:r>
            <w:r w:rsidR="0031784A" w:rsidRPr="00EB0C51">
              <w:rPr>
                <w:rFonts w:cs="Arial"/>
                <w:sz w:val="22"/>
                <w:szCs w:val="22"/>
                <w:lang w:eastAsia="es-CO"/>
              </w:rPr>
              <w:t>número</w:t>
            </w:r>
            <w:r w:rsidR="001B1BC8" w:rsidRPr="00EB0C51">
              <w:rPr>
                <w:rFonts w:cs="Arial"/>
                <w:sz w:val="22"/>
                <w:szCs w:val="22"/>
                <w:lang w:eastAsia="es-CO"/>
              </w:rPr>
              <w:t xml:space="preserve"> de postulantes fue inferior a lo previsto</w:t>
            </w:r>
            <w:r w:rsidR="00B7009A" w:rsidRPr="00EB0C51">
              <w:rPr>
                <w:rFonts w:cs="Arial"/>
                <w:sz w:val="22"/>
                <w:szCs w:val="22"/>
                <w:lang w:eastAsia="es-CO"/>
              </w:rPr>
              <w:t>,</w:t>
            </w:r>
            <w:r w:rsidR="001B1BC8" w:rsidRPr="00EB0C51">
              <w:rPr>
                <w:rFonts w:cs="Arial"/>
                <w:sz w:val="22"/>
                <w:szCs w:val="22"/>
                <w:lang w:eastAsia="es-CO"/>
              </w:rPr>
              <w:t xml:space="preserve"> lo que ocasionó el saldo de</w:t>
            </w:r>
            <w:r w:rsidR="00B7009A" w:rsidRPr="00EB0C51">
              <w:rPr>
                <w:rFonts w:cs="Arial"/>
                <w:sz w:val="22"/>
                <w:szCs w:val="22"/>
                <w:lang w:eastAsia="es-CO"/>
              </w:rPr>
              <w:t>l</w:t>
            </w:r>
            <w:r w:rsidR="001B1BC8" w:rsidRPr="00EB0C51">
              <w:rPr>
                <w:rFonts w:cs="Arial"/>
                <w:sz w:val="22"/>
                <w:szCs w:val="22"/>
                <w:lang w:eastAsia="es-CO"/>
              </w:rPr>
              <w:t xml:space="preserve"> PAC.</w:t>
            </w:r>
          </w:p>
        </w:tc>
      </w:tr>
      <w:tr w:rsidR="001B1BC8" w:rsidRPr="00EB0C51" w14:paraId="4BC29F9D" w14:textId="77777777" w:rsidTr="00A457EB">
        <w:trPr>
          <w:trHeight w:val="3705"/>
        </w:trPr>
        <w:tc>
          <w:tcPr>
            <w:tcW w:w="708" w:type="dxa"/>
            <w:tcBorders>
              <w:top w:val="nil"/>
              <w:left w:val="single" w:sz="4" w:space="0" w:color="auto"/>
              <w:bottom w:val="single" w:sz="4" w:space="0" w:color="auto"/>
              <w:right w:val="single" w:sz="4" w:space="0" w:color="auto"/>
            </w:tcBorders>
            <w:shd w:val="clear" w:color="000000" w:fill="FFFFFF"/>
          </w:tcPr>
          <w:p w14:paraId="6D347653" w14:textId="77777777" w:rsidR="001B1BC8" w:rsidRPr="00EB0C51" w:rsidRDefault="001B1BC8" w:rsidP="002058A0">
            <w:pPr>
              <w:jc w:val="center"/>
              <w:rPr>
                <w:rFonts w:cs="Arial"/>
                <w:color w:val="000000"/>
                <w:sz w:val="20"/>
                <w:szCs w:val="20"/>
                <w:lang w:eastAsia="es-CO"/>
              </w:rPr>
            </w:pPr>
          </w:p>
          <w:p w14:paraId="10AC5194" w14:textId="77777777" w:rsidR="001B1BC8" w:rsidRPr="00EB0C51" w:rsidRDefault="001B1BC8" w:rsidP="002058A0">
            <w:pPr>
              <w:jc w:val="center"/>
              <w:rPr>
                <w:rFonts w:cs="Arial"/>
                <w:color w:val="000000"/>
                <w:sz w:val="20"/>
                <w:szCs w:val="20"/>
                <w:lang w:eastAsia="es-CO"/>
              </w:rPr>
            </w:pPr>
          </w:p>
          <w:p w14:paraId="3DC26552" w14:textId="77777777" w:rsidR="001B1BC8" w:rsidRPr="00EB0C51" w:rsidRDefault="001B1BC8" w:rsidP="002058A0">
            <w:pPr>
              <w:jc w:val="center"/>
              <w:rPr>
                <w:rFonts w:cs="Arial"/>
                <w:color w:val="000000"/>
                <w:sz w:val="20"/>
                <w:szCs w:val="20"/>
                <w:lang w:eastAsia="es-CO"/>
              </w:rPr>
            </w:pPr>
          </w:p>
          <w:p w14:paraId="65B5CA5C" w14:textId="77777777" w:rsidR="001B1BC8" w:rsidRPr="00EB0C51" w:rsidRDefault="001B1BC8" w:rsidP="002058A0">
            <w:pPr>
              <w:jc w:val="center"/>
              <w:rPr>
                <w:rFonts w:cs="Arial"/>
                <w:color w:val="000000"/>
                <w:sz w:val="20"/>
                <w:szCs w:val="20"/>
                <w:lang w:eastAsia="es-CO"/>
              </w:rPr>
            </w:pPr>
          </w:p>
          <w:p w14:paraId="0A2127E2" w14:textId="77777777" w:rsidR="001B1BC8" w:rsidRPr="00EB0C51" w:rsidRDefault="001B1BC8" w:rsidP="002058A0">
            <w:pPr>
              <w:jc w:val="center"/>
              <w:rPr>
                <w:rFonts w:cs="Arial"/>
                <w:color w:val="000000"/>
                <w:sz w:val="20"/>
                <w:szCs w:val="20"/>
                <w:lang w:eastAsia="es-CO"/>
              </w:rPr>
            </w:pPr>
          </w:p>
          <w:p w14:paraId="3503B144" w14:textId="77777777" w:rsidR="001B1BC8" w:rsidRPr="00EB0C51" w:rsidRDefault="001B1BC8" w:rsidP="002058A0">
            <w:pPr>
              <w:jc w:val="center"/>
              <w:rPr>
                <w:rFonts w:cs="Arial"/>
                <w:color w:val="000000"/>
                <w:sz w:val="20"/>
                <w:szCs w:val="20"/>
                <w:lang w:eastAsia="es-CO"/>
              </w:rPr>
            </w:pPr>
          </w:p>
          <w:p w14:paraId="69B43EF7" w14:textId="77777777" w:rsidR="001B1BC8" w:rsidRPr="00EB0C51" w:rsidRDefault="001B1BC8" w:rsidP="002058A0">
            <w:pPr>
              <w:jc w:val="center"/>
              <w:rPr>
                <w:rFonts w:cs="Arial"/>
                <w:color w:val="000000"/>
                <w:sz w:val="20"/>
                <w:szCs w:val="20"/>
                <w:lang w:eastAsia="es-CO"/>
              </w:rPr>
            </w:pPr>
          </w:p>
          <w:p w14:paraId="42E06B96" w14:textId="77777777" w:rsidR="001B1BC8" w:rsidRPr="00EB0C51" w:rsidRDefault="001B1BC8" w:rsidP="002058A0">
            <w:pPr>
              <w:jc w:val="center"/>
              <w:rPr>
                <w:rFonts w:cs="Arial"/>
                <w:color w:val="000000"/>
                <w:sz w:val="20"/>
                <w:szCs w:val="20"/>
                <w:lang w:eastAsia="es-CO"/>
              </w:rPr>
            </w:pPr>
          </w:p>
          <w:p w14:paraId="368C3BE0"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10</w:t>
            </w:r>
          </w:p>
        </w:tc>
        <w:tc>
          <w:tcPr>
            <w:tcW w:w="2270" w:type="dxa"/>
            <w:tcBorders>
              <w:top w:val="nil"/>
              <w:left w:val="single" w:sz="4" w:space="0" w:color="auto"/>
              <w:bottom w:val="single" w:sz="4" w:space="0" w:color="auto"/>
              <w:right w:val="single" w:sz="4" w:space="0" w:color="auto"/>
            </w:tcBorders>
            <w:shd w:val="clear" w:color="000000" w:fill="FFFFFF"/>
            <w:vAlign w:val="center"/>
            <w:hideMark/>
          </w:tcPr>
          <w:p w14:paraId="3CE1C6CF" w14:textId="77777777" w:rsidR="001B1BC8" w:rsidRPr="00EB0C51" w:rsidRDefault="001B1BC8" w:rsidP="002058A0">
            <w:pPr>
              <w:jc w:val="center"/>
              <w:rPr>
                <w:rFonts w:cs="Arial"/>
                <w:color w:val="000000"/>
                <w:sz w:val="20"/>
                <w:szCs w:val="20"/>
                <w:lang w:eastAsia="es-CO"/>
              </w:rPr>
            </w:pPr>
            <w:r w:rsidRPr="00EB0C51">
              <w:rPr>
                <w:rFonts w:cs="Arial"/>
                <w:color w:val="000000"/>
                <w:sz w:val="20"/>
                <w:szCs w:val="20"/>
                <w:lang w:eastAsia="es-CO"/>
              </w:rPr>
              <w:t>Transferencias Corrientes (3)</w:t>
            </w:r>
          </w:p>
        </w:tc>
        <w:tc>
          <w:tcPr>
            <w:tcW w:w="691" w:type="dxa"/>
            <w:tcBorders>
              <w:top w:val="nil"/>
              <w:left w:val="nil"/>
              <w:bottom w:val="single" w:sz="4" w:space="0" w:color="auto"/>
              <w:right w:val="single" w:sz="4" w:space="0" w:color="auto"/>
            </w:tcBorders>
            <w:shd w:val="clear" w:color="000000" w:fill="FFFFFF"/>
            <w:noWrap/>
            <w:vAlign w:val="center"/>
            <w:hideMark/>
          </w:tcPr>
          <w:p w14:paraId="3C94C326"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mayo</w:t>
            </w:r>
          </w:p>
        </w:tc>
        <w:tc>
          <w:tcPr>
            <w:tcW w:w="850" w:type="dxa"/>
            <w:tcBorders>
              <w:top w:val="nil"/>
              <w:left w:val="nil"/>
              <w:bottom w:val="single" w:sz="4" w:space="0" w:color="auto"/>
              <w:right w:val="single" w:sz="4" w:space="0" w:color="auto"/>
            </w:tcBorders>
            <w:shd w:val="clear" w:color="000000" w:fill="FFFFFF"/>
            <w:noWrap/>
            <w:vAlign w:val="center"/>
            <w:hideMark/>
          </w:tcPr>
          <w:p w14:paraId="320F5B60"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12315229"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16,80%</w:t>
            </w:r>
          </w:p>
        </w:tc>
        <w:tc>
          <w:tcPr>
            <w:tcW w:w="1642" w:type="dxa"/>
            <w:tcBorders>
              <w:top w:val="nil"/>
              <w:left w:val="nil"/>
              <w:bottom w:val="single" w:sz="4" w:space="0" w:color="auto"/>
              <w:right w:val="single" w:sz="4" w:space="0" w:color="auto"/>
            </w:tcBorders>
            <w:shd w:val="clear" w:color="000000" w:fill="FFFFFF"/>
            <w:noWrap/>
            <w:vAlign w:val="center"/>
            <w:hideMark/>
          </w:tcPr>
          <w:p w14:paraId="0929B209" w14:textId="77777777" w:rsidR="001B1BC8" w:rsidRPr="00EB0C51" w:rsidRDefault="001B1BC8" w:rsidP="0031784A">
            <w:pPr>
              <w:jc w:val="center"/>
              <w:rPr>
                <w:rFonts w:cs="Arial"/>
                <w:color w:val="000000"/>
                <w:sz w:val="20"/>
                <w:szCs w:val="20"/>
                <w:lang w:eastAsia="es-CO"/>
              </w:rPr>
            </w:pPr>
            <w:r w:rsidRPr="00EB0C51">
              <w:rPr>
                <w:rFonts w:cs="Arial"/>
                <w:color w:val="000000"/>
                <w:sz w:val="20"/>
                <w:szCs w:val="20"/>
                <w:lang w:eastAsia="es-CO"/>
              </w:rPr>
              <w:t>98.218.414.884</w:t>
            </w:r>
          </w:p>
        </w:tc>
        <w:tc>
          <w:tcPr>
            <w:tcW w:w="8299" w:type="dxa"/>
            <w:tcBorders>
              <w:top w:val="nil"/>
              <w:left w:val="nil"/>
              <w:bottom w:val="single" w:sz="4" w:space="0" w:color="auto"/>
              <w:right w:val="single" w:sz="4" w:space="0" w:color="auto"/>
            </w:tcBorders>
            <w:shd w:val="clear" w:color="000000" w:fill="FFFFFF"/>
            <w:vAlign w:val="center"/>
            <w:hideMark/>
          </w:tcPr>
          <w:p w14:paraId="435DF556" w14:textId="494B8F17" w:rsidR="0031784A" w:rsidRPr="00EB0C51" w:rsidRDefault="00BB504E" w:rsidP="002058A0">
            <w:pPr>
              <w:jc w:val="both"/>
              <w:rPr>
                <w:rFonts w:cs="Arial"/>
                <w:sz w:val="22"/>
                <w:szCs w:val="22"/>
                <w:lang w:eastAsia="es-CO"/>
              </w:rPr>
            </w:pPr>
            <w:r w:rsidRPr="00EB0C51">
              <w:rPr>
                <w:rFonts w:cs="Arial"/>
                <w:sz w:val="22"/>
                <w:szCs w:val="22"/>
                <w:lang w:eastAsia="es-CO"/>
              </w:rPr>
              <w:t>De acuerdo con lo comentado por el responsable, c</w:t>
            </w:r>
            <w:r w:rsidR="001B1BC8" w:rsidRPr="00EB0C51">
              <w:rPr>
                <w:rFonts w:cs="Arial"/>
                <w:sz w:val="22"/>
                <w:szCs w:val="22"/>
                <w:lang w:eastAsia="es-CO"/>
              </w:rPr>
              <w:t>on cargo a los recursos del FOME para atender la emergencia económica y social con ocasión de la pandemia del COVID-19, es indispensable garantizar la disponibilidad de recursos suficientes para el pago del Programa de Apoyo al Empleo Formal (PAEF) y del Programa para el Apoyo a la Prima de Servicio (PAP)</w:t>
            </w:r>
            <w:r w:rsidR="00A278F1" w:rsidRPr="00EB0C51">
              <w:rPr>
                <w:rFonts w:cs="Arial"/>
                <w:sz w:val="22"/>
                <w:szCs w:val="22"/>
                <w:lang w:eastAsia="es-CO"/>
              </w:rPr>
              <w:t xml:space="preserve"> por lo que </w:t>
            </w:r>
            <w:r w:rsidR="001B1BC8" w:rsidRPr="00EB0C51">
              <w:rPr>
                <w:rFonts w:cs="Arial"/>
                <w:sz w:val="22"/>
                <w:szCs w:val="22"/>
                <w:lang w:eastAsia="es-CO"/>
              </w:rPr>
              <w:t>se solicitaron recursos de acuerdo con la estimación de las empresas que se postularan como beneficiarias del programa y que fuer</w:t>
            </w:r>
            <w:r w:rsidR="000D1CC6" w:rsidRPr="00EB0C51">
              <w:rPr>
                <w:rFonts w:cs="Arial"/>
                <w:sz w:val="22"/>
                <w:szCs w:val="22"/>
                <w:lang w:eastAsia="es-CO"/>
              </w:rPr>
              <w:t>o</w:t>
            </w:r>
            <w:r w:rsidR="001B1BC8" w:rsidRPr="00EB0C51">
              <w:rPr>
                <w:rFonts w:cs="Arial"/>
                <w:sz w:val="22"/>
                <w:szCs w:val="22"/>
                <w:lang w:eastAsia="es-CO"/>
              </w:rPr>
              <w:t xml:space="preserve">n aprobadas por la UGPP; </w:t>
            </w:r>
            <w:r w:rsidR="000D1CC6" w:rsidRPr="00EB0C51">
              <w:rPr>
                <w:rFonts w:cs="Arial"/>
                <w:sz w:val="22"/>
                <w:szCs w:val="22"/>
                <w:lang w:eastAsia="es-CO"/>
              </w:rPr>
              <w:t>no obstante</w:t>
            </w:r>
            <w:r w:rsidR="001B1BC8" w:rsidRPr="00EB0C51">
              <w:rPr>
                <w:rFonts w:cs="Arial"/>
                <w:sz w:val="22"/>
                <w:szCs w:val="22"/>
                <w:lang w:eastAsia="es-CO"/>
              </w:rPr>
              <w:t xml:space="preserve">, el </w:t>
            </w:r>
            <w:r w:rsidR="0031784A" w:rsidRPr="00EB0C51">
              <w:rPr>
                <w:rFonts w:cs="Arial"/>
                <w:sz w:val="22"/>
                <w:szCs w:val="22"/>
                <w:lang w:eastAsia="es-CO"/>
              </w:rPr>
              <w:t>número</w:t>
            </w:r>
            <w:r w:rsidR="001B1BC8" w:rsidRPr="00EB0C51">
              <w:rPr>
                <w:rFonts w:cs="Arial"/>
                <w:sz w:val="22"/>
                <w:szCs w:val="22"/>
                <w:lang w:eastAsia="es-CO"/>
              </w:rPr>
              <w:t xml:space="preserve"> de postulantes fue inferior a lo previsto</w:t>
            </w:r>
            <w:r w:rsidR="000D1CC6" w:rsidRPr="00EB0C51">
              <w:rPr>
                <w:rFonts w:cs="Arial"/>
                <w:sz w:val="22"/>
                <w:szCs w:val="22"/>
                <w:lang w:eastAsia="es-CO"/>
              </w:rPr>
              <w:t>,</w:t>
            </w:r>
            <w:r w:rsidR="001B1BC8" w:rsidRPr="00EB0C51">
              <w:rPr>
                <w:rFonts w:cs="Arial"/>
                <w:sz w:val="22"/>
                <w:szCs w:val="22"/>
                <w:lang w:eastAsia="es-CO"/>
              </w:rPr>
              <w:t xml:space="preserve"> lo que </w:t>
            </w:r>
            <w:r w:rsidR="000D1CC6" w:rsidRPr="00EB0C51">
              <w:rPr>
                <w:rFonts w:cs="Arial"/>
                <w:sz w:val="22"/>
                <w:szCs w:val="22"/>
                <w:lang w:eastAsia="es-CO"/>
              </w:rPr>
              <w:t>provocó la generación d</w:t>
            </w:r>
            <w:r w:rsidR="001B1BC8" w:rsidRPr="00EB0C51">
              <w:rPr>
                <w:rFonts w:cs="Arial"/>
                <w:sz w:val="22"/>
                <w:szCs w:val="22"/>
                <w:lang w:eastAsia="es-CO"/>
              </w:rPr>
              <w:t>el saldo de</w:t>
            </w:r>
            <w:r w:rsidR="000D1CC6" w:rsidRPr="00EB0C51">
              <w:rPr>
                <w:rFonts w:cs="Arial"/>
                <w:sz w:val="22"/>
                <w:szCs w:val="22"/>
                <w:lang w:eastAsia="es-CO"/>
              </w:rPr>
              <w:t>l</w:t>
            </w:r>
            <w:r w:rsidR="001B1BC8" w:rsidRPr="00EB0C51">
              <w:rPr>
                <w:rFonts w:cs="Arial"/>
                <w:sz w:val="22"/>
                <w:szCs w:val="22"/>
                <w:lang w:eastAsia="es-CO"/>
              </w:rPr>
              <w:t xml:space="preserve"> PAC.</w:t>
            </w:r>
          </w:p>
          <w:p w14:paraId="1F9FAD28" w14:textId="39C5D619" w:rsidR="001B1BC8" w:rsidRPr="00EB0C51" w:rsidRDefault="001B1BC8" w:rsidP="002058A0">
            <w:pPr>
              <w:jc w:val="both"/>
              <w:rPr>
                <w:rFonts w:cs="Arial"/>
                <w:sz w:val="22"/>
                <w:szCs w:val="22"/>
                <w:lang w:eastAsia="es-CO"/>
              </w:rPr>
            </w:pPr>
            <w:r w:rsidRPr="00EB0C51">
              <w:rPr>
                <w:rFonts w:cs="Arial"/>
                <w:sz w:val="22"/>
                <w:szCs w:val="22"/>
                <w:lang w:eastAsia="es-CO"/>
              </w:rPr>
              <w:br/>
              <w:t>No</w:t>
            </w:r>
            <w:r w:rsidR="000D1CC6" w:rsidRPr="00EB0C51">
              <w:rPr>
                <w:rFonts w:cs="Arial"/>
                <w:sz w:val="22"/>
                <w:szCs w:val="22"/>
                <w:lang w:eastAsia="es-CO"/>
              </w:rPr>
              <w:t xml:space="preserve"> </w:t>
            </w:r>
            <w:r w:rsidRPr="00EB0C51">
              <w:rPr>
                <w:rFonts w:cs="Arial"/>
                <w:sz w:val="22"/>
                <w:szCs w:val="22"/>
                <w:lang w:eastAsia="es-CO"/>
              </w:rPr>
              <w:t>se ejecutaron los recursos programados para dar cumplimiento a las disposiciones del artículo 23 de la Ley 1ª de 1972 y el artículo 2° de la Ley 1528 de 2012, por valor de $20.000 millones con destino al Departamento de San Andr</w:t>
            </w:r>
            <w:r w:rsidR="007A1A02" w:rsidRPr="00EB0C51">
              <w:rPr>
                <w:rFonts w:cs="Arial"/>
                <w:sz w:val="22"/>
                <w:szCs w:val="22"/>
                <w:lang w:eastAsia="es-CO"/>
              </w:rPr>
              <w:t>é</w:t>
            </w:r>
            <w:r w:rsidRPr="00EB0C51">
              <w:rPr>
                <w:rFonts w:cs="Arial"/>
                <w:sz w:val="22"/>
                <w:szCs w:val="22"/>
                <w:lang w:eastAsia="es-CO"/>
              </w:rPr>
              <w:t xml:space="preserve">s, dado que DIAN no expidió la correspondiente certificación para tramitar la transferencia. </w:t>
            </w:r>
          </w:p>
        </w:tc>
      </w:tr>
    </w:tbl>
    <w:p w14:paraId="56A04B72" w14:textId="74F95783" w:rsidR="001B1BC8" w:rsidRPr="00EB0C51" w:rsidRDefault="0031784A" w:rsidP="0031784A">
      <w:pPr>
        <w:tabs>
          <w:tab w:val="left" w:pos="5872"/>
        </w:tabs>
        <w:jc w:val="center"/>
      </w:pPr>
      <w:r w:rsidRPr="00EB0C51">
        <w:rPr>
          <w:rFonts w:cs="Arial"/>
          <w:i/>
          <w:iCs/>
          <w:sz w:val="16"/>
          <w:szCs w:val="16"/>
        </w:rPr>
        <w:t>Fuente:</w:t>
      </w:r>
      <w:r w:rsidRPr="00EB0C51">
        <w:rPr>
          <w:rFonts w:cs="Arial"/>
          <w:sz w:val="16"/>
          <w:szCs w:val="16"/>
        </w:rPr>
        <w:t xml:space="preserve"> Elaboración propia auditor, con base en la información proporcionada por la Subdirección Financiera</w:t>
      </w:r>
    </w:p>
    <w:p w14:paraId="4EC083DA" w14:textId="77777777" w:rsidR="0031784A" w:rsidRPr="00EB0C51" w:rsidRDefault="0031784A" w:rsidP="0031784A">
      <w:pPr>
        <w:tabs>
          <w:tab w:val="left" w:pos="5872"/>
        </w:tabs>
        <w:jc w:val="center"/>
      </w:pPr>
    </w:p>
    <w:p w14:paraId="63890BAA" w14:textId="22D9B0F6" w:rsidR="0036070B" w:rsidRPr="00EB0C51" w:rsidRDefault="007A1A02" w:rsidP="00776608">
      <w:pPr>
        <w:tabs>
          <w:tab w:val="left" w:pos="5872"/>
        </w:tabs>
        <w:jc w:val="both"/>
      </w:pPr>
      <w:r w:rsidRPr="00EB0C51">
        <w:t xml:space="preserve">Como se puede apreciar en las </w:t>
      </w:r>
      <w:r w:rsidR="00776608" w:rsidRPr="00EB0C51">
        <w:t>justificaciones</w:t>
      </w:r>
      <w:r w:rsidRPr="00EB0C51">
        <w:t xml:space="preserve"> dadas por la Subdirección </w:t>
      </w:r>
      <w:r w:rsidR="00776608" w:rsidRPr="00EB0C51">
        <w:t xml:space="preserve">Financiera </w:t>
      </w:r>
      <w:r w:rsidRPr="00EB0C51">
        <w:t>con ocasión a la superación de los límites para no utilizar el PAC por objeto de gasto</w:t>
      </w:r>
      <w:r w:rsidR="00776608" w:rsidRPr="00EB0C51">
        <w:t xml:space="preserve">, novedades </w:t>
      </w:r>
      <w:r w:rsidR="006301CB" w:rsidRPr="00EB0C51">
        <w:t xml:space="preserve">observadas, </w:t>
      </w:r>
      <w:r w:rsidR="0070379B" w:rsidRPr="00EB0C51">
        <w:t xml:space="preserve">se presentaron por factores asociados a la Declaratoria  de Emergencia </w:t>
      </w:r>
      <w:r w:rsidR="008246A1" w:rsidRPr="00EB0C51">
        <w:t>con ocasión a la pandemia por el COVID 19</w:t>
      </w:r>
      <w:r w:rsidR="00644E5A" w:rsidRPr="00EB0C51">
        <w:t xml:space="preserve">. </w:t>
      </w:r>
    </w:p>
    <w:p w14:paraId="35089BFE" w14:textId="77777777" w:rsidR="0036070B" w:rsidRPr="00EB0C51" w:rsidRDefault="0036070B" w:rsidP="0031784A">
      <w:pPr>
        <w:tabs>
          <w:tab w:val="left" w:pos="5872"/>
        </w:tabs>
        <w:jc w:val="center"/>
      </w:pPr>
    </w:p>
    <w:p w14:paraId="1F98508F" w14:textId="77777777" w:rsidR="0036070B" w:rsidRPr="00EB0C51" w:rsidRDefault="0036070B" w:rsidP="006301CB">
      <w:pPr>
        <w:tabs>
          <w:tab w:val="left" w:pos="5872"/>
        </w:tabs>
        <w:sectPr w:rsidR="0036070B" w:rsidRPr="00EB0C51" w:rsidSect="006F12FE">
          <w:pgSz w:w="15840" w:h="12240" w:orient="landscape" w:code="1"/>
          <w:pgMar w:top="1418" w:right="1843" w:bottom="1134" w:left="1134" w:header="709" w:footer="346" w:gutter="0"/>
          <w:cols w:space="708"/>
          <w:docGrid w:linePitch="360"/>
        </w:sectPr>
      </w:pPr>
    </w:p>
    <w:p w14:paraId="540B8A45" w14:textId="77777777" w:rsidR="0036070B" w:rsidRPr="00EB0C51" w:rsidRDefault="0036070B" w:rsidP="0036070B">
      <w:pPr>
        <w:jc w:val="both"/>
        <w:rPr>
          <w:rFonts w:cs="Arial"/>
          <w:b/>
        </w:rPr>
      </w:pPr>
    </w:p>
    <w:p w14:paraId="59C44F28" w14:textId="7F9832FC" w:rsidR="0036070B" w:rsidRPr="00EB0C51" w:rsidRDefault="00196BDC" w:rsidP="00196BDC">
      <w:pPr>
        <w:jc w:val="both"/>
        <w:rPr>
          <w:rFonts w:cs="Arial"/>
          <w:b/>
        </w:rPr>
      </w:pPr>
      <w:r w:rsidRPr="00EB0C51">
        <w:rPr>
          <w:rFonts w:cs="Arial"/>
          <w:b/>
        </w:rPr>
        <w:t xml:space="preserve">5. </w:t>
      </w:r>
      <w:r w:rsidR="0036070B" w:rsidRPr="00EB0C51">
        <w:rPr>
          <w:rFonts w:cs="Arial"/>
          <w:b/>
        </w:rPr>
        <w:t xml:space="preserve"> OBSERVACIONES Y ACCIONES EN EL SMGI</w:t>
      </w:r>
    </w:p>
    <w:p w14:paraId="5B1DA66B" w14:textId="77777777" w:rsidR="0036070B" w:rsidRPr="00EB0C51" w:rsidRDefault="0036070B" w:rsidP="0036070B">
      <w:pPr>
        <w:jc w:val="both"/>
        <w:rPr>
          <w:rFonts w:cs="Arial"/>
          <w:b/>
        </w:rPr>
      </w:pPr>
    </w:p>
    <w:p w14:paraId="68396600" w14:textId="2DCE9C59" w:rsidR="00DD1584" w:rsidRPr="00EB0C51" w:rsidRDefault="0036070B" w:rsidP="00196BDC">
      <w:pPr>
        <w:jc w:val="both"/>
        <w:rPr>
          <w:rFonts w:cs="Arial"/>
          <w:color w:val="000000" w:themeColor="text1"/>
        </w:rPr>
      </w:pPr>
      <w:r w:rsidRPr="00EB0C51">
        <w:rPr>
          <w:rFonts w:cs="Arial"/>
          <w:color w:val="000000" w:themeColor="text1"/>
        </w:rPr>
        <w:t>Con base en lo verificado a lo largo de la auditoría a</w:t>
      </w:r>
      <w:r w:rsidR="00644E5A" w:rsidRPr="00EB0C51">
        <w:rPr>
          <w:rFonts w:cs="Arial"/>
          <w:color w:val="000000" w:themeColor="text1"/>
        </w:rPr>
        <w:t xml:space="preserve"> la ejecución presupuestal del MHCP correspondiente al periodo comprendido entre septiembre de 2020 a junio de 2021</w:t>
      </w:r>
      <w:r w:rsidRPr="00EB0C51">
        <w:rPr>
          <w:rFonts w:cs="Arial"/>
          <w:color w:val="000000" w:themeColor="text1"/>
        </w:rPr>
        <w:t>, no se identificaron observaciones que requieran la programación de acciones en el SMGI. Se invita a l</w:t>
      </w:r>
      <w:r w:rsidR="00FB1CA3" w:rsidRPr="00EB0C51">
        <w:rPr>
          <w:rFonts w:cs="Arial"/>
          <w:color w:val="000000" w:themeColor="text1"/>
        </w:rPr>
        <w:t>os responsables a seguir ejecutan</w:t>
      </w:r>
      <w:r w:rsidR="00B43720" w:rsidRPr="00EB0C51">
        <w:rPr>
          <w:rFonts w:cs="Arial"/>
          <w:color w:val="000000" w:themeColor="text1"/>
        </w:rPr>
        <w:t>do</w:t>
      </w:r>
      <w:r w:rsidR="00FB1CA3" w:rsidRPr="00EB0C51">
        <w:rPr>
          <w:rFonts w:cs="Arial"/>
          <w:color w:val="000000" w:themeColor="text1"/>
        </w:rPr>
        <w:t xml:space="preserve"> las acciones a lugar en cumplimiento de sus funciones y a la luz de sus competencias</w:t>
      </w:r>
      <w:r w:rsidR="00B43720" w:rsidRPr="00EB0C51">
        <w:rPr>
          <w:rFonts w:cs="Arial"/>
          <w:color w:val="000000" w:themeColor="text1"/>
        </w:rPr>
        <w:t>,</w:t>
      </w:r>
      <w:r w:rsidR="00FB1CA3" w:rsidRPr="00EB0C51">
        <w:rPr>
          <w:rFonts w:cs="Arial"/>
          <w:color w:val="000000" w:themeColor="text1"/>
        </w:rPr>
        <w:t xml:space="preserve"> </w:t>
      </w:r>
      <w:r w:rsidRPr="00EB0C51">
        <w:rPr>
          <w:rFonts w:cs="Arial"/>
          <w:color w:val="000000" w:themeColor="text1"/>
        </w:rPr>
        <w:t xml:space="preserve">con el fin de </w:t>
      </w:r>
      <w:r w:rsidR="00B43720" w:rsidRPr="00EB0C51">
        <w:rPr>
          <w:rFonts w:cs="Arial"/>
          <w:color w:val="000000" w:themeColor="text1"/>
        </w:rPr>
        <w:t>continuar</w:t>
      </w:r>
      <w:r w:rsidR="00FB1CA3" w:rsidRPr="00EB0C51">
        <w:rPr>
          <w:rFonts w:cs="Arial"/>
          <w:color w:val="000000" w:themeColor="text1"/>
        </w:rPr>
        <w:t xml:space="preserve"> consolidando una adecuada </w:t>
      </w:r>
      <w:r w:rsidR="00C43BCE" w:rsidRPr="00EB0C51">
        <w:rPr>
          <w:rFonts w:cs="Arial"/>
          <w:color w:val="000000" w:themeColor="text1"/>
        </w:rPr>
        <w:t>ejecución presupuestal</w:t>
      </w:r>
      <w:r w:rsidR="00B43720" w:rsidRPr="00EB0C51">
        <w:rPr>
          <w:rFonts w:cs="Arial"/>
          <w:color w:val="000000" w:themeColor="text1"/>
        </w:rPr>
        <w:t xml:space="preserve"> en </w:t>
      </w:r>
      <w:r w:rsidR="00437FB5" w:rsidRPr="00EB0C51">
        <w:rPr>
          <w:rFonts w:cs="Arial"/>
          <w:color w:val="000000" w:themeColor="text1"/>
        </w:rPr>
        <w:t>la</w:t>
      </w:r>
      <w:r w:rsidR="00B43720" w:rsidRPr="00EB0C51">
        <w:rPr>
          <w:rFonts w:cs="Arial"/>
          <w:color w:val="000000" w:themeColor="text1"/>
        </w:rPr>
        <w:t xml:space="preserve"> Entidad. </w:t>
      </w:r>
      <w:r w:rsidR="00C43BCE" w:rsidRPr="00EB0C51">
        <w:rPr>
          <w:rFonts w:cs="Arial"/>
          <w:color w:val="000000" w:themeColor="text1"/>
        </w:rPr>
        <w:t xml:space="preserve"> </w:t>
      </w:r>
    </w:p>
    <w:p w14:paraId="20DA0A17" w14:textId="77777777" w:rsidR="00C43BCE" w:rsidRPr="00EB0C51" w:rsidRDefault="00C43BCE" w:rsidP="00196BDC">
      <w:pPr>
        <w:jc w:val="both"/>
        <w:rPr>
          <w:rFonts w:cs="Arial"/>
        </w:rPr>
      </w:pPr>
    </w:p>
    <w:p w14:paraId="57A0437C" w14:textId="77777777" w:rsidR="00EE78CF" w:rsidRPr="00EB0C51" w:rsidRDefault="00EE78CF" w:rsidP="00EE78CF">
      <w:pPr>
        <w:jc w:val="both"/>
        <w:rPr>
          <w:rFonts w:cs="Arial"/>
          <w:b/>
          <w:color w:val="000000" w:themeColor="text1"/>
        </w:rPr>
      </w:pPr>
      <w:r w:rsidRPr="00EB0C51">
        <w:rPr>
          <w:rFonts w:cs="Arial"/>
          <w:b/>
          <w:color w:val="000000" w:themeColor="text1"/>
        </w:rPr>
        <w:t>6. CONCLUSIONES</w:t>
      </w:r>
    </w:p>
    <w:p w14:paraId="42B60477" w14:textId="77777777" w:rsidR="0036070B" w:rsidRPr="00EB0C51" w:rsidRDefault="0036070B" w:rsidP="0036070B">
      <w:pPr>
        <w:jc w:val="both"/>
        <w:rPr>
          <w:rFonts w:cs="Arial"/>
          <w:b/>
        </w:rPr>
      </w:pPr>
    </w:p>
    <w:p w14:paraId="5BD6192D" w14:textId="674D3993" w:rsidR="0036070B" w:rsidRPr="00EB0C51" w:rsidRDefault="0036070B" w:rsidP="0036070B">
      <w:pPr>
        <w:tabs>
          <w:tab w:val="left" w:pos="5727"/>
        </w:tabs>
        <w:jc w:val="both"/>
        <w:rPr>
          <w:rFonts w:cs="Arial"/>
          <w:color w:val="000000" w:themeColor="text1"/>
        </w:rPr>
      </w:pPr>
      <w:r w:rsidRPr="00EB0C51">
        <w:rPr>
          <w:rFonts w:cs="Arial"/>
          <w:color w:val="000000" w:themeColor="text1"/>
        </w:rPr>
        <w:t xml:space="preserve">Realizada la auditoría </w:t>
      </w:r>
      <w:r w:rsidR="00437FB5" w:rsidRPr="00EB0C51">
        <w:rPr>
          <w:rFonts w:cs="Arial"/>
          <w:color w:val="000000" w:themeColor="text1"/>
        </w:rPr>
        <w:t xml:space="preserve">a la ejecución presupuestal del MHCP, </w:t>
      </w:r>
      <w:r w:rsidRPr="00EB0C51">
        <w:rPr>
          <w:rFonts w:cs="Arial"/>
          <w:color w:val="000000" w:themeColor="text1"/>
        </w:rPr>
        <w:t xml:space="preserve">se concluye que en el periodo comprendido entre </w:t>
      </w:r>
      <w:r w:rsidR="00437FB5" w:rsidRPr="00EB0C51">
        <w:rPr>
          <w:rFonts w:cs="Arial"/>
          <w:color w:val="000000" w:themeColor="text1"/>
        </w:rPr>
        <w:t>septiembre</w:t>
      </w:r>
      <w:r w:rsidRPr="00EB0C51">
        <w:rPr>
          <w:rFonts w:cs="Arial"/>
          <w:color w:val="000000" w:themeColor="text1"/>
        </w:rPr>
        <w:t xml:space="preserve"> de 2020 a</w:t>
      </w:r>
      <w:r w:rsidR="00437FB5" w:rsidRPr="00EB0C51">
        <w:rPr>
          <w:rFonts w:cs="Arial"/>
          <w:color w:val="000000" w:themeColor="text1"/>
        </w:rPr>
        <w:t xml:space="preserve"> junio</w:t>
      </w:r>
      <w:r w:rsidRPr="00EB0C51">
        <w:rPr>
          <w:rFonts w:cs="Arial"/>
          <w:color w:val="000000" w:themeColor="text1"/>
        </w:rPr>
        <w:t xml:space="preserve"> de 2021, el MHCP </w:t>
      </w:r>
      <w:r w:rsidR="009F5EF8" w:rsidRPr="00EB0C51">
        <w:rPr>
          <w:rFonts w:cs="Arial"/>
          <w:color w:val="000000" w:themeColor="text1"/>
        </w:rPr>
        <w:t>gestionó el rezago presupuestal de la vigencia 2020</w:t>
      </w:r>
      <w:r w:rsidRPr="00EB0C51">
        <w:rPr>
          <w:rFonts w:cs="Arial"/>
          <w:color w:val="000000" w:themeColor="text1"/>
        </w:rPr>
        <w:t>,</w:t>
      </w:r>
      <w:r w:rsidR="00071B39" w:rsidRPr="00EB0C51">
        <w:rPr>
          <w:rFonts w:cs="Arial"/>
          <w:color w:val="000000" w:themeColor="text1"/>
        </w:rPr>
        <w:t xml:space="preserve"> los recursos asignados</w:t>
      </w:r>
      <w:r w:rsidR="0087652E" w:rsidRPr="00EB0C51">
        <w:rPr>
          <w:rFonts w:cs="Arial"/>
          <w:color w:val="000000" w:themeColor="text1"/>
        </w:rPr>
        <w:t>,</w:t>
      </w:r>
      <w:r w:rsidR="00071B39" w:rsidRPr="00EB0C51">
        <w:rPr>
          <w:rFonts w:cs="Arial"/>
          <w:color w:val="000000" w:themeColor="text1"/>
        </w:rPr>
        <w:t xml:space="preserve"> con corte a junio de 2021 y el </w:t>
      </w:r>
      <w:r w:rsidR="0087652E" w:rsidRPr="00EB0C51">
        <w:rPr>
          <w:rFonts w:cs="Arial"/>
          <w:color w:val="000000" w:themeColor="text1"/>
        </w:rPr>
        <w:t>P</w:t>
      </w:r>
      <w:r w:rsidR="00071B39" w:rsidRPr="00EB0C51">
        <w:rPr>
          <w:rFonts w:cs="Arial"/>
          <w:color w:val="000000" w:themeColor="text1"/>
        </w:rPr>
        <w:t>rograma Anual Mensualizado de Caja</w:t>
      </w:r>
      <w:r w:rsidR="0087652E" w:rsidRPr="00EB0C51">
        <w:rPr>
          <w:rFonts w:cs="Arial"/>
          <w:color w:val="000000" w:themeColor="text1"/>
        </w:rPr>
        <w:t xml:space="preserve"> PAC</w:t>
      </w:r>
      <w:r w:rsidR="00071B39" w:rsidRPr="00EB0C51">
        <w:rPr>
          <w:rFonts w:cs="Arial"/>
          <w:color w:val="000000" w:themeColor="text1"/>
        </w:rPr>
        <w:t xml:space="preserve">, de conformidad con el marco legal establecido </w:t>
      </w:r>
      <w:r w:rsidR="002F1AB2" w:rsidRPr="00EB0C51">
        <w:rPr>
          <w:rFonts w:cs="Arial"/>
          <w:color w:val="000000" w:themeColor="text1"/>
        </w:rPr>
        <w:t>para</w:t>
      </w:r>
      <w:r w:rsidR="00071B39" w:rsidRPr="00EB0C51">
        <w:rPr>
          <w:rFonts w:cs="Arial"/>
          <w:color w:val="000000" w:themeColor="text1"/>
        </w:rPr>
        <w:t xml:space="preserve"> la materia. </w:t>
      </w:r>
    </w:p>
    <w:p w14:paraId="3F90CC48" w14:textId="77777777" w:rsidR="0036070B" w:rsidRPr="00EB0C51" w:rsidRDefault="0036070B" w:rsidP="0036070B">
      <w:pPr>
        <w:tabs>
          <w:tab w:val="left" w:pos="5727"/>
        </w:tabs>
        <w:jc w:val="both"/>
        <w:rPr>
          <w:rFonts w:cs="Arial"/>
          <w:color w:val="FF0000"/>
        </w:rPr>
      </w:pPr>
    </w:p>
    <w:p w14:paraId="30F9C671" w14:textId="77777777" w:rsidR="0036070B" w:rsidRPr="00EB0C51" w:rsidRDefault="0036070B" w:rsidP="0036070B">
      <w:pPr>
        <w:spacing w:after="120"/>
        <w:jc w:val="both"/>
        <w:rPr>
          <w:rFonts w:cs="Arial"/>
          <w:sz w:val="16"/>
          <w:szCs w:val="16"/>
        </w:rPr>
      </w:pPr>
      <w:r w:rsidRPr="00EB0C51">
        <w:rPr>
          <w:rFonts w:cs="Arial"/>
          <w:sz w:val="16"/>
          <w:szCs w:val="16"/>
        </w:rPr>
        <w:t xml:space="preserve">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 </w:t>
      </w:r>
    </w:p>
    <w:p w14:paraId="15E860CC" w14:textId="0ACDA715" w:rsidR="00FB2D65" w:rsidRPr="00D93904" w:rsidRDefault="0036070B" w:rsidP="0036070B">
      <w:pPr>
        <w:spacing w:after="120"/>
        <w:jc w:val="both"/>
        <w:rPr>
          <w:rFonts w:cs="Arial"/>
          <w:b/>
        </w:rPr>
      </w:pPr>
      <w:r w:rsidRPr="00EB0C51">
        <w:rPr>
          <w:rFonts w:cs="Arial"/>
          <w:sz w:val="16"/>
          <w:szCs w:val="16"/>
          <w:lang w:val="es-ES"/>
        </w:rPr>
        <w:t>Los procedimientos de revisión se realizaron sobre unas muestras evaluadas, por lo cual, en el momento de las verificaciones indicadas, se recomienda considerar la revisión de los posibles efectos sobre el total del universo.</w:t>
      </w:r>
      <w:r>
        <w:rPr>
          <w:rFonts w:cs="Arial"/>
          <w:sz w:val="16"/>
          <w:szCs w:val="16"/>
          <w:lang w:val="es-ES"/>
        </w:rPr>
        <w:t xml:space="preserve">  </w:t>
      </w:r>
    </w:p>
    <w:sectPr w:rsidR="00FB2D65" w:rsidRPr="00D93904" w:rsidSect="0036070B">
      <w:pgSz w:w="12240" w:h="15840" w:code="1"/>
      <w:pgMar w:top="1843" w:right="1134" w:bottom="1134"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F28A0" w14:textId="77777777" w:rsidR="00903C15" w:rsidRDefault="00903C15">
      <w:r>
        <w:separator/>
      </w:r>
    </w:p>
  </w:endnote>
  <w:endnote w:type="continuationSeparator" w:id="0">
    <w:p w14:paraId="2209100C" w14:textId="77777777" w:rsidR="00903C15" w:rsidRDefault="00903C15">
      <w:r>
        <w:continuationSeparator/>
      </w:r>
    </w:p>
  </w:endnote>
  <w:endnote w:type="continuationNotice" w:id="1">
    <w:p w14:paraId="715AE959" w14:textId="77777777" w:rsidR="00903C15" w:rsidRDefault="00903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FB63B" w14:textId="77777777" w:rsidR="002058A0" w:rsidRPr="008517C7" w:rsidRDefault="002058A0" w:rsidP="000B0686">
    <w:pPr>
      <w:pStyle w:val="Piedepgina"/>
      <w:jc w:val="right"/>
      <w:rPr>
        <w:rFonts w:cs="Arial"/>
        <w:sz w:val="22"/>
        <w:szCs w:val="22"/>
      </w:rPr>
    </w:pPr>
    <w:r w:rsidRPr="008517C7">
      <w:rPr>
        <w:rFonts w:cs="Arial"/>
        <w:sz w:val="22"/>
        <w:szCs w:val="22"/>
      </w:rPr>
      <w:fldChar w:fldCharType="begin"/>
    </w:r>
    <w:r w:rsidRPr="008517C7">
      <w:rPr>
        <w:rFonts w:cs="Arial"/>
        <w:sz w:val="22"/>
        <w:szCs w:val="22"/>
      </w:rPr>
      <w:instrText xml:space="preserve"> PAGE   \* MERGEFORMAT </w:instrText>
    </w:r>
    <w:r w:rsidRPr="008517C7">
      <w:rPr>
        <w:rFonts w:cs="Arial"/>
        <w:sz w:val="22"/>
        <w:szCs w:val="22"/>
      </w:rPr>
      <w:fldChar w:fldCharType="separate"/>
    </w:r>
    <w:r>
      <w:rPr>
        <w:rFonts w:cs="Arial"/>
        <w:sz w:val="22"/>
        <w:szCs w:val="22"/>
      </w:rPr>
      <w:t>1</w:t>
    </w:r>
    <w:r w:rsidRPr="008517C7">
      <w:rPr>
        <w:rFonts w:cs="Arial"/>
        <w:sz w:val="22"/>
        <w:szCs w:val="22"/>
      </w:rPr>
      <w:fldChar w:fldCharType="end"/>
    </w:r>
  </w:p>
  <w:p w14:paraId="66EED6D7" w14:textId="77777777" w:rsidR="002058A0" w:rsidRPr="00E624C1" w:rsidRDefault="002058A0" w:rsidP="000B0686">
    <w:pPr>
      <w:pStyle w:val="Piedepgina"/>
      <w:pBdr>
        <w:top w:val="thickThinSmallGap" w:sz="24" w:space="1" w:color="auto"/>
      </w:pBdr>
      <w:tabs>
        <w:tab w:val="clear" w:pos="4252"/>
        <w:tab w:val="clear" w:pos="8504"/>
        <w:tab w:val="left" w:pos="4395"/>
      </w:tabs>
      <w:ind w:right="360"/>
      <w:rPr>
        <w:rFonts w:cs="Arial"/>
        <w:b/>
        <w:sz w:val="22"/>
        <w:szCs w:val="22"/>
      </w:rPr>
    </w:pPr>
    <w:r w:rsidRPr="00E624C1">
      <w:rPr>
        <w:rFonts w:cs="Arial"/>
        <w:b/>
        <w:snapToGrid w:val="0"/>
        <w:sz w:val="22"/>
        <w:szCs w:val="22"/>
      </w:rPr>
      <w:t xml:space="preserve">Oficina de Control Interno </w:t>
    </w:r>
  </w:p>
  <w:p w14:paraId="2AE61D03" w14:textId="77777777" w:rsidR="002058A0" w:rsidRDefault="002058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5C51D" w14:textId="77777777" w:rsidR="002058A0" w:rsidRDefault="002058A0" w:rsidP="009867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87CEFE" w14:textId="77777777" w:rsidR="002058A0" w:rsidRDefault="002058A0" w:rsidP="00E8326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CF04D" w14:textId="77777777" w:rsidR="002058A0" w:rsidRPr="008517C7" w:rsidRDefault="002058A0">
    <w:pPr>
      <w:pStyle w:val="Piedepgina"/>
      <w:jc w:val="right"/>
      <w:rPr>
        <w:rFonts w:cs="Arial"/>
        <w:sz w:val="22"/>
        <w:szCs w:val="22"/>
      </w:rPr>
    </w:pPr>
    <w:r w:rsidRPr="008517C7">
      <w:rPr>
        <w:rFonts w:cs="Arial"/>
        <w:sz w:val="22"/>
        <w:szCs w:val="22"/>
      </w:rPr>
      <w:fldChar w:fldCharType="begin"/>
    </w:r>
    <w:r w:rsidRPr="008517C7">
      <w:rPr>
        <w:rFonts w:cs="Arial"/>
        <w:sz w:val="22"/>
        <w:szCs w:val="22"/>
      </w:rPr>
      <w:instrText xml:space="preserve"> PAGE   \* MERGEFORMAT </w:instrText>
    </w:r>
    <w:r w:rsidRPr="008517C7">
      <w:rPr>
        <w:rFonts w:cs="Arial"/>
        <w:sz w:val="22"/>
        <w:szCs w:val="22"/>
      </w:rPr>
      <w:fldChar w:fldCharType="separate"/>
    </w:r>
    <w:r>
      <w:rPr>
        <w:rFonts w:cs="Arial"/>
        <w:noProof/>
        <w:sz w:val="22"/>
        <w:szCs w:val="22"/>
      </w:rPr>
      <w:t>1</w:t>
    </w:r>
    <w:r w:rsidRPr="008517C7">
      <w:rPr>
        <w:rFonts w:cs="Arial"/>
        <w:sz w:val="22"/>
        <w:szCs w:val="22"/>
      </w:rPr>
      <w:fldChar w:fldCharType="end"/>
    </w:r>
  </w:p>
  <w:p w14:paraId="36CB9BE8" w14:textId="77777777" w:rsidR="002058A0" w:rsidRPr="00E624C1" w:rsidRDefault="002058A0" w:rsidP="008517C7">
    <w:pPr>
      <w:pStyle w:val="Piedepgina"/>
      <w:pBdr>
        <w:top w:val="thickThinSmallGap" w:sz="24" w:space="1" w:color="auto"/>
      </w:pBdr>
      <w:tabs>
        <w:tab w:val="clear" w:pos="4252"/>
        <w:tab w:val="clear" w:pos="8504"/>
        <w:tab w:val="left" w:pos="4395"/>
      </w:tabs>
      <w:ind w:right="360"/>
      <w:rPr>
        <w:rFonts w:cs="Arial"/>
        <w:b/>
        <w:sz w:val="22"/>
        <w:szCs w:val="22"/>
      </w:rPr>
    </w:pPr>
    <w:r w:rsidRPr="00E624C1">
      <w:rPr>
        <w:rFonts w:cs="Arial"/>
        <w:b/>
        <w:snapToGrid w:val="0"/>
        <w:sz w:val="22"/>
        <w:szCs w:val="22"/>
      </w:rPr>
      <w:t xml:space="preserve">Oficina de Control Interno </w:t>
    </w:r>
  </w:p>
  <w:p w14:paraId="3C28D645" w14:textId="77777777" w:rsidR="002058A0" w:rsidRDefault="002058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126C3" w14:textId="77777777" w:rsidR="00903C15" w:rsidRDefault="00903C15">
      <w:r>
        <w:separator/>
      </w:r>
    </w:p>
  </w:footnote>
  <w:footnote w:type="continuationSeparator" w:id="0">
    <w:p w14:paraId="2F1C6C41" w14:textId="77777777" w:rsidR="00903C15" w:rsidRDefault="00903C15">
      <w:r>
        <w:continuationSeparator/>
      </w:r>
    </w:p>
  </w:footnote>
  <w:footnote w:type="continuationNotice" w:id="1">
    <w:p w14:paraId="5A70934F" w14:textId="77777777" w:rsidR="00903C15" w:rsidRDefault="00903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8"/>
      <w:gridCol w:w="4003"/>
      <w:gridCol w:w="1134"/>
      <w:gridCol w:w="1842"/>
    </w:tblGrid>
    <w:tr w:rsidR="002058A0" w14:paraId="6F96F8D9" w14:textId="77777777" w:rsidTr="002058A0">
      <w:trPr>
        <w:cantSplit/>
        <w:trHeight w:val="276"/>
        <w:jc w:val="center"/>
      </w:trPr>
      <w:tc>
        <w:tcPr>
          <w:tcW w:w="2828" w:type="dxa"/>
          <w:vMerge w:val="restart"/>
          <w:tcBorders>
            <w:top w:val="single" w:sz="4" w:space="0" w:color="auto"/>
          </w:tcBorders>
          <w:vAlign w:val="center"/>
        </w:tcPr>
        <w:p w14:paraId="2C08D7E1" w14:textId="77777777" w:rsidR="002058A0" w:rsidRDefault="002058A0" w:rsidP="00F014B4">
          <w:pPr>
            <w:pStyle w:val="Encabezado"/>
            <w:jc w:val="center"/>
          </w:pPr>
          <w:r>
            <w:rPr>
              <w:noProof/>
              <w:lang w:val="en-US" w:eastAsia="en-US"/>
            </w:rPr>
            <w:drawing>
              <wp:inline distT="0" distB="0" distL="0" distR="0" wp14:anchorId="31B5E5CD" wp14:editId="2A3DB18E">
                <wp:extent cx="1675130" cy="43878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5130" cy="438785"/>
                        </a:xfrm>
                        <a:prstGeom prst="rect">
                          <a:avLst/>
                        </a:prstGeom>
                        <a:noFill/>
                        <a:ln>
                          <a:noFill/>
                        </a:ln>
                      </pic:spPr>
                    </pic:pic>
                  </a:graphicData>
                </a:graphic>
              </wp:inline>
            </w:drawing>
          </w:r>
        </w:p>
      </w:tc>
      <w:tc>
        <w:tcPr>
          <w:tcW w:w="4003" w:type="dxa"/>
          <w:vMerge w:val="restart"/>
          <w:tcBorders>
            <w:top w:val="single" w:sz="4" w:space="0" w:color="auto"/>
          </w:tcBorders>
          <w:vAlign w:val="center"/>
        </w:tcPr>
        <w:p w14:paraId="6A4EA60E" w14:textId="77777777" w:rsidR="002058A0" w:rsidRPr="00253B3F" w:rsidRDefault="002058A0" w:rsidP="00F014B4">
          <w:pPr>
            <w:jc w:val="center"/>
            <w:rPr>
              <w:rFonts w:cs="Arial"/>
              <w:b/>
            </w:rPr>
          </w:pPr>
          <w:r w:rsidRPr="008128E2">
            <w:rPr>
              <w:rFonts w:cs="Arial"/>
              <w:b/>
            </w:rPr>
            <w:t>INFORME AUDITORÍA INTERNA</w:t>
          </w:r>
        </w:p>
      </w:tc>
      <w:tc>
        <w:tcPr>
          <w:tcW w:w="1134" w:type="dxa"/>
          <w:tcBorders>
            <w:top w:val="single" w:sz="4" w:space="0" w:color="auto"/>
          </w:tcBorders>
          <w:vAlign w:val="center"/>
        </w:tcPr>
        <w:p w14:paraId="664566B0" w14:textId="77777777" w:rsidR="002058A0" w:rsidRPr="008128E2" w:rsidRDefault="002058A0" w:rsidP="00F014B4">
          <w:pPr>
            <w:pStyle w:val="Encabezado"/>
            <w:rPr>
              <w:rFonts w:cs="Arial"/>
              <w:b/>
              <w:sz w:val="20"/>
              <w:szCs w:val="20"/>
            </w:rPr>
          </w:pPr>
          <w:r w:rsidRPr="008128E2">
            <w:rPr>
              <w:b/>
              <w:sz w:val="20"/>
              <w:szCs w:val="20"/>
            </w:rPr>
            <w:t>Código:</w:t>
          </w:r>
          <w:r w:rsidRPr="008128E2">
            <w:rPr>
              <w:sz w:val="20"/>
              <w:szCs w:val="20"/>
            </w:rPr>
            <w:t xml:space="preserve"> </w:t>
          </w:r>
        </w:p>
      </w:tc>
      <w:tc>
        <w:tcPr>
          <w:tcW w:w="1842" w:type="dxa"/>
          <w:tcBorders>
            <w:top w:val="single" w:sz="4" w:space="0" w:color="auto"/>
          </w:tcBorders>
          <w:vAlign w:val="center"/>
        </w:tcPr>
        <w:p w14:paraId="0F815498" w14:textId="77777777" w:rsidR="002058A0" w:rsidRPr="008128E2" w:rsidRDefault="002058A0" w:rsidP="00F014B4">
          <w:pPr>
            <w:jc w:val="center"/>
            <w:rPr>
              <w:rFonts w:cs="Arial"/>
              <w:b/>
              <w:sz w:val="20"/>
              <w:szCs w:val="20"/>
            </w:rPr>
          </w:pPr>
          <w:r w:rsidRPr="008128E2">
            <w:rPr>
              <w:rFonts w:cs="Arial"/>
              <w:b/>
              <w:sz w:val="20"/>
              <w:szCs w:val="20"/>
            </w:rPr>
            <w:t>Eva.1.1 Pro.2.Fr.2</w:t>
          </w:r>
        </w:p>
      </w:tc>
    </w:tr>
    <w:tr w:rsidR="002058A0" w14:paraId="4F041517" w14:textId="77777777" w:rsidTr="002058A0">
      <w:trPr>
        <w:cantSplit/>
        <w:trHeight w:val="147"/>
        <w:jc w:val="center"/>
      </w:trPr>
      <w:tc>
        <w:tcPr>
          <w:tcW w:w="2828" w:type="dxa"/>
          <w:vMerge/>
        </w:tcPr>
        <w:p w14:paraId="0DD58E6D" w14:textId="77777777" w:rsidR="002058A0" w:rsidRDefault="002058A0" w:rsidP="00F014B4">
          <w:pPr>
            <w:pStyle w:val="Encabezado"/>
            <w:jc w:val="center"/>
          </w:pPr>
        </w:p>
      </w:tc>
      <w:tc>
        <w:tcPr>
          <w:tcW w:w="4003" w:type="dxa"/>
          <w:vMerge/>
        </w:tcPr>
        <w:p w14:paraId="54C5AD29" w14:textId="77777777" w:rsidR="002058A0" w:rsidRPr="00253B3F" w:rsidRDefault="002058A0" w:rsidP="00F014B4">
          <w:pPr>
            <w:pStyle w:val="Encabezado"/>
            <w:jc w:val="center"/>
            <w:rPr>
              <w:b/>
            </w:rPr>
          </w:pPr>
        </w:p>
      </w:tc>
      <w:tc>
        <w:tcPr>
          <w:tcW w:w="1134" w:type="dxa"/>
          <w:vAlign w:val="center"/>
        </w:tcPr>
        <w:p w14:paraId="3E90D543" w14:textId="77777777" w:rsidR="002058A0" w:rsidRPr="008128E2" w:rsidRDefault="002058A0" w:rsidP="00F014B4">
          <w:pPr>
            <w:pStyle w:val="Encabezado"/>
            <w:rPr>
              <w:b/>
              <w:sz w:val="20"/>
              <w:szCs w:val="20"/>
            </w:rPr>
          </w:pPr>
          <w:r w:rsidRPr="008128E2">
            <w:rPr>
              <w:b/>
              <w:sz w:val="20"/>
              <w:szCs w:val="20"/>
            </w:rPr>
            <w:t>Fecha:</w:t>
          </w:r>
        </w:p>
      </w:tc>
      <w:tc>
        <w:tcPr>
          <w:tcW w:w="1842" w:type="dxa"/>
          <w:vAlign w:val="center"/>
        </w:tcPr>
        <w:p w14:paraId="55523D3C" w14:textId="77777777" w:rsidR="002058A0" w:rsidRPr="008128E2" w:rsidRDefault="002058A0" w:rsidP="00F014B4">
          <w:pPr>
            <w:pStyle w:val="Encabezado"/>
            <w:jc w:val="center"/>
            <w:rPr>
              <w:b/>
              <w:sz w:val="20"/>
              <w:szCs w:val="20"/>
            </w:rPr>
          </w:pPr>
          <w:r>
            <w:rPr>
              <w:b/>
              <w:sz w:val="20"/>
              <w:szCs w:val="20"/>
            </w:rPr>
            <w:t>24-08-2020</w:t>
          </w:r>
        </w:p>
      </w:tc>
    </w:tr>
    <w:tr w:rsidR="002058A0" w14:paraId="7B5F995D" w14:textId="77777777" w:rsidTr="002058A0">
      <w:trPr>
        <w:cantSplit/>
        <w:trHeight w:val="147"/>
        <w:jc w:val="center"/>
      </w:trPr>
      <w:tc>
        <w:tcPr>
          <w:tcW w:w="2828" w:type="dxa"/>
          <w:vMerge/>
        </w:tcPr>
        <w:p w14:paraId="6AA9FB94" w14:textId="77777777" w:rsidR="002058A0" w:rsidRDefault="002058A0" w:rsidP="00F014B4">
          <w:pPr>
            <w:pStyle w:val="Encabezado"/>
            <w:jc w:val="center"/>
          </w:pPr>
        </w:p>
      </w:tc>
      <w:tc>
        <w:tcPr>
          <w:tcW w:w="4003" w:type="dxa"/>
          <w:vMerge/>
        </w:tcPr>
        <w:p w14:paraId="16255002" w14:textId="77777777" w:rsidR="002058A0" w:rsidRPr="00253B3F" w:rsidRDefault="002058A0" w:rsidP="00F014B4">
          <w:pPr>
            <w:pStyle w:val="Encabezado"/>
            <w:jc w:val="center"/>
            <w:rPr>
              <w:b/>
            </w:rPr>
          </w:pPr>
        </w:p>
      </w:tc>
      <w:tc>
        <w:tcPr>
          <w:tcW w:w="1134" w:type="dxa"/>
          <w:vAlign w:val="center"/>
        </w:tcPr>
        <w:p w14:paraId="307B1E24" w14:textId="77777777" w:rsidR="002058A0" w:rsidRPr="008128E2" w:rsidRDefault="002058A0" w:rsidP="00F014B4">
          <w:pPr>
            <w:pStyle w:val="Encabezado"/>
            <w:rPr>
              <w:b/>
              <w:sz w:val="20"/>
              <w:szCs w:val="20"/>
            </w:rPr>
          </w:pPr>
          <w:r w:rsidRPr="008128E2">
            <w:rPr>
              <w:b/>
              <w:sz w:val="20"/>
              <w:szCs w:val="20"/>
            </w:rPr>
            <w:t xml:space="preserve">Versión: </w:t>
          </w:r>
        </w:p>
      </w:tc>
      <w:tc>
        <w:tcPr>
          <w:tcW w:w="1842" w:type="dxa"/>
          <w:vAlign w:val="center"/>
        </w:tcPr>
        <w:p w14:paraId="7E401481" w14:textId="77777777" w:rsidR="002058A0" w:rsidRPr="008128E2" w:rsidRDefault="002058A0" w:rsidP="00F014B4">
          <w:pPr>
            <w:pStyle w:val="Encabezado"/>
            <w:jc w:val="center"/>
            <w:rPr>
              <w:b/>
              <w:sz w:val="20"/>
              <w:szCs w:val="20"/>
            </w:rPr>
          </w:pPr>
          <w:r w:rsidRPr="008128E2">
            <w:rPr>
              <w:b/>
              <w:sz w:val="20"/>
              <w:szCs w:val="20"/>
            </w:rPr>
            <w:t>4</w:t>
          </w:r>
        </w:p>
      </w:tc>
    </w:tr>
    <w:tr w:rsidR="002058A0" w14:paraId="4F5958F1" w14:textId="77777777" w:rsidTr="002058A0">
      <w:trPr>
        <w:cantSplit/>
        <w:trHeight w:val="148"/>
        <w:jc w:val="center"/>
      </w:trPr>
      <w:tc>
        <w:tcPr>
          <w:tcW w:w="2828" w:type="dxa"/>
          <w:vMerge/>
          <w:tcBorders>
            <w:top w:val="single" w:sz="4" w:space="0" w:color="000000" w:themeColor="text1"/>
            <w:bottom w:val="single" w:sz="4" w:space="0" w:color="auto"/>
          </w:tcBorders>
        </w:tcPr>
        <w:p w14:paraId="1D8B7268" w14:textId="77777777" w:rsidR="002058A0" w:rsidRDefault="002058A0" w:rsidP="00F014B4">
          <w:pPr>
            <w:pStyle w:val="Encabezado"/>
            <w:jc w:val="center"/>
            <w:rPr>
              <w:b/>
            </w:rPr>
          </w:pPr>
        </w:p>
      </w:tc>
      <w:tc>
        <w:tcPr>
          <w:tcW w:w="4003" w:type="dxa"/>
          <w:vMerge/>
          <w:tcBorders>
            <w:top w:val="single" w:sz="4" w:space="0" w:color="000000" w:themeColor="text1"/>
            <w:bottom w:val="single" w:sz="4" w:space="0" w:color="auto"/>
          </w:tcBorders>
        </w:tcPr>
        <w:p w14:paraId="09B0CFBC" w14:textId="77777777" w:rsidR="002058A0" w:rsidRPr="00253B3F" w:rsidRDefault="002058A0" w:rsidP="00F014B4">
          <w:pPr>
            <w:pStyle w:val="Encabezado"/>
            <w:jc w:val="center"/>
            <w:rPr>
              <w:b/>
            </w:rPr>
          </w:pPr>
        </w:p>
      </w:tc>
      <w:tc>
        <w:tcPr>
          <w:tcW w:w="1134" w:type="dxa"/>
          <w:tcBorders>
            <w:top w:val="single" w:sz="4" w:space="0" w:color="000000" w:themeColor="text1"/>
          </w:tcBorders>
          <w:vAlign w:val="center"/>
        </w:tcPr>
        <w:p w14:paraId="5F1E0B81" w14:textId="77777777" w:rsidR="002058A0" w:rsidRPr="008128E2" w:rsidRDefault="002058A0" w:rsidP="00F014B4">
          <w:pPr>
            <w:pStyle w:val="Encabezado"/>
            <w:rPr>
              <w:b/>
              <w:sz w:val="20"/>
              <w:szCs w:val="20"/>
            </w:rPr>
          </w:pPr>
          <w:r w:rsidRPr="008128E2">
            <w:rPr>
              <w:b/>
              <w:sz w:val="20"/>
              <w:szCs w:val="20"/>
            </w:rPr>
            <w:t xml:space="preserve">Página: </w:t>
          </w:r>
        </w:p>
      </w:tc>
      <w:tc>
        <w:tcPr>
          <w:tcW w:w="1842" w:type="dxa"/>
          <w:tcBorders>
            <w:top w:val="single" w:sz="4" w:space="0" w:color="000000" w:themeColor="text1"/>
          </w:tcBorders>
          <w:vAlign w:val="center"/>
        </w:tcPr>
        <w:p w14:paraId="1EAC3426" w14:textId="77777777" w:rsidR="002058A0" w:rsidRPr="008128E2" w:rsidRDefault="002058A0" w:rsidP="00F014B4">
          <w:pPr>
            <w:pStyle w:val="Encabezado"/>
            <w:jc w:val="center"/>
            <w:rPr>
              <w:b/>
              <w:sz w:val="20"/>
              <w:szCs w:val="20"/>
            </w:rPr>
          </w:pPr>
          <w:r w:rsidRPr="008128E2">
            <w:rPr>
              <w:rFonts w:cs="Arial"/>
              <w:b/>
              <w:sz w:val="20"/>
              <w:szCs w:val="20"/>
            </w:rPr>
            <w:fldChar w:fldCharType="begin"/>
          </w:r>
          <w:r w:rsidRPr="008128E2">
            <w:rPr>
              <w:rFonts w:cs="Arial"/>
              <w:b/>
              <w:sz w:val="20"/>
              <w:szCs w:val="20"/>
            </w:rPr>
            <w:instrText xml:space="preserve"> PAGE </w:instrText>
          </w:r>
          <w:r w:rsidRPr="008128E2">
            <w:rPr>
              <w:rFonts w:cs="Arial"/>
              <w:b/>
              <w:sz w:val="20"/>
              <w:szCs w:val="20"/>
            </w:rPr>
            <w:fldChar w:fldCharType="separate"/>
          </w:r>
          <w:r>
            <w:rPr>
              <w:rFonts w:cs="Arial"/>
              <w:b/>
              <w:noProof/>
              <w:sz w:val="20"/>
              <w:szCs w:val="20"/>
            </w:rPr>
            <w:t>1</w:t>
          </w:r>
          <w:r w:rsidRPr="008128E2">
            <w:rPr>
              <w:rFonts w:cs="Arial"/>
              <w:b/>
              <w:sz w:val="20"/>
              <w:szCs w:val="20"/>
            </w:rPr>
            <w:fldChar w:fldCharType="end"/>
          </w:r>
          <w:r w:rsidRPr="008128E2">
            <w:rPr>
              <w:rFonts w:cs="Arial"/>
              <w:b/>
              <w:sz w:val="20"/>
              <w:szCs w:val="20"/>
            </w:rPr>
            <w:t xml:space="preserve"> de </w:t>
          </w:r>
          <w:r w:rsidRPr="008128E2">
            <w:rPr>
              <w:rFonts w:cs="Arial"/>
              <w:b/>
              <w:sz w:val="20"/>
              <w:szCs w:val="20"/>
            </w:rPr>
            <w:fldChar w:fldCharType="begin"/>
          </w:r>
          <w:r w:rsidRPr="008128E2">
            <w:rPr>
              <w:rFonts w:cs="Arial"/>
              <w:b/>
              <w:sz w:val="20"/>
              <w:szCs w:val="20"/>
            </w:rPr>
            <w:instrText xml:space="preserve"> NUMPAGES \*Arabic </w:instrText>
          </w:r>
          <w:r w:rsidRPr="008128E2">
            <w:rPr>
              <w:rFonts w:cs="Arial"/>
              <w:b/>
              <w:sz w:val="20"/>
              <w:szCs w:val="20"/>
            </w:rPr>
            <w:fldChar w:fldCharType="separate"/>
          </w:r>
          <w:r>
            <w:rPr>
              <w:rFonts w:cs="Arial"/>
              <w:b/>
              <w:noProof/>
              <w:sz w:val="20"/>
              <w:szCs w:val="20"/>
            </w:rPr>
            <w:t>21</w:t>
          </w:r>
          <w:r w:rsidRPr="008128E2">
            <w:rPr>
              <w:rFonts w:cs="Arial"/>
              <w:b/>
              <w:sz w:val="20"/>
              <w:szCs w:val="20"/>
            </w:rPr>
            <w:fldChar w:fldCharType="end"/>
          </w:r>
        </w:p>
      </w:tc>
    </w:tr>
  </w:tbl>
  <w:p w14:paraId="3D6B0D6F" w14:textId="77777777" w:rsidR="002058A0" w:rsidRDefault="002058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8"/>
      <w:gridCol w:w="4003"/>
      <w:gridCol w:w="1134"/>
      <w:gridCol w:w="1842"/>
    </w:tblGrid>
    <w:tr w:rsidR="002058A0" w14:paraId="3CE50123" w14:textId="77777777" w:rsidTr="00F80FDE">
      <w:trPr>
        <w:cantSplit/>
        <w:trHeight w:val="276"/>
        <w:jc w:val="center"/>
      </w:trPr>
      <w:tc>
        <w:tcPr>
          <w:tcW w:w="2828" w:type="dxa"/>
          <w:vMerge w:val="restart"/>
          <w:vAlign w:val="center"/>
        </w:tcPr>
        <w:p w14:paraId="0018FE75" w14:textId="77777777" w:rsidR="002058A0" w:rsidRDefault="002058A0" w:rsidP="002058A0">
          <w:pPr>
            <w:pStyle w:val="Encabezado"/>
            <w:jc w:val="center"/>
          </w:pPr>
          <w:r>
            <w:rPr>
              <w:noProof/>
              <w:lang w:eastAsia="es-CO"/>
            </w:rPr>
            <w:drawing>
              <wp:inline distT="0" distB="0" distL="0" distR="0" wp14:anchorId="72DB875C" wp14:editId="6AE4C689">
                <wp:extent cx="1675130" cy="43878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5130" cy="438785"/>
                        </a:xfrm>
                        <a:prstGeom prst="rect">
                          <a:avLst/>
                        </a:prstGeom>
                        <a:noFill/>
                        <a:ln>
                          <a:noFill/>
                        </a:ln>
                      </pic:spPr>
                    </pic:pic>
                  </a:graphicData>
                </a:graphic>
              </wp:inline>
            </w:drawing>
          </w:r>
        </w:p>
      </w:tc>
      <w:tc>
        <w:tcPr>
          <w:tcW w:w="4003" w:type="dxa"/>
          <w:vMerge w:val="restart"/>
          <w:vAlign w:val="center"/>
        </w:tcPr>
        <w:p w14:paraId="59E67457" w14:textId="77777777" w:rsidR="002058A0" w:rsidRPr="00253B3F" w:rsidRDefault="002058A0" w:rsidP="00110676">
          <w:pPr>
            <w:jc w:val="center"/>
            <w:rPr>
              <w:rFonts w:cs="Arial"/>
              <w:b/>
            </w:rPr>
          </w:pPr>
          <w:r w:rsidRPr="008128E2">
            <w:rPr>
              <w:rFonts w:cs="Arial"/>
              <w:b/>
            </w:rPr>
            <w:t>INFORME AUDITORÍA INTERNA</w:t>
          </w:r>
        </w:p>
      </w:tc>
      <w:tc>
        <w:tcPr>
          <w:tcW w:w="1134" w:type="dxa"/>
          <w:vAlign w:val="center"/>
        </w:tcPr>
        <w:p w14:paraId="790A2364" w14:textId="77777777" w:rsidR="002058A0" w:rsidRPr="008128E2" w:rsidRDefault="002058A0" w:rsidP="002058A0">
          <w:pPr>
            <w:pStyle w:val="Encabezado"/>
            <w:rPr>
              <w:rFonts w:cs="Arial"/>
              <w:b/>
              <w:sz w:val="20"/>
              <w:szCs w:val="20"/>
            </w:rPr>
          </w:pPr>
          <w:r w:rsidRPr="008128E2">
            <w:rPr>
              <w:b/>
              <w:sz w:val="20"/>
              <w:szCs w:val="20"/>
            </w:rPr>
            <w:t>Código:</w:t>
          </w:r>
          <w:r w:rsidRPr="008128E2">
            <w:rPr>
              <w:sz w:val="20"/>
              <w:szCs w:val="20"/>
            </w:rPr>
            <w:t xml:space="preserve"> </w:t>
          </w:r>
        </w:p>
      </w:tc>
      <w:tc>
        <w:tcPr>
          <w:tcW w:w="1842" w:type="dxa"/>
          <w:vAlign w:val="center"/>
        </w:tcPr>
        <w:p w14:paraId="14FCAF7D" w14:textId="77777777" w:rsidR="002058A0" w:rsidRPr="008128E2" w:rsidRDefault="002058A0" w:rsidP="00C71AFE">
          <w:pPr>
            <w:jc w:val="center"/>
            <w:rPr>
              <w:rFonts w:cs="Arial"/>
              <w:b/>
              <w:sz w:val="20"/>
              <w:szCs w:val="20"/>
            </w:rPr>
          </w:pPr>
          <w:r w:rsidRPr="008128E2">
            <w:rPr>
              <w:rFonts w:cs="Arial"/>
              <w:b/>
              <w:sz w:val="20"/>
              <w:szCs w:val="20"/>
            </w:rPr>
            <w:t>Eva.1.1 Pro.2.Fr.2</w:t>
          </w:r>
        </w:p>
      </w:tc>
    </w:tr>
    <w:tr w:rsidR="002058A0" w14:paraId="020CCB19" w14:textId="77777777" w:rsidTr="00F80FDE">
      <w:trPr>
        <w:cantSplit/>
        <w:trHeight w:val="147"/>
        <w:jc w:val="center"/>
      </w:trPr>
      <w:tc>
        <w:tcPr>
          <w:tcW w:w="2828" w:type="dxa"/>
          <w:vMerge/>
        </w:tcPr>
        <w:p w14:paraId="3869746E" w14:textId="77777777" w:rsidR="002058A0" w:rsidRDefault="002058A0" w:rsidP="002058A0">
          <w:pPr>
            <w:pStyle w:val="Encabezado"/>
            <w:jc w:val="center"/>
          </w:pPr>
        </w:p>
      </w:tc>
      <w:tc>
        <w:tcPr>
          <w:tcW w:w="4003" w:type="dxa"/>
          <w:vMerge/>
        </w:tcPr>
        <w:p w14:paraId="40A47C33" w14:textId="77777777" w:rsidR="002058A0" w:rsidRPr="00253B3F" w:rsidRDefault="002058A0" w:rsidP="002058A0">
          <w:pPr>
            <w:pStyle w:val="Encabezado"/>
            <w:jc w:val="center"/>
            <w:rPr>
              <w:b/>
            </w:rPr>
          </w:pPr>
        </w:p>
      </w:tc>
      <w:tc>
        <w:tcPr>
          <w:tcW w:w="1134" w:type="dxa"/>
          <w:vAlign w:val="center"/>
        </w:tcPr>
        <w:p w14:paraId="013D7B03" w14:textId="77777777" w:rsidR="002058A0" w:rsidRPr="008128E2" w:rsidRDefault="002058A0" w:rsidP="002058A0">
          <w:pPr>
            <w:pStyle w:val="Encabezado"/>
            <w:rPr>
              <w:b/>
              <w:sz w:val="20"/>
              <w:szCs w:val="20"/>
            </w:rPr>
          </w:pPr>
          <w:r w:rsidRPr="008128E2">
            <w:rPr>
              <w:b/>
              <w:sz w:val="20"/>
              <w:szCs w:val="20"/>
            </w:rPr>
            <w:t>Fecha:</w:t>
          </w:r>
        </w:p>
      </w:tc>
      <w:tc>
        <w:tcPr>
          <w:tcW w:w="1842" w:type="dxa"/>
          <w:vAlign w:val="center"/>
        </w:tcPr>
        <w:p w14:paraId="2EA4C455" w14:textId="4DF1C567" w:rsidR="002058A0" w:rsidRPr="008128E2" w:rsidRDefault="002058A0" w:rsidP="00C71AFE">
          <w:pPr>
            <w:pStyle w:val="Encabezado"/>
            <w:jc w:val="center"/>
            <w:rPr>
              <w:b/>
              <w:sz w:val="20"/>
              <w:szCs w:val="20"/>
            </w:rPr>
          </w:pPr>
          <w:r>
            <w:rPr>
              <w:b/>
              <w:sz w:val="20"/>
              <w:szCs w:val="20"/>
            </w:rPr>
            <w:t>24-08-2020</w:t>
          </w:r>
        </w:p>
      </w:tc>
    </w:tr>
    <w:tr w:rsidR="002058A0" w14:paraId="13E0FA83" w14:textId="77777777" w:rsidTr="00F80FDE">
      <w:trPr>
        <w:cantSplit/>
        <w:trHeight w:val="147"/>
        <w:jc w:val="center"/>
      </w:trPr>
      <w:tc>
        <w:tcPr>
          <w:tcW w:w="2828" w:type="dxa"/>
          <w:vMerge/>
        </w:tcPr>
        <w:p w14:paraId="3FD8315F" w14:textId="77777777" w:rsidR="002058A0" w:rsidRDefault="002058A0" w:rsidP="002058A0">
          <w:pPr>
            <w:pStyle w:val="Encabezado"/>
            <w:jc w:val="center"/>
          </w:pPr>
        </w:p>
      </w:tc>
      <w:tc>
        <w:tcPr>
          <w:tcW w:w="4003" w:type="dxa"/>
          <w:vMerge/>
        </w:tcPr>
        <w:p w14:paraId="63EADCF2" w14:textId="77777777" w:rsidR="002058A0" w:rsidRPr="00253B3F" w:rsidRDefault="002058A0" w:rsidP="002058A0">
          <w:pPr>
            <w:pStyle w:val="Encabezado"/>
            <w:jc w:val="center"/>
            <w:rPr>
              <w:b/>
            </w:rPr>
          </w:pPr>
        </w:p>
      </w:tc>
      <w:tc>
        <w:tcPr>
          <w:tcW w:w="1134" w:type="dxa"/>
          <w:vAlign w:val="center"/>
        </w:tcPr>
        <w:p w14:paraId="442B1764" w14:textId="77777777" w:rsidR="002058A0" w:rsidRPr="008128E2" w:rsidRDefault="002058A0" w:rsidP="002058A0">
          <w:pPr>
            <w:pStyle w:val="Encabezado"/>
            <w:rPr>
              <w:b/>
              <w:sz w:val="20"/>
              <w:szCs w:val="20"/>
            </w:rPr>
          </w:pPr>
          <w:r w:rsidRPr="008128E2">
            <w:rPr>
              <w:b/>
              <w:sz w:val="20"/>
              <w:szCs w:val="20"/>
            </w:rPr>
            <w:t xml:space="preserve">Versión: </w:t>
          </w:r>
        </w:p>
      </w:tc>
      <w:tc>
        <w:tcPr>
          <w:tcW w:w="1842" w:type="dxa"/>
          <w:vAlign w:val="center"/>
        </w:tcPr>
        <w:p w14:paraId="442D2B3F" w14:textId="77777777" w:rsidR="002058A0" w:rsidRPr="008128E2" w:rsidRDefault="002058A0" w:rsidP="00D51C73">
          <w:pPr>
            <w:pStyle w:val="Encabezado"/>
            <w:jc w:val="center"/>
            <w:rPr>
              <w:b/>
              <w:sz w:val="20"/>
              <w:szCs w:val="20"/>
            </w:rPr>
          </w:pPr>
          <w:r w:rsidRPr="008128E2">
            <w:rPr>
              <w:b/>
              <w:sz w:val="20"/>
              <w:szCs w:val="20"/>
            </w:rPr>
            <w:t>4</w:t>
          </w:r>
        </w:p>
      </w:tc>
    </w:tr>
    <w:tr w:rsidR="002058A0" w14:paraId="601F793E" w14:textId="77777777" w:rsidTr="00F80FDE">
      <w:trPr>
        <w:cantSplit/>
        <w:trHeight w:val="148"/>
        <w:jc w:val="center"/>
      </w:trPr>
      <w:tc>
        <w:tcPr>
          <w:tcW w:w="2828" w:type="dxa"/>
          <w:vMerge/>
          <w:tcBorders>
            <w:bottom w:val="single" w:sz="4" w:space="0" w:color="auto"/>
          </w:tcBorders>
        </w:tcPr>
        <w:p w14:paraId="38F73946" w14:textId="77777777" w:rsidR="002058A0" w:rsidRDefault="002058A0" w:rsidP="002058A0">
          <w:pPr>
            <w:pStyle w:val="Encabezado"/>
            <w:jc w:val="center"/>
            <w:rPr>
              <w:b/>
            </w:rPr>
          </w:pPr>
        </w:p>
      </w:tc>
      <w:tc>
        <w:tcPr>
          <w:tcW w:w="4003" w:type="dxa"/>
          <w:vMerge/>
          <w:tcBorders>
            <w:bottom w:val="single" w:sz="4" w:space="0" w:color="auto"/>
          </w:tcBorders>
        </w:tcPr>
        <w:p w14:paraId="7F5D096B" w14:textId="77777777" w:rsidR="002058A0" w:rsidRPr="00253B3F" w:rsidRDefault="002058A0" w:rsidP="002058A0">
          <w:pPr>
            <w:pStyle w:val="Encabezado"/>
            <w:jc w:val="center"/>
            <w:rPr>
              <w:b/>
            </w:rPr>
          </w:pPr>
        </w:p>
      </w:tc>
      <w:tc>
        <w:tcPr>
          <w:tcW w:w="1134" w:type="dxa"/>
          <w:vAlign w:val="center"/>
        </w:tcPr>
        <w:p w14:paraId="2F3F49A7" w14:textId="77777777" w:rsidR="002058A0" w:rsidRPr="008128E2" w:rsidRDefault="002058A0" w:rsidP="002058A0">
          <w:pPr>
            <w:pStyle w:val="Encabezado"/>
            <w:rPr>
              <w:b/>
              <w:sz w:val="20"/>
              <w:szCs w:val="20"/>
            </w:rPr>
          </w:pPr>
          <w:r w:rsidRPr="008128E2">
            <w:rPr>
              <w:b/>
              <w:sz w:val="20"/>
              <w:szCs w:val="20"/>
            </w:rPr>
            <w:t xml:space="preserve">Página: </w:t>
          </w:r>
        </w:p>
      </w:tc>
      <w:tc>
        <w:tcPr>
          <w:tcW w:w="1842" w:type="dxa"/>
          <w:vAlign w:val="center"/>
        </w:tcPr>
        <w:p w14:paraId="29F96835" w14:textId="77777777" w:rsidR="002058A0" w:rsidRPr="008128E2" w:rsidRDefault="002058A0" w:rsidP="0087060A">
          <w:pPr>
            <w:pStyle w:val="Encabezado"/>
            <w:jc w:val="center"/>
            <w:rPr>
              <w:b/>
              <w:sz w:val="20"/>
              <w:szCs w:val="20"/>
            </w:rPr>
          </w:pPr>
          <w:r w:rsidRPr="008128E2">
            <w:rPr>
              <w:rFonts w:cs="Arial"/>
              <w:b/>
              <w:sz w:val="20"/>
              <w:szCs w:val="20"/>
            </w:rPr>
            <w:fldChar w:fldCharType="begin"/>
          </w:r>
          <w:r w:rsidRPr="008128E2">
            <w:rPr>
              <w:rFonts w:cs="Arial"/>
              <w:b/>
              <w:sz w:val="20"/>
              <w:szCs w:val="20"/>
            </w:rPr>
            <w:instrText xml:space="preserve"> PAGE </w:instrText>
          </w:r>
          <w:r w:rsidRPr="008128E2">
            <w:rPr>
              <w:rFonts w:cs="Arial"/>
              <w:b/>
              <w:sz w:val="20"/>
              <w:szCs w:val="20"/>
            </w:rPr>
            <w:fldChar w:fldCharType="separate"/>
          </w:r>
          <w:r>
            <w:rPr>
              <w:rFonts w:cs="Arial"/>
              <w:b/>
              <w:noProof/>
              <w:sz w:val="20"/>
              <w:szCs w:val="20"/>
            </w:rPr>
            <w:t>1</w:t>
          </w:r>
          <w:r w:rsidRPr="008128E2">
            <w:rPr>
              <w:rFonts w:cs="Arial"/>
              <w:b/>
              <w:sz w:val="20"/>
              <w:szCs w:val="20"/>
            </w:rPr>
            <w:fldChar w:fldCharType="end"/>
          </w:r>
          <w:r w:rsidRPr="008128E2">
            <w:rPr>
              <w:rFonts w:cs="Arial"/>
              <w:b/>
              <w:sz w:val="20"/>
              <w:szCs w:val="20"/>
            </w:rPr>
            <w:t xml:space="preserve"> de </w:t>
          </w:r>
          <w:r w:rsidRPr="008128E2">
            <w:rPr>
              <w:rFonts w:cs="Arial"/>
              <w:b/>
              <w:sz w:val="20"/>
              <w:szCs w:val="20"/>
            </w:rPr>
            <w:fldChar w:fldCharType="begin"/>
          </w:r>
          <w:r w:rsidRPr="008128E2">
            <w:rPr>
              <w:rFonts w:cs="Arial"/>
              <w:b/>
              <w:sz w:val="20"/>
              <w:szCs w:val="20"/>
            </w:rPr>
            <w:instrText xml:space="preserve"> NUMPAGES \*Arabic </w:instrText>
          </w:r>
          <w:r w:rsidRPr="008128E2">
            <w:rPr>
              <w:rFonts w:cs="Arial"/>
              <w:b/>
              <w:sz w:val="20"/>
              <w:szCs w:val="20"/>
            </w:rPr>
            <w:fldChar w:fldCharType="separate"/>
          </w:r>
          <w:r>
            <w:rPr>
              <w:rFonts w:cs="Arial"/>
              <w:b/>
              <w:noProof/>
              <w:sz w:val="20"/>
              <w:szCs w:val="20"/>
            </w:rPr>
            <w:t>1</w:t>
          </w:r>
          <w:r w:rsidRPr="008128E2">
            <w:rPr>
              <w:rFonts w:cs="Arial"/>
              <w:b/>
              <w:sz w:val="20"/>
              <w:szCs w:val="20"/>
            </w:rPr>
            <w:fldChar w:fldCharType="end"/>
          </w:r>
        </w:p>
      </w:tc>
    </w:tr>
  </w:tbl>
  <w:p w14:paraId="327B1E02" w14:textId="77777777" w:rsidR="002058A0" w:rsidRDefault="00205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CD5"/>
    <w:multiLevelType w:val="hybridMultilevel"/>
    <w:tmpl w:val="D778ACE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74F059C"/>
    <w:multiLevelType w:val="hybridMultilevel"/>
    <w:tmpl w:val="DB921E6C"/>
    <w:lvl w:ilvl="0" w:tplc="5C3CC0D0">
      <w:start w:val="1"/>
      <w:numFmt w:val="bullet"/>
      <w:lvlText w:val=""/>
      <w:lvlJc w:val="left"/>
      <w:pPr>
        <w:tabs>
          <w:tab w:val="num" w:pos="360"/>
        </w:tabs>
        <w:ind w:left="360" w:hanging="360"/>
      </w:pPr>
      <w:rPr>
        <w:rFonts w:ascii="Wingdings" w:hAnsi="Wingdings"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71688"/>
    <w:multiLevelType w:val="hybridMultilevel"/>
    <w:tmpl w:val="39248B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74B4A"/>
    <w:multiLevelType w:val="hybridMultilevel"/>
    <w:tmpl w:val="522CE23E"/>
    <w:lvl w:ilvl="0" w:tplc="5C3CC0D0">
      <w:start w:val="1"/>
      <w:numFmt w:val="bullet"/>
      <w:lvlText w:val=""/>
      <w:lvlJc w:val="left"/>
      <w:pPr>
        <w:tabs>
          <w:tab w:val="num" w:pos="360"/>
        </w:tabs>
        <w:ind w:left="360" w:hanging="360"/>
      </w:pPr>
      <w:rPr>
        <w:rFonts w:ascii="Wingdings" w:hAnsi="Wingdings"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D4E66"/>
    <w:multiLevelType w:val="hybridMultilevel"/>
    <w:tmpl w:val="C2608658"/>
    <w:lvl w:ilvl="0" w:tplc="BFE8B9CE">
      <w:start w:val="2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9741F7"/>
    <w:multiLevelType w:val="multilevel"/>
    <w:tmpl w:val="9CDAC3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8C7047F"/>
    <w:multiLevelType w:val="hybridMultilevel"/>
    <w:tmpl w:val="4B903256"/>
    <w:lvl w:ilvl="0" w:tplc="9ADEDE06">
      <w:start w:val="69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5419D2"/>
    <w:multiLevelType w:val="hybridMultilevel"/>
    <w:tmpl w:val="6D0A9EE8"/>
    <w:lvl w:ilvl="0" w:tplc="0C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04F56"/>
    <w:multiLevelType w:val="hybridMultilevel"/>
    <w:tmpl w:val="12FEFBBE"/>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B394C43"/>
    <w:multiLevelType w:val="hybridMultilevel"/>
    <w:tmpl w:val="D96A739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C361CB6"/>
    <w:multiLevelType w:val="hybridMultilevel"/>
    <w:tmpl w:val="C7689EF4"/>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DF5E75"/>
    <w:multiLevelType w:val="hybridMultilevel"/>
    <w:tmpl w:val="DDD86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4890F29"/>
    <w:multiLevelType w:val="multilevel"/>
    <w:tmpl w:val="6D0A9EE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8E04F1"/>
    <w:multiLevelType w:val="hybridMultilevel"/>
    <w:tmpl w:val="641297A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52571E3F"/>
    <w:multiLevelType w:val="multilevel"/>
    <w:tmpl w:val="6D0A9EE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693FD7"/>
    <w:multiLevelType w:val="hybridMultilevel"/>
    <w:tmpl w:val="9CDAC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582414AA"/>
    <w:multiLevelType w:val="hybridMultilevel"/>
    <w:tmpl w:val="FAA4F7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F8D5340"/>
    <w:multiLevelType w:val="hybridMultilevel"/>
    <w:tmpl w:val="E4B460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0E14197"/>
    <w:multiLevelType w:val="hybridMultilevel"/>
    <w:tmpl w:val="72FA6AE6"/>
    <w:lvl w:ilvl="0" w:tplc="A064B724">
      <w:start w:val="69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851A2B"/>
    <w:multiLevelType w:val="hybridMultilevel"/>
    <w:tmpl w:val="13F05AC4"/>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980D72"/>
    <w:multiLevelType w:val="multilevel"/>
    <w:tmpl w:val="94F06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2F865DE"/>
    <w:multiLevelType w:val="hybridMultilevel"/>
    <w:tmpl w:val="9AE4AC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635365"/>
    <w:multiLevelType w:val="hybridMultilevel"/>
    <w:tmpl w:val="FD08A15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5642A"/>
    <w:multiLevelType w:val="multilevel"/>
    <w:tmpl w:val="9AE4AC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BD2851"/>
    <w:multiLevelType w:val="hybridMultilevel"/>
    <w:tmpl w:val="AB5A1168"/>
    <w:lvl w:ilvl="0" w:tplc="2EAAB680">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8"/>
  </w:num>
  <w:num w:numId="2">
    <w:abstractNumId w:val="20"/>
  </w:num>
  <w:num w:numId="3">
    <w:abstractNumId w:val="21"/>
  </w:num>
  <w:num w:numId="4">
    <w:abstractNumId w:val="23"/>
  </w:num>
  <w:num w:numId="5">
    <w:abstractNumId w:val="19"/>
  </w:num>
  <w:num w:numId="6">
    <w:abstractNumId w:val="22"/>
  </w:num>
  <w:num w:numId="7">
    <w:abstractNumId w:val="2"/>
  </w:num>
  <w:num w:numId="8">
    <w:abstractNumId w:val="7"/>
  </w:num>
  <w:num w:numId="9">
    <w:abstractNumId w:val="17"/>
  </w:num>
  <w:num w:numId="10">
    <w:abstractNumId w:val="14"/>
  </w:num>
  <w:num w:numId="11">
    <w:abstractNumId w:val="0"/>
  </w:num>
  <w:num w:numId="12">
    <w:abstractNumId w:val="12"/>
  </w:num>
  <w:num w:numId="13">
    <w:abstractNumId w:val="15"/>
  </w:num>
  <w:num w:numId="14">
    <w:abstractNumId w:val="5"/>
  </w:num>
  <w:num w:numId="15">
    <w:abstractNumId w:val="13"/>
  </w:num>
  <w:num w:numId="16">
    <w:abstractNumId w:val="9"/>
  </w:num>
  <w:num w:numId="17">
    <w:abstractNumId w:val="3"/>
  </w:num>
  <w:num w:numId="18">
    <w:abstractNumId w:val="1"/>
  </w:num>
  <w:num w:numId="19">
    <w:abstractNumId w:val="4"/>
  </w:num>
  <w:num w:numId="20">
    <w:abstractNumId w:val="16"/>
  </w:num>
  <w:num w:numId="21">
    <w:abstractNumId w:val="24"/>
  </w:num>
  <w:num w:numId="22">
    <w:abstractNumId w:val="11"/>
  </w:num>
  <w:num w:numId="23">
    <w:abstractNumId w:val="6"/>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92"/>
    <w:rsid w:val="00000283"/>
    <w:rsid w:val="00000C2C"/>
    <w:rsid w:val="00001CCB"/>
    <w:rsid w:val="000038D5"/>
    <w:rsid w:val="00005A23"/>
    <w:rsid w:val="000104DC"/>
    <w:rsid w:val="000117C9"/>
    <w:rsid w:val="000119D2"/>
    <w:rsid w:val="00012579"/>
    <w:rsid w:val="00013AD5"/>
    <w:rsid w:val="000147A7"/>
    <w:rsid w:val="0001609A"/>
    <w:rsid w:val="00016511"/>
    <w:rsid w:val="00016C76"/>
    <w:rsid w:val="00017878"/>
    <w:rsid w:val="00020121"/>
    <w:rsid w:val="000203D2"/>
    <w:rsid w:val="00021984"/>
    <w:rsid w:val="0002315F"/>
    <w:rsid w:val="00023CB5"/>
    <w:rsid w:val="000246E9"/>
    <w:rsid w:val="0002548D"/>
    <w:rsid w:val="000321C9"/>
    <w:rsid w:val="000328DA"/>
    <w:rsid w:val="00032D34"/>
    <w:rsid w:val="00033AE1"/>
    <w:rsid w:val="000342E8"/>
    <w:rsid w:val="0003438F"/>
    <w:rsid w:val="00041745"/>
    <w:rsid w:val="000417A3"/>
    <w:rsid w:val="00042014"/>
    <w:rsid w:val="0004263B"/>
    <w:rsid w:val="00042826"/>
    <w:rsid w:val="00044E3E"/>
    <w:rsid w:val="00045E96"/>
    <w:rsid w:val="0004794E"/>
    <w:rsid w:val="00051A91"/>
    <w:rsid w:val="00053077"/>
    <w:rsid w:val="000530F5"/>
    <w:rsid w:val="00056161"/>
    <w:rsid w:val="00056318"/>
    <w:rsid w:val="00056FE3"/>
    <w:rsid w:val="000601E1"/>
    <w:rsid w:val="000604CE"/>
    <w:rsid w:val="0006085A"/>
    <w:rsid w:val="00060BA3"/>
    <w:rsid w:val="000620C3"/>
    <w:rsid w:val="000622EA"/>
    <w:rsid w:val="00063395"/>
    <w:rsid w:val="00064060"/>
    <w:rsid w:val="000647D0"/>
    <w:rsid w:val="00065F85"/>
    <w:rsid w:val="00066B1D"/>
    <w:rsid w:val="000679AE"/>
    <w:rsid w:val="00067B4C"/>
    <w:rsid w:val="00067BBE"/>
    <w:rsid w:val="00067C06"/>
    <w:rsid w:val="00070AA0"/>
    <w:rsid w:val="0007115C"/>
    <w:rsid w:val="00071B39"/>
    <w:rsid w:val="00072D3D"/>
    <w:rsid w:val="000743C7"/>
    <w:rsid w:val="00074AB4"/>
    <w:rsid w:val="00075A4D"/>
    <w:rsid w:val="00077310"/>
    <w:rsid w:val="00081FAF"/>
    <w:rsid w:val="00085176"/>
    <w:rsid w:val="00085DBC"/>
    <w:rsid w:val="000878C0"/>
    <w:rsid w:val="00090FCF"/>
    <w:rsid w:val="000911AF"/>
    <w:rsid w:val="0009391D"/>
    <w:rsid w:val="000A1DA0"/>
    <w:rsid w:val="000A6594"/>
    <w:rsid w:val="000A7208"/>
    <w:rsid w:val="000A7A2D"/>
    <w:rsid w:val="000A7ACE"/>
    <w:rsid w:val="000A7D1A"/>
    <w:rsid w:val="000B05C7"/>
    <w:rsid w:val="000B0686"/>
    <w:rsid w:val="000B1422"/>
    <w:rsid w:val="000B32C5"/>
    <w:rsid w:val="000B4386"/>
    <w:rsid w:val="000B6D51"/>
    <w:rsid w:val="000B7E96"/>
    <w:rsid w:val="000C01C3"/>
    <w:rsid w:val="000C0417"/>
    <w:rsid w:val="000C25A3"/>
    <w:rsid w:val="000C4686"/>
    <w:rsid w:val="000C4BAB"/>
    <w:rsid w:val="000C59B3"/>
    <w:rsid w:val="000C6ADE"/>
    <w:rsid w:val="000C6FFB"/>
    <w:rsid w:val="000C751C"/>
    <w:rsid w:val="000C7B91"/>
    <w:rsid w:val="000D1CC6"/>
    <w:rsid w:val="000D27AD"/>
    <w:rsid w:val="000D2CEB"/>
    <w:rsid w:val="000D3267"/>
    <w:rsid w:val="000D4042"/>
    <w:rsid w:val="000D40B2"/>
    <w:rsid w:val="000D6DE9"/>
    <w:rsid w:val="000D7AAB"/>
    <w:rsid w:val="000E007D"/>
    <w:rsid w:val="000E1D01"/>
    <w:rsid w:val="000E348D"/>
    <w:rsid w:val="000E52FD"/>
    <w:rsid w:val="000E5DEB"/>
    <w:rsid w:val="000E614F"/>
    <w:rsid w:val="000E69F6"/>
    <w:rsid w:val="000F1103"/>
    <w:rsid w:val="000F1D7D"/>
    <w:rsid w:val="000F1E72"/>
    <w:rsid w:val="000F275A"/>
    <w:rsid w:val="000F4854"/>
    <w:rsid w:val="000F61DD"/>
    <w:rsid w:val="0010070E"/>
    <w:rsid w:val="00101EC9"/>
    <w:rsid w:val="00103565"/>
    <w:rsid w:val="0010515B"/>
    <w:rsid w:val="00106B33"/>
    <w:rsid w:val="00107116"/>
    <w:rsid w:val="00107E22"/>
    <w:rsid w:val="00107E47"/>
    <w:rsid w:val="0011052C"/>
    <w:rsid w:val="00110676"/>
    <w:rsid w:val="0011068F"/>
    <w:rsid w:val="00112A78"/>
    <w:rsid w:val="001163C3"/>
    <w:rsid w:val="00116EA8"/>
    <w:rsid w:val="00123E08"/>
    <w:rsid w:val="00124A8E"/>
    <w:rsid w:val="00124B8D"/>
    <w:rsid w:val="00124C5B"/>
    <w:rsid w:val="00124D24"/>
    <w:rsid w:val="001254A5"/>
    <w:rsid w:val="00125A91"/>
    <w:rsid w:val="001304F1"/>
    <w:rsid w:val="00130EBE"/>
    <w:rsid w:val="00136027"/>
    <w:rsid w:val="00140256"/>
    <w:rsid w:val="0014057B"/>
    <w:rsid w:val="001413BA"/>
    <w:rsid w:val="00143460"/>
    <w:rsid w:val="0014706E"/>
    <w:rsid w:val="0014742A"/>
    <w:rsid w:val="001520F8"/>
    <w:rsid w:val="00152D5B"/>
    <w:rsid w:val="00152E15"/>
    <w:rsid w:val="00153311"/>
    <w:rsid w:val="00153994"/>
    <w:rsid w:val="00153A19"/>
    <w:rsid w:val="00154022"/>
    <w:rsid w:val="00157C7C"/>
    <w:rsid w:val="0016024B"/>
    <w:rsid w:val="001656AA"/>
    <w:rsid w:val="00165CAA"/>
    <w:rsid w:val="00166878"/>
    <w:rsid w:val="0016740B"/>
    <w:rsid w:val="00170363"/>
    <w:rsid w:val="0017085B"/>
    <w:rsid w:val="001727D5"/>
    <w:rsid w:val="001729D7"/>
    <w:rsid w:val="00173CFA"/>
    <w:rsid w:val="00174BE4"/>
    <w:rsid w:val="00177FB6"/>
    <w:rsid w:val="00181CE7"/>
    <w:rsid w:val="00182A28"/>
    <w:rsid w:val="00182D59"/>
    <w:rsid w:val="00185ABE"/>
    <w:rsid w:val="00185F05"/>
    <w:rsid w:val="00186B92"/>
    <w:rsid w:val="0018729A"/>
    <w:rsid w:val="00191CC7"/>
    <w:rsid w:val="0019212E"/>
    <w:rsid w:val="001923E7"/>
    <w:rsid w:val="001926CC"/>
    <w:rsid w:val="001953BC"/>
    <w:rsid w:val="0019577E"/>
    <w:rsid w:val="00196875"/>
    <w:rsid w:val="00196BDC"/>
    <w:rsid w:val="00196E51"/>
    <w:rsid w:val="001A293E"/>
    <w:rsid w:val="001A36C2"/>
    <w:rsid w:val="001A5410"/>
    <w:rsid w:val="001A60E3"/>
    <w:rsid w:val="001B1834"/>
    <w:rsid w:val="001B1BC8"/>
    <w:rsid w:val="001B25E1"/>
    <w:rsid w:val="001B3727"/>
    <w:rsid w:val="001B3D79"/>
    <w:rsid w:val="001B4A99"/>
    <w:rsid w:val="001B59AD"/>
    <w:rsid w:val="001B65AB"/>
    <w:rsid w:val="001B69D6"/>
    <w:rsid w:val="001B6A34"/>
    <w:rsid w:val="001B7CC3"/>
    <w:rsid w:val="001C0939"/>
    <w:rsid w:val="001C35AE"/>
    <w:rsid w:val="001C548C"/>
    <w:rsid w:val="001C5B90"/>
    <w:rsid w:val="001C5D3B"/>
    <w:rsid w:val="001C70A8"/>
    <w:rsid w:val="001C7CED"/>
    <w:rsid w:val="001D0544"/>
    <w:rsid w:val="001D0854"/>
    <w:rsid w:val="001D0B72"/>
    <w:rsid w:val="001D1EF9"/>
    <w:rsid w:val="001D2467"/>
    <w:rsid w:val="001D3E59"/>
    <w:rsid w:val="001E02CE"/>
    <w:rsid w:val="001E1636"/>
    <w:rsid w:val="001E241D"/>
    <w:rsid w:val="001E3DAC"/>
    <w:rsid w:val="001E765F"/>
    <w:rsid w:val="001F03E9"/>
    <w:rsid w:val="001F300A"/>
    <w:rsid w:val="001F604D"/>
    <w:rsid w:val="001F6F99"/>
    <w:rsid w:val="001F72EB"/>
    <w:rsid w:val="001F7386"/>
    <w:rsid w:val="002003B9"/>
    <w:rsid w:val="0020043A"/>
    <w:rsid w:val="00203DFE"/>
    <w:rsid w:val="0020570E"/>
    <w:rsid w:val="002058A0"/>
    <w:rsid w:val="002068F7"/>
    <w:rsid w:val="00206F0A"/>
    <w:rsid w:val="00207469"/>
    <w:rsid w:val="00210E5B"/>
    <w:rsid w:val="0021351E"/>
    <w:rsid w:val="002141C5"/>
    <w:rsid w:val="0021563F"/>
    <w:rsid w:val="002165C7"/>
    <w:rsid w:val="00220395"/>
    <w:rsid w:val="00221173"/>
    <w:rsid w:val="00221E54"/>
    <w:rsid w:val="00226731"/>
    <w:rsid w:val="0022697C"/>
    <w:rsid w:val="00226FE7"/>
    <w:rsid w:val="00227A42"/>
    <w:rsid w:val="002304EA"/>
    <w:rsid w:val="00230979"/>
    <w:rsid w:val="00231A39"/>
    <w:rsid w:val="00234E3E"/>
    <w:rsid w:val="00235A42"/>
    <w:rsid w:val="0024019B"/>
    <w:rsid w:val="002440D8"/>
    <w:rsid w:val="00244322"/>
    <w:rsid w:val="002453ED"/>
    <w:rsid w:val="00246198"/>
    <w:rsid w:val="00247DA6"/>
    <w:rsid w:val="00250EE1"/>
    <w:rsid w:val="00253B3F"/>
    <w:rsid w:val="00253BE0"/>
    <w:rsid w:val="00255A87"/>
    <w:rsid w:val="002618EF"/>
    <w:rsid w:val="0026290E"/>
    <w:rsid w:val="00263571"/>
    <w:rsid w:val="00264B1E"/>
    <w:rsid w:val="002656DD"/>
    <w:rsid w:val="002664AB"/>
    <w:rsid w:val="00266795"/>
    <w:rsid w:val="00266D0C"/>
    <w:rsid w:val="00266D0E"/>
    <w:rsid w:val="0027071D"/>
    <w:rsid w:val="00271977"/>
    <w:rsid w:val="002774EE"/>
    <w:rsid w:val="00283D48"/>
    <w:rsid w:val="002842C7"/>
    <w:rsid w:val="00285609"/>
    <w:rsid w:val="00286DFF"/>
    <w:rsid w:val="0029044F"/>
    <w:rsid w:val="00291AAC"/>
    <w:rsid w:val="002937A1"/>
    <w:rsid w:val="002951EE"/>
    <w:rsid w:val="00295D93"/>
    <w:rsid w:val="00296421"/>
    <w:rsid w:val="00296F73"/>
    <w:rsid w:val="002A28F8"/>
    <w:rsid w:val="002A374B"/>
    <w:rsid w:val="002A59E6"/>
    <w:rsid w:val="002A5BC4"/>
    <w:rsid w:val="002A5F78"/>
    <w:rsid w:val="002A6029"/>
    <w:rsid w:val="002A6B23"/>
    <w:rsid w:val="002A6C6C"/>
    <w:rsid w:val="002A775B"/>
    <w:rsid w:val="002B0E10"/>
    <w:rsid w:val="002B1C40"/>
    <w:rsid w:val="002B2302"/>
    <w:rsid w:val="002B3318"/>
    <w:rsid w:val="002B3FF9"/>
    <w:rsid w:val="002B49A2"/>
    <w:rsid w:val="002B54E9"/>
    <w:rsid w:val="002B5E1B"/>
    <w:rsid w:val="002B6B2C"/>
    <w:rsid w:val="002C295F"/>
    <w:rsid w:val="002C2D34"/>
    <w:rsid w:val="002C2E16"/>
    <w:rsid w:val="002C65D1"/>
    <w:rsid w:val="002D161C"/>
    <w:rsid w:val="002D1DDD"/>
    <w:rsid w:val="002D2258"/>
    <w:rsid w:val="002D4965"/>
    <w:rsid w:val="002E0D95"/>
    <w:rsid w:val="002E1A6E"/>
    <w:rsid w:val="002E2B98"/>
    <w:rsid w:val="002E62CE"/>
    <w:rsid w:val="002E6C2C"/>
    <w:rsid w:val="002F0570"/>
    <w:rsid w:val="002F1AB2"/>
    <w:rsid w:val="002F2782"/>
    <w:rsid w:val="002F2DA1"/>
    <w:rsid w:val="002F32F9"/>
    <w:rsid w:val="002F33D5"/>
    <w:rsid w:val="002F5BF9"/>
    <w:rsid w:val="002F65AF"/>
    <w:rsid w:val="00300F5B"/>
    <w:rsid w:val="00302B32"/>
    <w:rsid w:val="00305548"/>
    <w:rsid w:val="00306410"/>
    <w:rsid w:val="00306F88"/>
    <w:rsid w:val="00311C01"/>
    <w:rsid w:val="00311E42"/>
    <w:rsid w:val="003127E9"/>
    <w:rsid w:val="0031370D"/>
    <w:rsid w:val="00316A55"/>
    <w:rsid w:val="0031784A"/>
    <w:rsid w:val="00317CC8"/>
    <w:rsid w:val="00322E8A"/>
    <w:rsid w:val="00323A24"/>
    <w:rsid w:val="00323FA9"/>
    <w:rsid w:val="00325300"/>
    <w:rsid w:val="00325A15"/>
    <w:rsid w:val="00326416"/>
    <w:rsid w:val="00327136"/>
    <w:rsid w:val="00327FB2"/>
    <w:rsid w:val="003300D2"/>
    <w:rsid w:val="0033012F"/>
    <w:rsid w:val="00330839"/>
    <w:rsid w:val="00330D43"/>
    <w:rsid w:val="00330E30"/>
    <w:rsid w:val="00331B21"/>
    <w:rsid w:val="00331C5F"/>
    <w:rsid w:val="00331D00"/>
    <w:rsid w:val="0033268F"/>
    <w:rsid w:val="00333BA4"/>
    <w:rsid w:val="00337724"/>
    <w:rsid w:val="00340B93"/>
    <w:rsid w:val="00341C25"/>
    <w:rsid w:val="00342F53"/>
    <w:rsid w:val="0034392C"/>
    <w:rsid w:val="0034446A"/>
    <w:rsid w:val="0034531E"/>
    <w:rsid w:val="00350AB4"/>
    <w:rsid w:val="0035173C"/>
    <w:rsid w:val="00352C64"/>
    <w:rsid w:val="003544EF"/>
    <w:rsid w:val="0036070B"/>
    <w:rsid w:val="00361694"/>
    <w:rsid w:val="00361ED0"/>
    <w:rsid w:val="003636AC"/>
    <w:rsid w:val="00364CD1"/>
    <w:rsid w:val="00364EEC"/>
    <w:rsid w:val="00365B8F"/>
    <w:rsid w:val="00366344"/>
    <w:rsid w:val="00366B68"/>
    <w:rsid w:val="00370947"/>
    <w:rsid w:val="00370C08"/>
    <w:rsid w:val="00373DEA"/>
    <w:rsid w:val="0037514A"/>
    <w:rsid w:val="00375C88"/>
    <w:rsid w:val="0037609D"/>
    <w:rsid w:val="003766C1"/>
    <w:rsid w:val="00382F3E"/>
    <w:rsid w:val="0038375C"/>
    <w:rsid w:val="00383DB0"/>
    <w:rsid w:val="00383FEA"/>
    <w:rsid w:val="00384BD8"/>
    <w:rsid w:val="00387B06"/>
    <w:rsid w:val="0039423E"/>
    <w:rsid w:val="00397524"/>
    <w:rsid w:val="003A2003"/>
    <w:rsid w:val="003A2050"/>
    <w:rsid w:val="003A2B6A"/>
    <w:rsid w:val="003A2E11"/>
    <w:rsid w:val="003A4F9D"/>
    <w:rsid w:val="003B11C1"/>
    <w:rsid w:val="003B1E8B"/>
    <w:rsid w:val="003B2EAC"/>
    <w:rsid w:val="003B39BB"/>
    <w:rsid w:val="003B5466"/>
    <w:rsid w:val="003B6B7D"/>
    <w:rsid w:val="003C25B5"/>
    <w:rsid w:val="003C2E96"/>
    <w:rsid w:val="003C4C1F"/>
    <w:rsid w:val="003C555E"/>
    <w:rsid w:val="003C63E9"/>
    <w:rsid w:val="003C74AF"/>
    <w:rsid w:val="003D2760"/>
    <w:rsid w:val="003D47B1"/>
    <w:rsid w:val="003D58AB"/>
    <w:rsid w:val="003D76C3"/>
    <w:rsid w:val="003E266B"/>
    <w:rsid w:val="003E2E8B"/>
    <w:rsid w:val="003E3871"/>
    <w:rsid w:val="003E4D45"/>
    <w:rsid w:val="003E6029"/>
    <w:rsid w:val="003E63A1"/>
    <w:rsid w:val="003E6449"/>
    <w:rsid w:val="003F2370"/>
    <w:rsid w:val="003F2A84"/>
    <w:rsid w:val="003F34E0"/>
    <w:rsid w:val="003F4A12"/>
    <w:rsid w:val="003F69C6"/>
    <w:rsid w:val="003F7223"/>
    <w:rsid w:val="003F76A8"/>
    <w:rsid w:val="004005F8"/>
    <w:rsid w:val="00402946"/>
    <w:rsid w:val="00402B60"/>
    <w:rsid w:val="00403AE0"/>
    <w:rsid w:val="004050D0"/>
    <w:rsid w:val="00405D68"/>
    <w:rsid w:val="00406962"/>
    <w:rsid w:val="00406F46"/>
    <w:rsid w:val="00407AF9"/>
    <w:rsid w:val="004112BA"/>
    <w:rsid w:val="004122A1"/>
    <w:rsid w:val="00412640"/>
    <w:rsid w:val="00412779"/>
    <w:rsid w:val="004131B1"/>
    <w:rsid w:val="00417588"/>
    <w:rsid w:val="00420619"/>
    <w:rsid w:val="00421377"/>
    <w:rsid w:val="004224F5"/>
    <w:rsid w:val="0042363F"/>
    <w:rsid w:val="0042376E"/>
    <w:rsid w:val="0042410B"/>
    <w:rsid w:val="00424976"/>
    <w:rsid w:val="004273BF"/>
    <w:rsid w:val="00433D0A"/>
    <w:rsid w:val="004348FC"/>
    <w:rsid w:val="00434AA5"/>
    <w:rsid w:val="00434B78"/>
    <w:rsid w:val="00437FB5"/>
    <w:rsid w:val="00440D83"/>
    <w:rsid w:val="00441972"/>
    <w:rsid w:val="00442F90"/>
    <w:rsid w:val="00443DDF"/>
    <w:rsid w:val="00445357"/>
    <w:rsid w:val="0045172D"/>
    <w:rsid w:val="00453581"/>
    <w:rsid w:val="00453B34"/>
    <w:rsid w:val="004554D9"/>
    <w:rsid w:val="00455802"/>
    <w:rsid w:val="00455C77"/>
    <w:rsid w:val="0045605C"/>
    <w:rsid w:val="00457ACE"/>
    <w:rsid w:val="00462B0C"/>
    <w:rsid w:val="00462D78"/>
    <w:rsid w:val="00466A14"/>
    <w:rsid w:val="00467583"/>
    <w:rsid w:val="0047069B"/>
    <w:rsid w:val="00471889"/>
    <w:rsid w:val="004718D9"/>
    <w:rsid w:val="00471A51"/>
    <w:rsid w:val="004728D1"/>
    <w:rsid w:val="0047488D"/>
    <w:rsid w:val="00474D3F"/>
    <w:rsid w:val="0047671F"/>
    <w:rsid w:val="0047759E"/>
    <w:rsid w:val="00480B28"/>
    <w:rsid w:val="00482B8A"/>
    <w:rsid w:val="00484362"/>
    <w:rsid w:val="004901D1"/>
    <w:rsid w:val="004971C9"/>
    <w:rsid w:val="00497337"/>
    <w:rsid w:val="004A0BDB"/>
    <w:rsid w:val="004A1647"/>
    <w:rsid w:val="004A2152"/>
    <w:rsid w:val="004A21BB"/>
    <w:rsid w:val="004A39E4"/>
    <w:rsid w:val="004A5F34"/>
    <w:rsid w:val="004A6B55"/>
    <w:rsid w:val="004B0DF3"/>
    <w:rsid w:val="004B7703"/>
    <w:rsid w:val="004B7C99"/>
    <w:rsid w:val="004C5800"/>
    <w:rsid w:val="004C5C94"/>
    <w:rsid w:val="004C685D"/>
    <w:rsid w:val="004C7157"/>
    <w:rsid w:val="004C7864"/>
    <w:rsid w:val="004C7E10"/>
    <w:rsid w:val="004D0F1E"/>
    <w:rsid w:val="004D2137"/>
    <w:rsid w:val="004D24B8"/>
    <w:rsid w:val="004D3452"/>
    <w:rsid w:val="004D40ED"/>
    <w:rsid w:val="004D6BFA"/>
    <w:rsid w:val="004D72E6"/>
    <w:rsid w:val="004E00F8"/>
    <w:rsid w:val="004E0A38"/>
    <w:rsid w:val="004E2246"/>
    <w:rsid w:val="004E3405"/>
    <w:rsid w:val="004E3FF2"/>
    <w:rsid w:val="004E5215"/>
    <w:rsid w:val="004E6594"/>
    <w:rsid w:val="004E75A7"/>
    <w:rsid w:val="004F0074"/>
    <w:rsid w:val="004F3620"/>
    <w:rsid w:val="004F5416"/>
    <w:rsid w:val="004F71E7"/>
    <w:rsid w:val="004F7552"/>
    <w:rsid w:val="004F797A"/>
    <w:rsid w:val="004F79E7"/>
    <w:rsid w:val="005001AA"/>
    <w:rsid w:val="0050473C"/>
    <w:rsid w:val="0050560A"/>
    <w:rsid w:val="0050682B"/>
    <w:rsid w:val="00507264"/>
    <w:rsid w:val="00507C38"/>
    <w:rsid w:val="005100F4"/>
    <w:rsid w:val="00511C66"/>
    <w:rsid w:val="00513524"/>
    <w:rsid w:val="00515BA9"/>
    <w:rsid w:val="00515D08"/>
    <w:rsid w:val="00516AE0"/>
    <w:rsid w:val="00516D97"/>
    <w:rsid w:val="00517977"/>
    <w:rsid w:val="00520379"/>
    <w:rsid w:val="00521CE1"/>
    <w:rsid w:val="00522A32"/>
    <w:rsid w:val="005232D9"/>
    <w:rsid w:val="00523C88"/>
    <w:rsid w:val="005242BB"/>
    <w:rsid w:val="005260C0"/>
    <w:rsid w:val="00527F6D"/>
    <w:rsid w:val="0053054B"/>
    <w:rsid w:val="00531548"/>
    <w:rsid w:val="00531DAC"/>
    <w:rsid w:val="0053472B"/>
    <w:rsid w:val="00536E1E"/>
    <w:rsid w:val="00540D5C"/>
    <w:rsid w:val="00541169"/>
    <w:rsid w:val="005422F8"/>
    <w:rsid w:val="005442F7"/>
    <w:rsid w:val="00544720"/>
    <w:rsid w:val="00545958"/>
    <w:rsid w:val="005514BE"/>
    <w:rsid w:val="00552F88"/>
    <w:rsid w:val="005560A4"/>
    <w:rsid w:val="0055642B"/>
    <w:rsid w:val="00560146"/>
    <w:rsid w:val="005611C4"/>
    <w:rsid w:val="00562B6B"/>
    <w:rsid w:val="005640B3"/>
    <w:rsid w:val="00565BDE"/>
    <w:rsid w:val="00566446"/>
    <w:rsid w:val="0057178C"/>
    <w:rsid w:val="00573DBC"/>
    <w:rsid w:val="00576D2E"/>
    <w:rsid w:val="00577E41"/>
    <w:rsid w:val="005815F0"/>
    <w:rsid w:val="005821DD"/>
    <w:rsid w:val="005821F2"/>
    <w:rsid w:val="00582751"/>
    <w:rsid w:val="00584515"/>
    <w:rsid w:val="005859FD"/>
    <w:rsid w:val="00587C36"/>
    <w:rsid w:val="00590960"/>
    <w:rsid w:val="00590F2F"/>
    <w:rsid w:val="005933C3"/>
    <w:rsid w:val="005946B6"/>
    <w:rsid w:val="005962C8"/>
    <w:rsid w:val="00596B7D"/>
    <w:rsid w:val="00596CBA"/>
    <w:rsid w:val="005A0883"/>
    <w:rsid w:val="005A0C83"/>
    <w:rsid w:val="005A258C"/>
    <w:rsid w:val="005A34E6"/>
    <w:rsid w:val="005A3AF7"/>
    <w:rsid w:val="005B0EC8"/>
    <w:rsid w:val="005B18AE"/>
    <w:rsid w:val="005B2DA0"/>
    <w:rsid w:val="005B35CA"/>
    <w:rsid w:val="005B3AA3"/>
    <w:rsid w:val="005B5DE8"/>
    <w:rsid w:val="005B614E"/>
    <w:rsid w:val="005B638A"/>
    <w:rsid w:val="005B6D88"/>
    <w:rsid w:val="005B7283"/>
    <w:rsid w:val="005C0ED3"/>
    <w:rsid w:val="005C2172"/>
    <w:rsid w:val="005C36DC"/>
    <w:rsid w:val="005C4E91"/>
    <w:rsid w:val="005C5500"/>
    <w:rsid w:val="005C5D62"/>
    <w:rsid w:val="005C5E84"/>
    <w:rsid w:val="005D3BF5"/>
    <w:rsid w:val="005D42B0"/>
    <w:rsid w:val="005D464A"/>
    <w:rsid w:val="005D55DB"/>
    <w:rsid w:val="005D67AE"/>
    <w:rsid w:val="005E381C"/>
    <w:rsid w:val="005E3DCF"/>
    <w:rsid w:val="005E5EC5"/>
    <w:rsid w:val="005E63F3"/>
    <w:rsid w:val="005E6F43"/>
    <w:rsid w:val="005F042B"/>
    <w:rsid w:val="005F0B7D"/>
    <w:rsid w:val="005F1E5E"/>
    <w:rsid w:val="005F27FD"/>
    <w:rsid w:val="005F29A9"/>
    <w:rsid w:val="005F2CF3"/>
    <w:rsid w:val="005F5765"/>
    <w:rsid w:val="005F5893"/>
    <w:rsid w:val="005F73B9"/>
    <w:rsid w:val="00601E06"/>
    <w:rsid w:val="00604592"/>
    <w:rsid w:val="00606A8B"/>
    <w:rsid w:val="00606FC3"/>
    <w:rsid w:val="006108D3"/>
    <w:rsid w:val="00611A95"/>
    <w:rsid w:val="0061208F"/>
    <w:rsid w:val="00612625"/>
    <w:rsid w:val="0061285A"/>
    <w:rsid w:val="00612BA4"/>
    <w:rsid w:val="00614099"/>
    <w:rsid w:val="0061425B"/>
    <w:rsid w:val="006149CC"/>
    <w:rsid w:val="00615FC5"/>
    <w:rsid w:val="006163AE"/>
    <w:rsid w:val="006175EE"/>
    <w:rsid w:val="00621C9C"/>
    <w:rsid w:val="006226EA"/>
    <w:rsid w:val="00623A89"/>
    <w:rsid w:val="00624170"/>
    <w:rsid w:val="006250B0"/>
    <w:rsid w:val="00625580"/>
    <w:rsid w:val="0062580F"/>
    <w:rsid w:val="00625EE3"/>
    <w:rsid w:val="006272FD"/>
    <w:rsid w:val="006301CB"/>
    <w:rsid w:val="00633F2D"/>
    <w:rsid w:val="00635378"/>
    <w:rsid w:val="00636875"/>
    <w:rsid w:val="00642A66"/>
    <w:rsid w:val="00643139"/>
    <w:rsid w:val="00644E5A"/>
    <w:rsid w:val="00650789"/>
    <w:rsid w:val="006519B1"/>
    <w:rsid w:val="00651D87"/>
    <w:rsid w:val="00654500"/>
    <w:rsid w:val="00655446"/>
    <w:rsid w:val="006556F4"/>
    <w:rsid w:val="0066016D"/>
    <w:rsid w:val="0066054E"/>
    <w:rsid w:val="006617FD"/>
    <w:rsid w:val="00662D01"/>
    <w:rsid w:val="00665EB6"/>
    <w:rsid w:val="0066681C"/>
    <w:rsid w:val="0067028A"/>
    <w:rsid w:val="0067043D"/>
    <w:rsid w:val="00670E56"/>
    <w:rsid w:val="00672A2A"/>
    <w:rsid w:val="00675DFC"/>
    <w:rsid w:val="006801AC"/>
    <w:rsid w:val="00681B47"/>
    <w:rsid w:val="006828A6"/>
    <w:rsid w:val="00683C0F"/>
    <w:rsid w:val="006854F7"/>
    <w:rsid w:val="00685DB4"/>
    <w:rsid w:val="006862F5"/>
    <w:rsid w:val="0069131D"/>
    <w:rsid w:val="00691699"/>
    <w:rsid w:val="00691FCC"/>
    <w:rsid w:val="00692471"/>
    <w:rsid w:val="00693131"/>
    <w:rsid w:val="00695A75"/>
    <w:rsid w:val="006A09B6"/>
    <w:rsid w:val="006A33A1"/>
    <w:rsid w:val="006A45F2"/>
    <w:rsid w:val="006A5DD6"/>
    <w:rsid w:val="006A70F0"/>
    <w:rsid w:val="006A72B9"/>
    <w:rsid w:val="006B09D6"/>
    <w:rsid w:val="006B149E"/>
    <w:rsid w:val="006B2B91"/>
    <w:rsid w:val="006B32E7"/>
    <w:rsid w:val="006B3699"/>
    <w:rsid w:val="006B385C"/>
    <w:rsid w:val="006B3955"/>
    <w:rsid w:val="006B3BAC"/>
    <w:rsid w:val="006B449E"/>
    <w:rsid w:val="006B5446"/>
    <w:rsid w:val="006B59DE"/>
    <w:rsid w:val="006B6217"/>
    <w:rsid w:val="006B702E"/>
    <w:rsid w:val="006C3739"/>
    <w:rsid w:val="006C44E5"/>
    <w:rsid w:val="006C4A98"/>
    <w:rsid w:val="006C582B"/>
    <w:rsid w:val="006C5FCF"/>
    <w:rsid w:val="006C6C5B"/>
    <w:rsid w:val="006C7300"/>
    <w:rsid w:val="006C74B8"/>
    <w:rsid w:val="006C7B51"/>
    <w:rsid w:val="006C7FA9"/>
    <w:rsid w:val="006D23A1"/>
    <w:rsid w:val="006D3ED7"/>
    <w:rsid w:val="006D7B57"/>
    <w:rsid w:val="006E0E2E"/>
    <w:rsid w:val="006E1C25"/>
    <w:rsid w:val="006E479C"/>
    <w:rsid w:val="006E5455"/>
    <w:rsid w:val="006E5C50"/>
    <w:rsid w:val="006F039F"/>
    <w:rsid w:val="006F06D1"/>
    <w:rsid w:val="006F12FE"/>
    <w:rsid w:val="006F2894"/>
    <w:rsid w:val="006F2C4D"/>
    <w:rsid w:val="006F42E2"/>
    <w:rsid w:val="006F458B"/>
    <w:rsid w:val="006F5544"/>
    <w:rsid w:val="006F637A"/>
    <w:rsid w:val="006F666F"/>
    <w:rsid w:val="006F7CF3"/>
    <w:rsid w:val="007006D8"/>
    <w:rsid w:val="00700F1A"/>
    <w:rsid w:val="0070379B"/>
    <w:rsid w:val="00703C59"/>
    <w:rsid w:val="00703D93"/>
    <w:rsid w:val="00704A4C"/>
    <w:rsid w:val="00705515"/>
    <w:rsid w:val="007072F2"/>
    <w:rsid w:val="00707675"/>
    <w:rsid w:val="00707B13"/>
    <w:rsid w:val="00712604"/>
    <w:rsid w:val="00714196"/>
    <w:rsid w:val="0071462A"/>
    <w:rsid w:val="00714959"/>
    <w:rsid w:val="007151E7"/>
    <w:rsid w:val="00716166"/>
    <w:rsid w:val="00720C71"/>
    <w:rsid w:val="00721A14"/>
    <w:rsid w:val="00722D7C"/>
    <w:rsid w:val="0072306E"/>
    <w:rsid w:val="0072515E"/>
    <w:rsid w:val="00726819"/>
    <w:rsid w:val="00727265"/>
    <w:rsid w:val="00727E56"/>
    <w:rsid w:val="007301C4"/>
    <w:rsid w:val="007310D9"/>
    <w:rsid w:val="00731905"/>
    <w:rsid w:val="00731B80"/>
    <w:rsid w:val="007322DB"/>
    <w:rsid w:val="007334FA"/>
    <w:rsid w:val="007336A0"/>
    <w:rsid w:val="00733839"/>
    <w:rsid w:val="00733D01"/>
    <w:rsid w:val="007350BF"/>
    <w:rsid w:val="00735CF1"/>
    <w:rsid w:val="00737CDA"/>
    <w:rsid w:val="00740090"/>
    <w:rsid w:val="00741F5E"/>
    <w:rsid w:val="00742528"/>
    <w:rsid w:val="00742A78"/>
    <w:rsid w:val="007459E3"/>
    <w:rsid w:val="00747444"/>
    <w:rsid w:val="007538D5"/>
    <w:rsid w:val="00755AE8"/>
    <w:rsid w:val="00757FBD"/>
    <w:rsid w:val="007616E9"/>
    <w:rsid w:val="007636F5"/>
    <w:rsid w:val="00763A4B"/>
    <w:rsid w:val="007668A4"/>
    <w:rsid w:val="00770E59"/>
    <w:rsid w:val="00775C74"/>
    <w:rsid w:val="00776608"/>
    <w:rsid w:val="00776710"/>
    <w:rsid w:val="00777C55"/>
    <w:rsid w:val="00780252"/>
    <w:rsid w:val="00780F19"/>
    <w:rsid w:val="00780F67"/>
    <w:rsid w:val="00783FF0"/>
    <w:rsid w:val="00784562"/>
    <w:rsid w:val="00784AF7"/>
    <w:rsid w:val="00784DE5"/>
    <w:rsid w:val="0078708A"/>
    <w:rsid w:val="0078782B"/>
    <w:rsid w:val="0079090F"/>
    <w:rsid w:val="00790917"/>
    <w:rsid w:val="00792025"/>
    <w:rsid w:val="007926F1"/>
    <w:rsid w:val="0079333C"/>
    <w:rsid w:val="0079368D"/>
    <w:rsid w:val="00795B28"/>
    <w:rsid w:val="00795FF4"/>
    <w:rsid w:val="007977EB"/>
    <w:rsid w:val="007A0A83"/>
    <w:rsid w:val="007A0D66"/>
    <w:rsid w:val="007A1420"/>
    <w:rsid w:val="007A1A02"/>
    <w:rsid w:val="007A2ABF"/>
    <w:rsid w:val="007A4B25"/>
    <w:rsid w:val="007A50B0"/>
    <w:rsid w:val="007A65A7"/>
    <w:rsid w:val="007A7265"/>
    <w:rsid w:val="007B0332"/>
    <w:rsid w:val="007B0599"/>
    <w:rsid w:val="007B2F08"/>
    <w:rsid w:val="007B5C4D"/>
    <w:rsid w:val="007C030E"/>
    <w:rsid w:val="007C2F7D"/>
    <w:rsid w:val="007C313F"/>
    <w:rsid w:val="007C3745"/>
    <w:rsid w:val="007C6811"/>
    <w:rsid w:val="007C7E19"/>
    <w:rsid w:val="007D0AEC"/>
    <w:rsid w:val="007D0E0A"/>
    <w:rsid w:val="007D1975"/>
    <w:rsid w:val="007D3FFD"/>
    <w:rsid w:val="007D7279"/>
    <w:rsid w:val="007E0C6E"/>
    <w:rsid w:val="007E17AF"/>
    <w:rsid w:val="007E2A88"/>
    <w:rsid w:val="007E4604"/>
    <w:rsid w:val="007E6D60"/>
    <w:rsid w:val="007E712F"/>
    <w:rsid w:val="007E7B06"/>
    <w:rsid w:val="007F2B2F"/>
    <w:rsid w:val="007F35FA"/>
    <w:rsid w:val="007F3605"/>
    <w:rsid w:val="007F36E4"/>
    <w:rsid w:val="007F3B71"/>
    <w:rsid w:val="007F45AA"/>
    <w:rsid w:val="007F4D57"/>
    <w:rsid w:val="007F544F"/>
    <w:rsid w:val="007F56F2"/>
    <w:rsid w:val="007F621D"/>
    <w:rsid w:val="007F6663"/>
    <w:rsid w:val="007F7273"/>
    <w:rsid w:val="007F7680"/>
    <w:rsid w:val="00800000"/>
    <w:rsid w:val="00800ABC"/>
    <w:rsid w:val="00800B60"/>
    <w:rsid w:val="00801DA3"/>
    <w:rsid w:val="00803712"/>
    <w:rsid w:val="00810D92"/>
    <w:rsid w:val="008113A8"/>
    <w:rsid w:val="00811512"/>
    <w:rsid w:val="008128E2"/>
    <w:rsid w:val="00813936"/>
    <w:rsid w:val="008148F2"/>
    <w:rsid w:val="00814DCF"/>
    <w:rsid w:val="0081520F"/>
    <w:rsid w:val="00815E0C"/>
    <w:rsid w:val="008169F1"/>
    <w:rsid w:val="00817348"/>
    <w:rsid w:val="00817C2C"/>
    <w:rsid w:val="00820080"/>
    <w:rsid w:val="00820959"/>
    <w:rsid w:val="008244DC"/>
    <w:rsid w:val="008246A1"/>
    <w:rsid w:val="00825250"/>
    <w:rsid w:val="008260E6"/>
    <w:rsid w:val="00827E08"/>
    <w:rsid w:val="008311DF"/>
    <w:rsid w:val="0083405F"/>
    <w:rsid w:val="00835A90"/>
    <w:rsid w:val="00835DB2"/>
    <w:rsid w:val="008367F2"/>
    <w:rsid w:val="008404A5"/>
    <w:rsid w:val="00841A27"/>
    <w:rsid w:val="00846C74"/>
    <w:rsid w:val="00846F75"/>
    <w:rsid w:val="00847203"/>
    <w:rsid w:val="00847545"/>
    <w:rsid w:val="00850CA2"/>
    <w:rsid w:val="0085116F"/>
    <w:rsid w:val="008517C7"/>
    <w:rsid w:val="00853A70"/>
    <w:rsid w:val="00854165"/>
    <w:rsid w:val="008545AE"/>
    <w:rsid w:val="008560AD"/>
    <w:rsid w:val="00856706"/>
    <w:rsid w:val="00856D05"/>
    <w:rsid w:val="00857013"/>
    <w:rsid w:val="0086080B"/>
    <w:rsid w:val="0086120E"/>
    <w:rsid w:val="00861B56"/>
    <w:rsid w:val="00862156"/>
    <w:rsid w:val="008630A7"/>
    <w:rsid w:val="0086311B"/>
    <w:rsid w:val="008633B1"/>
    <w:rsid w:val="00864552"/>
    <w:rsid w:val="0087060A"/>
    <w:rsid w:val="008733C9"/>
    <w:rsid w:val="00874EB2"/>
    <w:rsid w:val="00875617"/>
    <w:rsid w:val="00875A8D"/>
    <w:rsid w:val="0087652E"/>
    <w:rsid w:val="00877885"/>
    <w:rsid w:val="0088061C"/>
    <w:rsid w:val="008816B2"/>
    <w:rsid w:val="0088362A"/>
    <w:rsid w:val="00883AC9"/>
    <w:rsid w:val="00884215"/>
    <w:rsid w:val="0088561C"/>
    <w:rsid w:val="008870AF"/>
    <w:rsid w:val="00892E2B"/>
    <w:rsid w:val="0089591E"/>
    <w:rsid w:val="008959D1"/>
    <w:rsid w:val="008A01DA"/>
    <w:rsid w:val="008A0ED3"/>
    <w:rsid w:val="008A16F3"/>
    <w:rsid w:val="008A2372"/>
    <w:rsid w:val="008A4AB4"/>
    <w:rsid w:val="008A4C36"/>
    <w:rsid w:val="008A6059"/>
    <w:rsid w:val="008A65BF"/>
    <w:rsid w:val="008B16B8"/>
    <w:rsid w:val="008B1E66"/>
    <w:rsid w:val="008B31B4"/>
    <w:rsid w:val="008B33DD"/>
    <w:rsid w:val="008B4E4F"/>
    <w:rsid w:val="008B55FF"/>
    <w:rsid w:val="008B59D1"/>
    <w:rsid w:val="008B69B8"/>
    <w:rsid w:val="008C3617"/>
    <w:rsid w:val="008C4D95"/>
    <w:rsid w:val="008C5FA6"/>
    <w:rsid w:val="008C7B70"/>
    <w:rsid w:val="008D0098"/>
    <w:rsid w:val="008D08DB"/>
    <w:rsid w:val="008D0DAB"/>
    <w:rsid w:val="008D3074"/>
    <w:rsid w:val="008D30BA"/>
    <w:rsid w:val="008D312C"/>
    <w:rsid w:val="008D40CF"/>
    <w:rsid w:val="008D5338"/>
    <w:rsid w:val="008E5D43"/>
    <w:rsid w:val="008F0284"/>
    <w:rsid w:val="008F02ED"/>
    <w:rsid w:val="008F0FFA"/>
    <w:rsid w:val="008F1486"/>
    <w:rsid w:val="008F1B99"/>
    <w:rsid w:val="008F3019"/>
    <w:rsid w:val="008F34B6"/>
    <w:rsid w:val="008F3B3E"/>
    <w:rsid w:val="008F4E6E"/>
    <w:rsid w:val="008F718A"/>
    <w:rsid w:val="009006CA"/>
    <w:rsid w:val="00903123"/>
    <w:rsid w:val="0090389C"/>
    <w:rsid w:val="00903C15"/>
    <w:rsid w:val="009047E5"/>
    <w:rsid w:val="00907A0E"/>
    <w:rsid w:val="00913A71"/>
    <w:rsid w:val="00913AE9"/>
    <w:rsid w:val="0091492E"/>
    <w:rsid w:val="00915BE7"/>
    <w:rsid w:val="00915E50"/>
    <w:rsid w:val="00915FF3"/>
    <w:rsid w:val="0091784D"/>
    <w:rsid w:val="0091794E"/>
    <w:rsid w:val="00917AD7"/>
    <w:rsid w:val="00917FB6"/>
    <w:rsid w:val="009217FD"/>
    <w:rsid w:val="009228F0"/>
    <w:rsid w:val="00925109"/>
    <w:rsid w:val="00926258"/>
    <w:rsid w:val="00927078"/>
    <w:rsid w:val="009277C0"/>
    <w:rsid w:val="00931640"/>
    <w:rsid w:val="009319A9"/>
    <w:rsid w:val="0093272A"/>
    <w:rsid w:val="00932FAD"/>
    <w:rsid w:val="00933693"/>
    <w:rsid w:val="00937D71"/>
    <w:rsid w:val="00942C77"/>
    <w:rsid w:val="009432DC"/>
    <w:rsid w:val="009436C0"/>
    <w:rsid w:val="00944544"/>
    <w:rsid w:val="00944705"/>
    <w:rsid w:val="009447FF"/>
    <w:rsid w:val="0094512B"/>
    <w:rsid w:val="00945456"/>
    <w:rsid w:val="009461F8"/>
    <w:rsid w:val="0094658A"/>
    <w:rsid w:val="00955052"/>
    <w:rsid w:val="00956033"/>
    <w:rsid w:val="009576E5"/>
    <w:rsid w:val="00957E6B"/>
    <w:rsid w:val="009608DB"/>
    <w:rsid w:val="0096170F"/>
    <w:rsid w:val="00963CFB"/>
    <w:rsid w:val="00965B02"/>
    <w:rsid w:val="0096712C"/>
    <w:rsid w:val="009672CD"/>
    <w:rsid w:val="00967645"/>
    <w:rsid w:val="009709A0"/>
    <w:rsid w:val="00971018"/>
    <w:rsid w:val="0098153B"/>
    <w:rsid w:val="00981634"/>
    <w:rsid w:val="009816FD"/>
    <w:rsid w:val="00985A60"/>
    <w:rsid w:val="009867B5"/>
    <w:rsid w:val="00987939"/>
    <w:rsid w:val="009900DC"/>
    <w:rsid w:val="0099087E"/>
    <w:rsid w:val="00991C7C"/>
    <w:rsid w:val="00992868"/>
    <w:rsid w:val="00992E75"/>
    <w:rsid w:val="0099382B"/>
    <w:rsid w:val="00994DB0"/>
    <w:rsid w:val="00996EBB"/>
    <w:rsid w:val="009A0D53"/>
    <w:rsid w:val="009A5F9B"/>
    <w:rsid w:val="009A6B8C"/>
    <w:rsid w:val="009B024D"/>
    <w:rsid w:val="009B1779"/>
    <w:rsid w:val="009B2916"/>
    <w:rsid w:val="009B37E4"/>
    <w:rsid w:val="009B669C"/>
    <w:rsid w:val="009C0C98"/>
    <w:rsid w:val="009C2A17"/>
    <w:rsid w:val="009C2BBB"/>
    <w:rsid w:val="009C47D5"/>
    <w:rsid w:val="009C61E0"/>
    <w:rsid w:val="009C6526"/>
    <w:rsid w:val="009D05BC"/>
    <w:rsid w:val="009D09E8"/>
    <w:rsid w:val="009D0A9C"/>
    <w:rsid w:val="009D1BD5"/>
    <w:rsid w:val="009D2218"/>
    <w:rsid w:val="009D39C1"/>
    <w:rsid w:val="009D39E0"/>
    <w:rsid w:val="009D488A"/>
    <w:rsid w:val="009D5602"/>
    <w:rsid w:val="009D60FE"/>
    <w:rsid w:val="009D6B47"/>
    <w:rsid w:val="009E16BD"/>
    <w:rsid w:val="009E22F5"/>
    <w:rsid w:val="009E36F3"/>
    <w:rsid w:val="009E3FC8"/>
    <w:rsid w:val="009E40A2"/>
    <w:rsid w:val="009E62CC"/>
    <w:rsid w:val="009F0AEA"/>
    <w:rsid w:val="009F3E41"/>
    <w:rsid w:val="009F3E78"/>
    <w:rsid w:val="009F42E1"/>
    <w:rsid w:val="009F5EF8"/>
    <w:rsid w:val="009F7F08"/>
    <w:rsid w:val="00A01C9F"/>
    <w:rsid w:val="00A02052"/>
    <w:rsid w:val="00A023F8"/>
    <w:rsid w:val="00A02565"/>
    <w:rsid w:val="00A04481"/>
    <w:rsid w:val="00A04646"/>
    <w:rsid w:val="00A04ADC"/>
    <w:rsid w:val="00A0574C"/>
    <w:rsid w:val="00A05D46"/>
    <w:rsid w:val="00A10802"/>
    <w:rsid w:val="00A11E9F"/>
    <w:rsid w:val="00A11EEE"/>
    <w:rsid w:val="00A141CD"/>
    <w:rsid w:val="00A156AF"/>
    <w:rsid w:val="00A1591A"/>
    <w:rsid w:val="00A171CD"/>
    <w:rsid w:val="00A20F9D"/>
    <w:rsid w:val="00A24261"/>
    <w:rsid w:val="00A24518"/>
    <w:rsid w:val="00A24AA7"/>
    <w:rsid w:val="00A2552F"/>
    <w:rsid w:val="00A2556C"/>
    <w:rsid w:val="00A27529"/>
    <w:rsid w:val="00A27537"/>
    <w:rsid w:val="00A278F1"/>
    <w:rsid w:val="00A3040F"/>
    <w:rsid w:val="00A322CD"/>
    <w:rsid w:val="00A33D5A"/>
    <w:rsid w:val="00A33E28"/>
    <w:rsid w:val="00A36D51"/>
    <w:rsid w:val="00A409E7"/>
    <w:rsid w:val="00A41468"/>
    <w:rsid w:val="00A42795"/>
    <w:rsid w:val="00A44AA6"/>
    <w:rsid w:val="00A4502B"/>
    <w:rsid w:val="00A45099"/>
    <w:rsid w:val="00A457EB"/>
    <w:rsid w:val="00A479F1"/>
    <w:rsid w:val="00A5034B"/>
    <w:rsid w:val="00A50F78"/>
    <w:rsid w:val="00A549E7"/>
    <w:rsid w:val="00A57710"/>
    <w:rsid w:val="00A60124"/>
    <w:rsid w:val="00A60BA6"/>
    <w:rsid w:val="00A65C66"/>
    <w:rsid w:val="00A67E2A"/>
    <w:rsid w:val="00A71897"/>
    <w:rsid w:val="00A71F34"/>
    <w:rsid w:val="00A72589"/>
    <w:rsid w:val="00A73401"/>
    <w:rsid w:val="00A73E61"/>
    <w:rsid w:val="00A749F9"/>
    <w:rsid w:val="00A74E32"/>
    <w:rsid w:val="00A77B2D"/>
    <w:rsid w:val="00A8061B"/>
    <w:rsid w:val="00A80E3B"/>
    <w:rsid w:val="00A81908"/>
    <w:rsid w:val="00A826B7"/>
    <w:rsid w:val="00A90B35"/>
    <w:rsid w:val="00A91412"/>
    <w:rsid w:val="00A91C81"/>
    <w:rsid w:val="00A94041"/>
    <w:rsid w:val="00A94B51"/>
    <w:rsid w:val="00A95197"/>
    <w:rsid w:val="00A96A3E"/>
    <w:rsid w:val="00AA2221"/>
    <w:rsid w:val="00AA23CF"/>
    <w:rsid w:val="00AA2EE3"/>
    <w:rsid w:val="00AA32A6"/>
    <w:rsid w:val="00AA3647"/>
    <w:rsid w:val="00AA3BB6"/>
    <w:rsid w:val="00AA5082"/>
    <w:rsid w:val="00AA512D"/>
    <w:rsid w:val="00AA7249"/>
    <w:rsid w:val="00AA7E19"/>
    <w:rsid w:val="00AB1FDF"/>
    <w:rsid w:val="00AB35FE"/>
    <w:rsid w:val="00AB4AB4"/>
    <w:rsid w:val="00AB74F9"/>
    <w:rsid w:val="00AC18CD"/>
    <w:rsid w:val="00AC18ED"/>
    <w:rsid w:val="00AC2804"/>
    <w:rsid w:val="00AC2D94"/>
    <w:rsid w:val="00AC497B"/>
    <w:rsid w:val="00AC6E6F"/>
    <w:rsid w:val="00AC737F"/>
    <w:rsid w:val="00AC7BB1"/>
    <w:rsid w:val="00AD03FB"/>
    <w:rsid w:val="00AD0B5A"/>
    <w:rsid w:val="00AD26BF"/>
    <w:rsid w:val="00AD49C6"/>
    <w:rsid w:val="00AD4AAC"/>
    <w:rsid w:val="00AD697B"/>
    <w:rsid w:val="00AE0035"/>
    <w:rsid w:val="00AE0DEA"/>
    <w:rsid w:val="00AE0E06"/>
    <w:rsid w:val="00AE0F06"/>
    <w:rsid w:val="00AE12C6"/>
    <w:rsid w:val="00AE1597"/>
    <w:rsid w:val="00AE1BDF"/>
    <w:rsid w:val="00AE2E8E"/>
    <w:rsid w:val="00AE620E"/>
    <w:rsid w:val="00AE6BC9"/>
    <w:rsid w:val="00AE714E"/>
    <w:rsid w:val="00AE7731"/>
    <w:rsid w:val="00AF004B"/>
    <w:rsid w:val="00AF03A6"/>
    <w:rsid w:val="00AF1A0A"/>
    <w:rsid w:val="00AF1B0C"/>
    <w:rsid w:val="00AF2250"/>
    <w:rsid w:val="00AF355E"/>
    <w:rsid w:val="00AF4176"/>
    <w:rsid w:val="00AF4BD7"/>
    <w:rsid w:val="00AF7830"/>
    <w:rsid w:val="00AF7E69"/>
    <w:rsid w:val="00B01BF3"/>
    <w:rsid w:val="00B0302B"/>
    <w:rsid w:val="00B03DFB"/>
    <w:rsid w:val="00B06D0C"/>
    <w:rsid w:val="00B119B9"/>
    <w:rsid w:val="00B11A4C"/>
    <w:rsid w:val="00B11C63"/>
    <w:rsid w:val="00B138DA"/>
    <w:rsid w:val="00B15450"/>
    <w:rsid w:val="00B210AD"/>
    <w:rsid w:val="00B21593"/>
    <w:rsid w:val="00B2171C"/>
    <w:rsid w:val="00B21C95"/>
    <w:rsid w:val="00B259A9"/>
    <w:rsid w:val="00B266C7"/>
    <w:rsid w:val="00B27F81"/>
    <w:rsid w:val="00B3020B"/>
    <w:rsid w:val="00B32251"/>
    <w:rsid w:val="00B32C52"/>
    <w:rsid w:val="00B33E80"/>
    <w:rsid w:val="00B34150"/>
    <w:rsid w:val="00B35BF3"/>
    <w:rsid w:val="00B36B67"/>
    <w:rsid w:val="00B37088"/>
    <w:rsid w:val="00B37DB9"/>
    <w:rsid w:val="00B40829"/>
    <w:rsid w:val="00B40930"/>
    <w:rsid w:val="00B40E0A"/>
    <w:rsid w:val="00B40F72"/>
    <w:rsid w:val="00B42C1A"/>
    <w:rsid w:val="00B43720"/>
    <w:rsid w:val="00B4694B"/>
    <w:rsid w:val="00B469B9"/>
    <w:rsid w:val="00B46BA9"/>
    <w:rsid w:val="00B47D0C"/>
    <w:rsid w:val="00B50CAF"/>
    <w:rsid w:val="00B52148"/>
    <w:rsid w:val="00B52C4D"/>
    <w:rsid w:val="00B5371B"/>
    <w:rsid w:val="00B54668"/>
    <w:rsid w:val="00B56015"/>
    <w:rsid w:val="00B56F9E"/>
    <w:rsid w:val="00B60DE5"/>
    <w:rsid w:val="00B614D4"/>
    <w:rsid w:val="00B61FA3"/>
    <w:rsid w:val="00B62556"/>
    <w:rsid w:val="00B66924"/>
    <w:rsid w:val="00B66D48"/>
    <w:rsid w:val="00B7009A"/>
    <w:rsid w:val="00B71491"/>
    <w:rsid w:val="00B7266E"/>
    <w:rsid w:val="00B74BB2"/>
    <w:rsid w:val="00B74FA0"/>
    <w:rsid w:val="00B75E86"/>
    <w:rsid w:val="00B82C4E"/>
    <w:rsid w:val="00B83273"/>
    <w:rsid w:val="00B836AE"/>
    <w:rsid w:val="00B839BC"/>
    <w:rsid w:val="00B868C1"/>
    <w:rsid w:val="00B87C32"/>
    <w:rsid w:val="00B9322B"/>
    <w:rsid w:val="00B94B76"/>
    <w:rsid w:val="00B953D3"/>
    <w:rsid w:val="00B95AFB"/>
    <w:rsid w:val="00B96327"/>
    <w:rsid w:val="00B9646E"/>
    <w:rsid w:val="00B96F99"/>
    <w:rsid w:val="00B97903"/>
    <w:rsid w:val="00BA01BB"/>
    <w:rsid w:val="00BA1AA6"/>
    <w:rsid w:val="00BA3E8A"/>
    <w:rsid w:val="00BA5DFE"/>
    <w:rsid w:val="00BA6C1F"/>
    <w:rsid w:val="00BA7EA2"/>
    <w:rsid w:val="00BB1269"/>
    <w:rsid w:val="00BB3044"/>
    <w:rsid w:val="00BB34D8"/>
    <w:rsid w:val="00BB504E"/>
    <w:rsid w:val="00BB77E0"/>
    <w:rsid w:val="00BB77EA"/>
    <w:rsid w:val="00BB78A2"/>
    <w:rsid w:val="00BC1DC0"/>
    <w:rsid w:val="00BC2508"/>
    <w:rsid w:val="00BC2C5C"/>
    <w:rsid w:val="00BC4055"/>
    <w:rsid w:val="00BC4583"/>
    <w:rsid w:val="00BC6950"/>
    <w:rsid w:val="00BC6CB3"/>
    <w:rsid w:val="00BD1509"/>
    <w:rsid w:val="00BD1C31"/>
    <w:rsid w:val="00BD2897"/>
    <w:rsid w:val="00BD2E2E"/>
    <w:rsid w:val="00BD490A"/>
    <w:rsid w:val="00BD5984"/>
    <w:rsid w:val="00BD7C21"/>
    <w:rsid w:val="00BE0A3D"/>
    <w:rsid w:val="00BE151F"/>
    <w:rsid w:val="00BE1EF6"/>
    <w:rsid w:val="00BE2938"/>
    <w:rsid w:val="00BE3C19"/>
    <w:rsid w:val="00BE4507"/>
    <w:rsid w:val="00BE4D7E"/>
    <w:rsid w:val="00BE56CD"/>
    <w:rsid w:val="00BE6322"/>
    <w:rsid w:val="00BE6399"/>
    <w:rsid w:val="00BE76C6"/>
    <w:rsid w:val="00BE77DF"/>
    <w:rsid w:val="00BF36D8"/>
    <w:rsid w:val="00BF4BA7"/>
    <w:rsid w:val="00BF5390"/>
    <w:rsid w:val="00BF5BD9"/>
    <w:rsid w:val="00BF6878"/>
    <w:rsid w:val="00BF7787"/>
    <w:rsid w:val="00C012E3"/>
    <w:rsid w:val="00C014BF"/>
    <w:rsid w:val="00C015F1"/>
    <w:rsid w:val="00C01648"/>
    <w:rsid w:val="00C026CA"/>
    <w:rsid w:val="00C02D91"/>
    <w:rsid w:val="00C03649"/>
    <w:rsid w:val="00C03F61"/>
    <w:rsid w:val="00C04006"/>
    <w:rsid w:val="00C069C2"/>
    <w:rsid w:val="00C06C91"/>
    <w:rsid w:val="00C071DA"/>
    <w:rsid w:val="00C07238"/>
    <w:rsid w:val="00C072FC"/>
    <w:rsid w:val="00C100FF"/>
    <w:rsid w:val="00C10EDB"/>
    <w:rsid w:val="00C124B4"/>
    <w:rsid w:val="00C141F4"/>
    <w:rsid w:val="00C15A14"/>
    <w:rsid w:val="00C17533"/>
    <w:rsid w:val="00C17582"/>
    <w:rsid w:val="00C17EBF"/>
    <w:rsid w:val="00C219F0"/>
    <w:rsid w:val="00C229DC"/>
    <w:rsid w:val="00C22A83"/>
    <w:rsid w:val="00C24EF3"/>
    <w:rsid w:val="00C26D0B"/>
    <w:rsid w:val="00C2742A"/>
    <w:rsid w:val="00C30F2D"/>
    <w:rsid w:val="00C32F09"/>
    <w:rsid w:val="00C334C3"/>
    <w:rsid w:val="00C34A84"/>
    <w:rsid w:val="00C3500F"/>
    <w:rsid w:val="00C35DB8"/>
    <w:rsid w:val="00C42375"/>
    <w:rsid w:val="00C425EC"/>
    <w:rsid w:val="00C42DD3"/>
    <w:rsid w:val="00C42FEC"/>
    <w:rsid w:val="00C43233"/>
    <w:rsid w:val="00C43BCE"/>
    <w:rsid w:val="00C440CD"/>
    <w:rsid w:val="00C44551"/>
    <w:rsid w:val="00C45588"/>
    <w:rsid w:val="00C45CE2"/>
    <w:rsid w:val="00C464F8"/>
    <w:rsid w:val="00C47F78"/>
    <w:rsid w:val="00C51CC5"/>
    <w:rsid w:val="00C524FC"/>
    <w:rsid w:val="00C52DC0"/>
    <w:rsid w:val="00C5392C"/>
    <w:rsid w:val="00C54DF3"/>
    <w:rsid w:val="00C57425"/>
    <w:rsid w:val="00C57531"/>
    <w:rsid w:val="00C57C24"/>
    <w:rsid w:val="00C608E8"/>
    <w:rsid w:val="00C63B97"/>
    <w:rsid w:val="00C6547D"/>
    <w:rsid w:val="00C65878"/>
    <w:rsid w:val="00C6593F"/>
    <w:rsid w:val="00C66D87"/>
    <w:rsid w:val="00C70064"/>
    <w:rsid w:val="00C71110"/>
    <w:rsid w:val="00C71AFE"/>
    <w:rsid w:val="00C71CF3"/>
    <w:rsid w:val="00C72292"/>
    <w:rsid w:val="00C7270D"/>
    <w:rsid w:val="00C740C5"/>
    <w:rsid w:val="00C764F9"/>
    <w:rsid w:val="00C81357"/>
    <w:rsid w:val="00C9121F"/>
    <w:rsid w:val="00C91458"/>
    <w:rsid w:val="00C914E6"/>
    <w:rsid w:val="00C921E6"/>
    <w:rsid w:val="00C933E6"/>
    <w:rsid w:val="00C95EA1"/>
    <w:rsid w:val="00CA271E"/>
    <w:rsid w:val="00CA3213"/>
    <w:rsid w:val="00CA6AC2"/>
    <w:rsid w:val="00CB0A4E"/>
    <w:rsid w:val="00CB1761"/>
    <w:rsid w:val="00CB23D3"/>
    <w:rsid w:val="00CB24A0"/>
    <w:rsid w:val="00CB3EDB"/>
    <w:rsid w:val="00CB41D3"/>
    <w:rsid w:val="00CB4830"/>
    <w:rsid w:val="00CB4FA2"/>
    <w:rsid w:val="00CB6A7C"/>
    <w:rsid w:val="00CB737D"/>
    <w:rsid w:val="00CC0BB8"/>
    <w:rsid w:val="00CC2E9A"/>
    <w:rsid w:val="00CC43C6"/>
    <w:rsid w:val="00CC486E"/>
    <w:rsid w:val="00CC688B"/>
    <w:rsid w:val="00CD009C"/>
    <w:rsid w:val="00CD1169"/>
    <w:rsid w:val="00CD1419"/>
    <w:rsid w:val="00CD2D39"/>
    <w:rsid w:val="00CD3BFB"/>
    <w:rsid w:val="00CD54ED"/>
    <w:rsid w:val="00CD606F"/>
    <w:rsid w:val="00CD7254"/>
    <w:rsid w:val="00CE15B2"/>
    <w:rsid w:val="00CE209C"/>
    <w:rsid w:val="00CE20CB"/>
    <w:rsid w:val="00CE5A16"/>
    <w:rsid w:val="00CF214D"/>
    <w:rsid w:val="00CF3708"/>
    <w:rsid w:val="00CF6215"/>
    <w:rsid w:val="00CF6570"/>
    <w:rsid w:val="00CF70DC"/>
    <w:rsid w:val="00CF73B3"/>
    <w:rsid w:val="00D02227"/>
    <w:rsid w:val="00D02B1B"/>
    <w:rsid w:val="00D02E4F"/>
    <w:rsid w:val="00D031E6"/>
    <w:rsid w:val="00D03BE8"/>
    <w:rsid w:val="00D07364"/>
    <w:rsid w:val="00D0777E"/>
    <w:rsid w:val="00D07BF6"/>
    <w:rsid w:val="00D07DBD"/>
    <w:rsid w:val="00D10CAC"/>
    <w:rsid w:val="00D11437"/>
    <w:rsid w:val="00D121A6"/>
    <w:rsid w:val="00D12E25"/>
    <w:rsid w:val="00D14079"/>
    <w:rsid w:val="00D1698A"/>
    <w:rsid w:val="00D201BB"/>
    <w:rsid w:val="00D219E5"/>
    <w:rsid w:val="00D23957"/>
    <w:rsid w:val="00D25051"/>
    <w:rsid w:val="00D254ED"/>
    <w:rsid w:val="00D270EE"/>
    <w:rsid w:val="00D272A2"/>
    <w:rsid w:val="00D27DBA"/>
    <w:rsid w:val="00D312C8"/>
    <w:rsid w:val="00D31726"/>
    <w:rsid w:val="00D3220D"/>
    <w:rsid w:val="00D32E3E"/>
    <w:rsid w:val="00D34FA0"/>
    <w:rsid w:val="00D351D8"/>
    <w:rsid w:val="00D35354"/>
    <w:rsid w:val="00D37EED"/>
    <w:rsid w:val="00D40FB4"/>
    <w:rsid w:val="00D4421A"/>
    <w:rsid w:val="00D44923"/>
    <w:rsid w:val="00D4598A"/>
    <w:rsid w:val="00D45C15"/>
    <w:rsid w:val="00D47C6B"/>
    <w:rsid w:val="00D51C73"/>
    <w:rsid w:val="00D51DC2"/>
    <w:rsid w:val="00D51E16"/>
    <w:rsid w:val="00D5365C"/>
    <w:rsid w:val="00D54957"/>
    <w:rsid w:val="00D555E2"/>
    <w:rsid w:val="00D5563F"/>
    <w:rsid w:val="00D56A9B"/>
    <w:rsid w:val="00D56C30"/>
    <w:rsid w:val="00D575C5"/>
    <w:rsid w:val="00D61801"/>
    <w:rsid w:val="00D61C3D"/>
    <w:rsid w:val="00D645F0"/>
    <w:rsid w:val="00D64C0F"/>
    <w:rsid w:val="00D671F3"/>
    <w:rsid w:val="00D67CBA"/>
    <w:rsid w:val="00D67ED1"/>
    <w:rsid w:val="00D70E06"/>
    <w:rsid w:val="00D74C22"/>
    <w:rsid w:val="00D74E6D"/>
    <w:rsid w:val="00D7554D"/>
    <w:rsid w:val="00D76C67"/>
    <w:rsid w:val="00D77134"/>
    <w:rsid w:val="00D80FB2"/>
    <w:rsid w:val="00D810B8"/>
    <w:rsid w:val="00D82EBE"/>
    <w:rsid w:val="00D84325"/>
    <w:rsid w:val="00D8513B"/>
    <w:rsid w:val="00D85919"/>
    <w:rsid w:val="00D93426"/>
    <w:rsid w:val="00D93904"/>
    <w:rsid w:val="00D94F73"/>
    <w:rsid w:val="00D953F2"/>
    <w:rsid w:val="00D9678F"/>
    <w:rsid w:val="00DA2A50"/>
    <w:rsid w:val="00DA48E3"/>
    <w:rsid w:val="00DA4BF9"/>
    <w:rsid w:val="00DA58F2"/>
    <w:rsid w:val="00DA68A8"/>
    <w:rsid w:val="00DA784D"/>
    <w:rsid w:val="00DB0162"/>
    <w:rsid w:val="00DB06FA"/>
    <w:rsid w:val="00DB2573"/>
    <w:rsid w:val="00DB3555"/>
    <w:rsid w:val="00DB3D19"/>
    <w:rsid w:val="00DB5000"/>
    <w:rsid w:val="00DB64BD"/>
    <w:rsid w:val="00DB6ABF"/>
    <w:rsid w:val="00DB7CFD"/>
    <w:rsid w:val="00DB7EEA"/>
    <w:rsid w:val="00DC12F5"/>
    <w:rsid w:val="00DC159E"/>
    <w:rsid w:val="00DC1689"/>
    <w:rsid w:val="00DC22C0"/>
    <w:rsid w:val="00DC2572"/>
    <w:rsid w:val="00DC3A58"/>
    <w:rsid w:val="00DC4B49"/>
    <w:rsid w:val="00DC59FC"/>
    <w:rsid w:val="00DC7D5F"/>
    <w:rsid w:val="00DD0BC8"/>
    <w:rsid w:val="00DD1584"/>
    <w:rsid w:val="00DD1B6F"/>
    <w:rsid w:val="00DD21AB"/>
    <w:rsid w:val="00DD34BC"/>
    <w:rsid w:val="00DD6DFE"/>
    <w:rsid w:val="00DD6E67"/>
    <w:rsid w:val="00DD7F79"/>
    <w:rsid w:val="00DE1906"/>
    <w:rsid w:val="00DE19B1"/>
    <w:rsid w:val="00DE6EEA"/>
    <w:rsid w:val="00DF0AF6"/>
    <w:rsid w:val="00DF1B62"/>
    <w:rsid w:val="00DF3D5C"/>
    <w:rsid w:val="00DF3DE2"/>
    <w:rsid w:val="00DF4306"/>
    <w:rsid w:val="00DF4FF2"/>
    <w:rsid w:val="00E0013D"/>
    <w:rsid w:val="00E02706"/>
    <w:rsid w:val="00E04107"/>
    <w:rsid w:val="00E050DF"/>
    <w:rsid w:val="00E06D1F"/>
    <w:rsid w:val="00E07839"/>
    <w:rsid w:val="00E07E3C"/>
    <w:rsid w:val="00E100B4"/>
    <w:rsid w:val="00E1042D"/>
    <w:rsid w:val="00E1154E"/>
    <w:rsid w:val="00E118E8"/>
    <w:rsid w:val="00E12020"/>
    <w:rsid w:val="00E13145"/>
    <w:rsid w:val="00E13376"/>
    <w:rsid w:val="00E3014E"/>
    <w:rsid w:val="00E303A7"/>
    <w:rsid w:val="00E30B17"/>
    <w:rsid w:val="00E3196B"/>
    <w:rsid w:val="00E32F43"/>
    <w:rsid w:val="00E33519"/>
    <w:rsid w:val="00E33DC4"/>
    <w:rsid w:val="00E33F34"/>
    <w:rsid w:val="00E34ADE"/>
    <w:rsid w:val="00E36B8F"/>
    <w:rsid w:val="00E37C35"/>
    <w:rsid w:val="00E40F7C"/>
    <w:rsid w:val="00E41C77"/>
    <w:rsid w:val="00E41F01"/>
    <w:rsid w:val="00E429F4"/>
    <w:rsid w:val="00E434D9"/>
    <w:rsid w:val="00E44A9D"/>
    <w:rsid w:val="00E44C0F"/>
    <w:rsid w:val="00E4697E"/>
    <w:rsid w:val="00E4715B"/>
    <w:rsid w:val="00E51F99"/>
    <w:rsid w:val="00E51FAE"/>
    <w:rsid w:val="00E530BD"/>
    <w:rsid w:val="00E5314A"/>
    <w:rsid w:val="00E53A6A"/>
    <w:rsid w:val="00E5436F"/>
    <w:rsid w:val="00E54EBF"/>
    <w:rsid w:val="00E54F18"/>
    <w:rsid w:val="00E57AE9"/>
    <w:rsid w:val="00E60794"/>
    <w:rsid w:val="00E624C1"/>
    <w:rsid w:val="00E624CB"/>
    <w:rsid w:val="00E62CFD"/>
    <w:rsid w:val="00E641F3"/>
    <w:rsid w:val="00E65C6D"/>
    <w:rsid w:val="00E65F93"/>
    <w:rsid w:val="00E6642B"/>
    <w:rsid w:val="00E66996"/>
    <w:rsid w:val="00E670AB"/>
    <w:rsid w:val="00E71642"/>
    <w:rsid w:val="00E7192D"/>
    <w:rsid w:val="00E7282C"/>
    <w:rsid w:val="00E72E65"/>
    <w:rsid w:val="00E73C33"/>
    <w:rsid w:val="00E74733"/>
    <w:rsid w:val="00E80C78"/>
    <w:rsid w:val="00E81714"/>
    <w:rsid w:val="00E8326D"/>
    <w:rsid w:val="00E865F6"/>
    <w:rsid w:val="00E86EEF"/>
    <w:rsid w:val="00E877B6"/>
    <w:rsid w:val="00E87846"/>
    <w:rsid w:val="00E878A0"/>
    <w:rsid w:val="00E87B9A"/>
    <w:rsid w:val="00E911E6"/>
    <w:rsid w:val="00E912C5"/>
    <w:rsid w:val="00E93D62"/>
    <w:rsid w:val="00EA1ED7"/>
    <w:rsid w:val="00EA2C44"/>
    <w:rsid w:val="00EA44C5"/>
    <w:rsid w:val="00EA52DA"/>
    <w:rsid w:val="00EA682A"/>
    <w:rsid w:val="00EA6BD2"/>
    <w:rsid w:val="00EB0C51"/>
    <w:rsid w:val="00EB21A8"/>
    <w:rsid w:val="00EB2660"/>
    <w:rsid w:val="00EB4B48"/>
    <w:rsid w:val="00EB5A60"/>
    <w:rsid w:val="00EB5BA9"/>
    <w:rsid w:val="00EC07E1"/>
    <w:rsid w:val="00EC1497"/>
    <w:rsid w:val="00EC2FBD"/>
    <w:rsid w:val="00EC4683"/>
    <w:rsid w:val="00EC59F0"/>
    <w:rsid w:val="00EC6C4A"/>
    <w:rsid w:val="00EC73D7"/>
    <w:rsid w:val="00EC7467"/>
    <w:rsid w:val="00EC7FD8"/>
    <w:rsid w:val="00ED14E1"/>
    <w:rsid w:val="00ED1DF9"/>
    <w:rsid w:val="00ED497B"/>
    <w:rsid w:val="00ED57CD"/>
    <w:rsid w:val="00ED61B9"/>
    <w:rsid w:val="00ED6E2D"/>
    <w:rsid w:val="00ED7A89"/>
    <w:rsid w:val="00EE40F8"/>
    <w:rsid w:val="00EE4419"/>
    <w:rsid w:val="00EE73FD"/>
    <w:rsid w:val="00EE78CF"/>
    <w:rsid w:val="00EE7C86"/>
    <w:rsid w:val="00EF0D30"/>
    <w:rsid w:val="00EF0D7B"/>
    <w:rsid w:val="00EF43E0"/>
    <w:rsid w:val="00EF5252"/>
    <w:rsid w:val="00EF5611"/>
    <w:rsid w:val="00EF664F"/>
    <w:rsid w:val="00EF6ACF"/>
    <w:rsid w:val="00EF78B6"/>
    <w:rsid w:val="00F014B4"/>
    <w:rsid w:val="00F02FB3"/>
    <w:rsid w:val="00F06AF6"/>
    <w:rsid w:val="00F07723"/>
    <w:rsid w:val="00F07E9C"/>
    <w:rsid w:val="00F110C9"/>
    <w:rsid w:val="00F119E7"/>
    <w:rsid w:val="00F12E64"/>
    <w:rsid w:val="00F13FC9"/>
    <w:rsid w:val="00F15C2E"/>
    <w:rsid w:val="00F15C56"/>
    <w:rsid w:val="00F210DC"/>
    <w:rsid w:val="00F21F44"/>
    <w:rsid w:val="00F235DB"/>
    <w:rsid w:val="00F2375D"/>
    <w:rsid w:val="00F23845"/>
    <w:rsid w:val="00F2466E"/>
    <w:rsid w:val="00F2584A"/>
    <w:rsid w:val="00F261EA"/>
    <w:rsid w:val="00F27207"/>
    <w:rsid w:val="00F3133F"/>
    <w:rsid w:val="00F31468"/>
    <w:rsid w:val="00F33191"/>
    <w:rsid w:val="00F40ECB"/>
    <w:rsid w:val="00F40EF8"/>
    <w:rsid w:val="00F4347F"/>
    <w:rsid w:val="00F4353E"/>
    <w:rsid w:val="00F4365E"/>
    <w:rsid w:val="00F4550D"/>
    <w:rsid w:val="00F45814"/>
    <w:rsid w:val="00F46254"/>
    <w:rsid w:val="00F479B8"/>
    <w:rsid w:val="00F501AB"/>
    <w:rsid w:val="00F52567"/>
    <w:rsid w:val="00F5418E"/>
    <w:rsid w:val="00F563E2"/>
    <w:rsid w:val="00F60E6A"/>
    <w:rsid w:val="00F612B6"/>
    <w:rsid w:val="00F61915"/>
    <w:rsid w:val="00F625D5"/>
    <w:rsid w:val="00F62AD2"/>
    <w:rsid w:val="00F66254"/>
    <w:rsid w:val="00F66533"/>
    <w:rsid w:val="00F66FA3"/>
    <w:rsid w:val="00F7291E"/>
    <w:rsid w:val="00F741E9"/>
    <w:rsid w:val="00F74A06"/>
    <w:rsid w:val="00F80FDE"/>
    <w:rsid w:val="00F81F7B"/>
    <w:rsid w:val="00F840E7"/>
    <w:rsid w:val="00F858CC"/>
    <w:rsid w:val="00F8634C"/>
    <w:rsid w:val="00F91AC4"/>
    <w:rsid w:val="00F92973"/>
    <w:rsid w:val="00F92F03"/>
    <w:rsid w:val="00F92FDB"/>
    <w:rsid w:val="00F945E7"/>
    <w:rsid w:val="00F948FA"/>
    <w:rsid w:val="00FA1130"/>
    <w:rsid w:val="00FA152E"/>
    <w:rsid w:val="00FA3392"/>
    <w:rsid w:val="00FA4BC4"/>
    <w:rsid w:val="00FA7EC4"/>
    <w:rsid w:val="00FB0AB5"/>
    <w:rsid w:val="00FB1A1E"/>
    <w:rsid w:val="00FB1CA3"/>
    <w:rsid w:val="00FB2D65"/>
    <w:rsid w:val="00FB793E"/>
    <w:rsid w:val="00FB7C4F"/>
    <w:rsid w:val="00FC10BC"/>
    <w:rsid w:val="00FC463A"/>
    <w:rsid w:val="00FC4A6C"/>
    <w:rsid w:val="00FC4D4D"/>
    <w:rsid w:val="00FC6415"/>
    <w:rsid w:val="00FD0038"/>
    <w:rsid w:val="00FD20E1"/>
    <w:rsid w:val="00FD3976"/>
    <w:rsid w:val="00FD423F"/>
    <w:rsid w:val="00FD6B99"/>
    <w:rsid w:val="00FD6C6D"/>
    <w:rsid w:val="00FE0513"/>
    <w:rsid w:val="00FE1312"/>
    <w:rsid w:val="00FE132F"/>
    <w:rsid w:val="00FE34DC"/>
    <w:rsid w:val="00FE48ED"/>
    <w:rsid w:val="00FE4E0E"/>
    <w:rsid w:val="00FF0ADA"/>
    <w:rsid w:val="00FF0ED6"/>
    <w:rsid w:val="00FF3CBD"/>
    <w:rsid w:val="00FF6D27"/>
    <w:rsid w:val="00FF7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6BAFF"/>
  <w15:docId w15:val="{95791FA1-DE4C-4DE4-B5BA-A97DD135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B80"/>
    <w:rPr>
      <w:rFonts w:ascii="Arial" w:hAnsi="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2292"/>
    <w:pPr>
      <w:tabs>
        <w:tab w:val="center" w:pos="4252"/>
        <w:tab w:val="right" w:pos="8504"/>
      </w:tabs>
    </w:pPr>
  </w:style>
  <w:style w:type="paragraph" w:styleId="Piedepgina">
    <w:name w:val="footer"/>
    <w:basedOn w:val="Normal"/>
    <w:link w:val="PiedepginaCar"/>
    <w:rsid w:val="00C72292"/>
    <w:pPr>
      <w:tabs>
        <w:tab w:val="center" w:pos="4252"/>
        <w:tab w:val="right" w:pos="8504"/>
      </w:tabs>
    </w:pPr>
  </w:style>
  <w:style w:type="paragraph" w:styleId="Ttulo">
    <w:name w:val="Title"/>
    <w:basedOn w:val="Normal"/>
    <w:qFormat/>
    <w:rsid w:val="00C72292"/>
    <w:pPr>
      <w:jc w:val="center"/>
    </w:pPr>
    <w:rPr>
      <w:b/>
      <w:szCs w:val="20"/>
      <w:lang w:val="es-ES_tradnl"/>
    </w:rPr>
  </w:style>
  <w:style w:type="character" w:styleId="Nmerodepgina">
    <w:name w:val="page number"/>
    <w:basedOn w:val="Fuentedeprrafopredeter"/>
    <w:rsid w:val="00E8326D"/>
  </w:style>
  <w:style w:type="table" w:styleId="Tablaconcuadrcula">
    <w:name w:val="Table Grid"/>
    <w:basedOn w:val="Tablanormal"/>
    <w:rsid w:val="000C0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042014"/>
    <w:pPr>
      <w:shd w:val="clear" w:color="auto" w:fill="000080"/>
    </w:pPr>
    <w:rPr>
      <w:rFonts w:ascii="Tahoma" w:hAnsi="Tahoma" w:cs="Tahoma"/>
      <w:sz w:val="20"/>
      <w:szCs w:val="20"/>
    </w:rPr>
  </w:style>
  <w:style w:type="paragraph" w:styleId="Textoindependiente">
    <w:name w:val="Body Text"/>
    <w:basedOn w:val="Normal"/>
    <w:rsid w:val="009047E5"/>
    <w:pPr>
      <w:jc w:val="both"/>
    </w:pPr>
    <w:rPr>
      <w:lang w:eastAsia="en-US"/>
    </w:rPr>
  </w:style>
  <w:style w:type="character" w:customStyle="1" w:styleId="EncabezadoCar">
    <w:name w:val="Encabezado Car"/>
    <w:basedOn w:val="Fuentedeprrafopredeter"/>
    <w:link w:val="Encabezado"/>
    <w:uiPriority w:val="99"/>
    <w:rsid w:val="00AA23CF"/>
    <w:rPr>
      <w:rFonts w:ascii="Arial" w:hAnsi="Arial"/>
      <w:sz w:val="24"/>
      <w:szCs w:val="24"/>
      <w:lang w:eastAsia="es-ES"/>
    </w:rPr>
  </w:style>
  <w:style w:type="character" w:customStyle="1" w:styleId="PiedepginaCar">
    <w:name w:val="Pie de página Car"/>
    <w:basedOn w:val="Fuentedeprrafopredeter"/>
    <w:link w:val="Piedepgina"/>
    <w:rsid w:val="000911AF"/>
    <w:rPr>
      <w:rFonts w:ascii="Arial" w:hAnsi="Arial"/>
      <w:sz w:val="24"/>
      <w:szCs w:val="24"/>
      <w:lang w:val="es-CO"/>
    </w:rPr>
  </w:style>
  <w:style w:type="paragraph" w:styleId="Textodeglobo">
    <w:name w:val="Balloon Text"/>
    <w:basedOn w:val="Normal"/>
    <w:link w:val="TextodegloboCar"/>
    <w:rsid w:val="00DA2A50"/>
    <w:rPr>
      <w:rFonts w:ascii="Tahoma" w:hAnsi="Tahoma" w:cs="Tahoma"/>
      <w:sz w:val="16"/>
      <w:szCs w:val="16"/>
    </w:rPr>
  </w:style>
  <w:style w:type="character" w:customStyle="1" w:styleId="TextodegloboCar">
    <w:name w:val="Texto de globo Car"/>
    <w:basedOn w:val="Fuentedeprrafopredeter"/>
    <w:link w:val="Textodeglobo"/>
    <w:rsid w:val="00DA2A50"/>
    <w:rPr>
      <w:rFonts w:ascii="Tahoma" w:hAnsi="Tahoma" w:cs="Tahoma"/>
      <w:sz w:val="16"/>
      <w:szCs w:val="16"/>
      <w:lang w:eastAsia="es-ES"/>
    </w:rPr>
  </w:style>
  <w:style w:type="table" w:styleId="Tablabsica1">
    <w:name w:val="Table Simple 1"/>
    <w:basedOn w:val="Tablanormal"/>
    <w:rsid w:val="00253B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1">
    <w:name w:val="Table Classic 1"/>
    <w:basedOn w:val="Tablanormal"/>
    <w:rsid w:val="00253B3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253B3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253B3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uadrculamedia2">
    <w:name w:val="Medium Grid 2"/>
    <w:basedOn w:val="Tablanormal"/>
    <w:uiPriority w:val="68"/>
    <w:rsid w:val="00253B3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nfasis5">
    <w:name w:val="Medium Grid 1 Accent 5"/>
    <w:basedOn w:val="Tablanormal"/>
    <w:uiPriority w:val="67"/>
    <w:rsid w:val="00253B3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aweb3">
    <w:name w:val="Table Web 3"/>
    <w:basedOn w:val="Tablanormal"/>
    <w:rsid w:val="00253B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clara">
    <w:name w:val="Light Grid"/>
    <w:basedOn w:val="Tablanormal"/>
    <w:uiPriority w:val="62"/>
    <w:rsid w:val="00253B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aliases w:val="Bullets,Normal. Viñetas,Bullet Number,List Paragraph1,lp1,lp11,List Paragraph11,Bullet 1,Use Case List Paragraph,Num Bullet 1,Bullet List,FooterText,titulo 3,Liste 1,References,Bolita,BOLA,BOLADEF,Antes de enumeración,Párrafo de lista2"/>
    <w:basedOn w:val="Normal"/>
    <w:link w:val="PrrafodelistaCar"/>
    <w:uiPriority w:val="34"/>
    <w:qFormat/>
    <w:rsid w:val="00253B3F"/>
    <w:pPr>
      <w:ind w:left="720"/>
      <w:contextualSpacing/>
    </w:pPr>
  </w:style>
  <w:style w:type="character" w:customStyle="1" w:styleId="PrrafodelistaCar">
    <w:name w:val="Párrafo de lista Car"/>
    <w:aliases w:val="Bullets Car,Normal. Viñetas Car,Bullet Number Car,List Paragraph1 Car,lp1 Car,lp11 Car,List Paragraph11 Car,Bullet 1 Car,Use Case List Paragraph Car,Num Bullet 1 Car,Bullet List Car,FooterText Car,titulo 3 Car,Liste 1 Car,Bolita Car"/>
    <w:link w:val="Prrafodelista"/>
    <w:uiPriority w:val="34"/>
    <w:rsid w:val="00E865F6"/>
    <w:rPr>
      <w:rFonts w:ascii="Arial" w:hAnsi="Arial"/>
      <w:sz w:val="24"/>
      <w:szCs w:val="24"/>
      <w:lang w:eastAsia="es-ES"/>
    </w:rPr>
  </w:style>
  <w:style w:type="paragraph" w:styleId="Descripcin">
    <w:name w:val="caption"/>
    <w:basedOn w:val="Normal"/>
    <w:next w:val="Normal"/>
    <w:unhideWhenUsed/>
    <w:qFormat/>
    <w:rsid w:val="005F5765"/>
    <w:pPr>
      <w:spacing w:after="200"/>
    </w:pPr>
    <w:rPr>
      <w:i/>
      <w:iCs/>
      <w:color w:val="1F497D" w:themeColor="text2"/>
      <w:sz w:val="18"/>
      <w:szCs w:val="18"/>
    </w:rPr>
  </w:style>
  <w:style w:type="character" w:styleId="Hipervnculo">
    <w:name w:val="Hyperlink"/>
    <w:basedOn w:val="Fuentedeprrafopredeter"/>
    <w:uiPriority w:val="99"/>
    <w:semiHidden/>
    <w:unhideWhenUsed/>
    <w:rsid w:val="00001CCB"/>
    <w:rPr>
      <w:color w:val="0563C1"/>
      <w:u w:val="single"/>
    </w:rPr>
  </w:style>
  <w:style w:type="character" w:styleId="Hipervnculovisitado">
    <w:name w:val="FollowedHyperlink"/>
    <w:basedOn w:val="Fuentedeprrafopredeter"/>
    <w:uiPriority w:val="99"/>
    <w:semiHidden/>
    <w:unhideWhenUsed/>
    <w:rsid w:val="00001CCB"/>
    <w:rPr>
      <w:color w:val="954F72"/>
      <w:u w:val="single"/>
    </w:rPr>
  </w:style>
  <w:style w:type="paragraph" w:customStyle="1" w:styleId="msonormal0">
    <w:name w:val="msonormal"/>
    <w:basedOn w:val="Normal"/>
    <w:rsid w:val="00001CCB"/>
    <w:pPr>
      <w:spacing w:before="100" w:beforeAutospacing="1" w:after="100" w:afterAutospacing="1"/>
    </w:pPr>
    <w:rPr>
      <w:rFonts w:ascii="Times New Roman" w:hAnsi="Times New Roman"/>
      <w:lang w:eastAsia="es-CO"/>
    </w:rPr>
  </w:style>
  <w:style w:type="paragraph" w:customStyle="1" w:styleId="xl63">
    <w:name w:val="xl63"/>
    <w:basedOn w:val="Normal"/>
    <w:rsid w:val="00001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0"/>
      <w:szCs w:val="20"/>
      <w:lang w:eastAsia="es-CO"/>
    </w:rPr>
  </w:style>
  <w:style w:type="paragraph" w:customStyle="1" w:styleId="xl64">
    <w:name w:val="xl64"/>
    <w:basedOn w:val="Normal"/>
    <w:rsid w:val="00001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0"/>
      <w:szCs w:val="20"/>
      <w:lang w:eastAsia="es-CO"/>
    </w:rPr>
  </w:style>
  <w:style w:type="paragraph" w:customStyle="1" w:styleId="xl65">
    <w:name w:val="xl65"/>
    <w:basedOn w:val="Normal"/>
    <w:rsid w:val="00001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66">
    <w:name w:val="xl66"/>
    <w:basedOn w:val="Normal"/>
    <w:rsid w:val="00001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67">
    <w:name w:val="xl67"/>
    <w:basedOn w:val="Normal"/>
    <w:rsid w:val="00001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68">
    <w:name w:val="xl68"/>
    <w:basedOn w:val="Normal"/>
    <w:rsid w:val="00001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69">
    <w:name w:val="xl69"/>
    <w:basedOn w:val="Normal"/>
    <w:rsid w:val="00001CCB"/>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70">
    <w:name w:val="xl70"/>
    <w:basedOn w:val="Normal"/>
    <w:rsid w:val="00001CCB"/>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71">
    <w:name w:val="xl71"/>
    <w:basedOn w:val="Normal"/>
    <w:rsid w:val="00001CCB"/>
    <w:pPr>
      <w:spacing w:before="100" w:beforeAutospacing="1" w:after="100" w:afterAutospacing="1"/>
      <w:jc w:val="center"/>
      <w:textAlignment w:val="center"/>
    </w:pPr>
    <w:rPr>
      <w:rFonts w:cs="Arial"/>
      <w:sz w:val="20"/>
      <w:szCs w:val="20"/>
      <w:lang w:eastAsia="es-CO"/>
    </w:rPr>
  </w:style>
  <w:style w:type="paragraph" w:customStyle="1" w:styleId="xl72">
    <w:name w:val="xl72"/>
    <w:basedOn w:val="Normal"/>
    <w:rsid w:val="00001CCB"/>
    <w:pPr>
      <w:spacing w:before="100" w:beforeAutospacing="1" w:after="100" w:afterAutospacing="1"/>
      <w:jc w:val="center"/>
      <w:textAlignment w:val="center"/>
    </w:pPr>
    <w:rPr>
      <w:rFonts w:cs="Arial"/>
      <w:i/>
      <w:iCs/>
      <w:sz w:val="20"/>
      <w:szCs w:val="20"/>
      <w:lang w:eastAsia="es-CO"/>
    </w:rPr>
  </w:style>
  <w:style w:type="paragraph" w:customStyle="1" w:styleId="xl73">
    <w:name w:val="xl73"/>
    <w:basedOn w:val="Normal"/>
    <w:rsid w:val="00001CCB"/>
    <w:pPr>
      <w:pBdr>
        <w:left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74">
    <w:name w:val="xl74"/>
    <w:basedOn w:val="Normal"/>
    <w:rsid w:val="00001CCB"/>
    <w:pPr>
      <w:pBdr>
        <w:left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75">
    <w:name w:val="xl75"/>
    <w:basedOn w:val="Normal"/>
    <w:rsid w:val="00001CCB"/>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lang w:eastAsia="es-CO"/>
    </w:rPr>
  </w:style>
  <w:style w:type="paragraph" w:customStyle="1" w:styleId="xl76">
    <w:name w:val="xl76"/>
    <w:basedOn w:val="Normal"/>
    <w:rsid w:val="00001CCB"/>
    <w:pPr>
      <w:spacing w:before="100" w:beforeAutospacing="1" w:after="100" w:afterAutospacing="1"/>
      <w:jc w:val="center"/>
      <w:textAlignment w:val="center"/>
    </w:pPr>
    <w:rPr>
      <w:rFonts w:cs="Arial"/>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6395">
      <w:bodyDiv w:val="1"/>
      <w:marLeft w:val="0"/>
      <w:marRight w:val="0"/>
      <w:marTop w:val="0"/>
      <w:marBottom w:val="0"/>
      <w:divBdr>
        <w:top w:val="none" w:sz="0" w:space="0" w:color="auto"/>
        <w:left w:val="none" w:sz="0" w:space="0" w:color="auto"/>
        <w:bottom w:val="none" w:sz="0" w:space="0" w:color="auto"/>
        <w:right w:val="none" w:sz="0" w:space="0" w:color="auto"/>
      </w:divBdr>
    </w:div>
    <w:div w:id="65877900">
      <w:bodyDiv w:val="1"/>
      <w:marLeft w:val="0"/>
      <w:marRight w:val="0"/>
      <w:marTop w:val="0"/>
      <w:marBottom w:val="0"/>
      <w:divBdr>
        <w:top w:val="none" w:sz="0" w:space="0" w:color="auto"/>
        <w:left w:val="none" w:sz="0" w:space="0" w:color="auto"/>
        <w:bottom w:val="none" w:sz="0" w:space="0" w:color="auto"/>
        <w:right w:val="none" w:sz="0" w:space="0" w:color="auto"/>
      </w:divBdr>
    </w:div>
    <w:div w:id="131601859">
      <w:bodyDiv w:val="1"/>
      <w:marLeft w:val="0"/>
      <w:marRight w:val="0"/>
      <w:marTop w:val="0"/>
      <w:marBottom w:val="0"/>
      <w:divBdr>
        <w:top w:val="none" w:sz="0" w:space="0" w:color="auto"/>
        <w:left w:val="none" w:sz="0" w:space="0" w:color="auto"/>
        <w:bottom w:val="none" w:sz="0" w:space="0" w:color="auto"/>
        <w:right w:val="none" w:sz="0" w:space="0" w:color="auto"/>
      </w:divBdr>
    </w:div>
    <w:div w:id="143400399">
      <w:bodyDiv w:val="1"/>
      <w:marLeft w:val="0"/>
      <w:marRight w:val="0"/>
      <w:marTop w:val="0"/>
      <w:marBottom w:val="0"/>
      <w:divBdr>
        <w:top w:val="none" w:sz="0" w:space="0" w:color="auto"/>
        <w:left w:val="none" w:sz="0" w:space="0" w:color="auto"/>
        <w:bottom w:val="none" w:sz="0" w:space="0" w:color="auto"/>
        <w:right w:val="none" w:sz="0" w:space="0" w:color="auto"/>
      </w:divBdr>
    </w:div>
    <w:div w:id="219094318">
      <w:bodyDiv w:val="1"/>
      <w:marLeft w:val="0"/>
      <w:marRight w:val="0"/>
      <w:marTop w:val="0"/>
      <w:marBottom w:val="0"/>
      <w:divBdr>
        <w:top w:val="none" w:sz="0" w:space="0" w:color="auto"/>
        <w:left w:val="none" w:sz="0" w:space="0" w:color="auto"/>
        <w:bottom w:val="none" w:sz="0" w:space="0" w:color="auto"/>
        <w:right w:val="none" w:sz="0" w:space="0" w:color="auto"/>
      </w:divBdr>
    </w:div>
    <w:div w:id="267279923">
      <w:bodyDiv w:val="1"/>
      <w:marLeft w:val="0"/>
      <w:marRight w:val="0"/>
      <w:marTop w:val="0"/>
      <w:marBottom w:val="0"/>
      <w:divBdr>
        <w:top w:val="none" w:sz="0" w:space="0" w:color="auto"/>
        <w:left w:val="none" w:sz="0" w:space="0" w:color="auto"/>
        <w:bottom w:val="none" w:sz="0" w:space="0" w:color="auto"/>
        <w:right w:val="none" w:sz="0" w:space="0" w:color="auto"/>
      </w:divBdr>
    </w:div>
    <w:div w:id="304749340">
      <w:bodyDiv w:val="1"/>
      <w:marLeft w:val="0"/>
      <w:marRight w:val="0"/>
      <w:marTop w:val="0"/>
      <w:marBottom w:val="0"/>
      <w:divBdr>
        <w:top w:val="none" w:sz="0" w:space="0" w:color="auto"/>
        <w:left w:val="none" w:sz="0" w:space="0" w:color="auto"/>
        <w:bottom w:val="none" w:sz="0" w:space="0" w:color="auto"/>
        <w:right w:val="none" w:sz="0" w:space="0" w:color="auto"/>
      </w:divBdr>
    </w:div>
    <w:div w:id="340469383">
      <w:bodyDiv w:val="1"/>
      <w:marLeft w:val="0"/>
      <w:marRight w:val="0"/>
      <w:marTop w:val="0"/>
      <w:marBottom w:val="0"/>
      <w:divBdr>
        <w:top w:val="none" w:sz="0" w:space="0" w:color="auto"/>
        <w:left w:val="none" w:sz="0" w:space="0" w:color="auto"/>
        <w:bottom w:val="none" w:sz="0" w:space="0" w:color="auto"/>
        <w:right w:val="none" w:sz="0" w:space="0" w:color="auto"/>
      </w:divBdr>
    </w:div>
    <w:div w:id="473565665">
      <w:bodyDiv w:val="1"/>
      <w:marLeft w:val="0"/>
      <w:marRight w:val="0"/>
      <w:marTop w:val="0"/>
      <w:marBottom w:val="0"/>
      <w:divBdr>
        <w:top w:val="none" w:sz="0" w:space="0" w:color="auto"/>
        <w:left w:val="none" w:sz="0" w:space="0" w:color="auto"/>
        <w:bottom w:val="none" w:sz="0" w:space="0" w:color="auto"/>
        <w:right w:val="none" w:sz="0" w:space="0" w:color="auto"/>
      </w:divBdr>
    </w:div>
    <w:div w:id="506986784">
      <w:bodyDiv w:val="1"/>
      <w:marLeft w:val="0"/>
      <w:marRight w:val="0"/>
      <w:marTop w:val="0"/>
      <w:marBottom w:val="0"/>
      <w:divBdr>
        <w:top w:val="none" w:sz="0" w:space="0" w:color="auto"/>
        <w:left w:val="none" w:sz="0" w:space="0" w:color="auto"/>
        <w:bottom w:val="none" w:sz="0" w:space="0" w:color="auto"/>
        <w:right w:val="none" w:sz="0" w:space="0" w:color="auto"/>
      </w:divBdr>
    </w:div>
    <w:div w:id="551386280">
      <w:bodyDiv w:val="1"/>
      <w:marLeft w:val="0"/>
      <w:marRight w:val="0"/>
      <w:marTop w:val="0"/>
      <w:marBottom w:val="0"/>
      <w:divBdr>
        <w:top w:val="none" w:sz="0" w:space="0" w:color="auto"/>
        <w:left w:val="none" w:sz="0" w:space="0" w:color="auto"/>
        <w:bottom w:val="none" w:sz="0" w:space="0" w:color="auto"/>
        <w:right w:val="none" w:sz="0" w:space="0" w:color="auto"/>
      </w:divBdr>
    </w:div>
    <w:div w:id="583606687">
      <w:bodyDiv w:val="1"/>
      <w:marLeft w:val="0"/>
      <w:marRight w:val="0"/>
      <w:marTop w:val="0"/>
      <w:marBottom w:val="0"/>
      <w:divBdr>
        <w:top w:val="none" w:sz="0" w:space="0" w:color="auto"/>
        <w:left w:val="none" w:sz="0" w:space="0" w:color="auto"/>
        <w:bottom w:val="none" w:sz="0" w:space="0" w:color="auto"/>
        <w:right w:val="none" w:sz="0" w:space="0" w:color="auto"/>
      </w:divBdr>
    </w:div>
    <w:div w:id="590049517">
      <w:bodyDiv w:val="1"/>
      <w:marLeft w:val="0"/>
      <w:marRight w:val="0"/>
      <w:marTop w:val="0"/>
      <w:marBottom w:val="0"/>
      <w:divBdr>
        <w:top w:val="none" w:sz="0" w:space="0" w:color="auto"/>
        <w:left w:val="none" w:sz="0" w:space="0" w:color="auto"/>
        <w:bottom w:val="none" w:sz="0" w:space="0" w:color="auto"/>
        <w:right w:val="none" w:sz="0" w:space="0" w:color="auto"/>
      </w:divBdr>
    </w:div>
    <w:div w:id="728922926">
      <w:bodyDiv w:val="1"/>
      <w:marLeft w:val="0"/>
      <w:marRight w:val="0"/>
      <w:marTop w:val="0"/>
      <w:marBottom w:val="0"/>
      <w:divBdr>
        <w:top w:val="none" w:sz="0" w:space="0" w:color="auto"/>
        <w:left w:val="none" w:sz="0" w:space="0" w:color="auto"/>
        <w:bottom w:val="none" w:sz="0" w:space="0" w:color="auto"/>
        <w:right w:val="none" w:sz="0" w:space="0" w:color="auto"/>
      </w:divBdr>
    </w:div>
    <w:div w:id="952787411">
      <w:bodyDiv w:val="1"/>
      <w:marLeft w:val="0"/>
      <w:marRight w:val="0"/>
      <w:marTop w:val="0"/>
      <w:marBottom w:val="0"/>
      <w:divBdr>
        <w:top w:val="none" w:sz="0" w:space="0" w:color="auto"/>
        <w:left w:val="none" w:sz="0" w:space="0" w:color="auto"/>
        <w:bottom w:val="none" w:sz="0" w:space="0" w:color="auto"/>
        <w:right w:val="none" w:sz="0" w:space="0" w:color="auto"/>
      </w:divBdr>
    </w:div>
    <w:div w:id="1005399845">
      <w:bodyDiv w:val="1"/>
      <w:marLeft w:val="0"/>
      <w:marRight w:val="0"/>
      <w:marTop w:val="0"/>
      <w:marBottom w:val="0"/>
      <w:divBdr>
        <w:top w:val="none" w:sz="0" w:space="0" w:color="auto"/>
        <w:left w:val="none" w:sz="0" w:space="0" w:color="auto"/>
        <w:bottom w:val="none" w:sz="0" w:space="0" w:color="auto"/>
        <w:right w:val="none" w:sz="0" w:space="0" w:color="auto"/>
      </w:divBdr>
    </w:div>
    <w:div w:id="1015152981">
      <w:bodyDiv w:val="1"/>
      <w:marLeft w:val="0"/>
      <w:marRight w:val="0"/>
      <w:marTop w:val="0"/>
      <w:marBottom w:val="0"/>
      <w:divBdr>
        <w:top w:val="none" w:sz="0" w:space="0" w:color="auto"/>
        <w:left w:val="none" w:sz="0" w:space="0" w:color="auto"/>
        <w:bottom w:val="none" w:sz="0" w:space="0" w:color="auto"/>
        <w:right w:val="none" w:sz="0" w:space="0" w:color="auto"/>
      </w:divBdr>
    </w:div>
    <w:div w:id="1051271945">
      <w:bodyDiv w:val="1"/>
      <w:marLeft w:val="0"/>
      <w:marRight w:val="0"/>
      <w:marTop w:val="0"/>
      <w:marBottom w:val="0"/>
      <w:divBdr>
        <w:top w:val="none" w:sz="0" w:space="0" w:color="auto"/>
        <w:left w:val="none" w:sz="0" w:space="0" w:color="auto"/>
        <w:bottom w:val="none" w:sz="0" w:space="0" w:color="auto"/>
        <w:right w:val="none" w:sz="0" w:space="0" w:color="auto"/>
      </w:divBdr>
    </w:div>
    <w:div w:id="1072043997">
      <w:bodyDiv w:val="1"/>
      <w:marLeft w:val="0"/>
      <w:marRight w:val="0"/>
      <w:marTop w:val="0"/>
      <w:marBottom w:val="0"/>
      <w:divBdr>
        <w:top w:val="none" w:sz="0" w:space="0" w:color="auto"/>
        <w:left w:val="none" w:sz="0" w:space="0" w:color="auto"/>
        <w:bottom w:val="none" w:sz="0" w:space="0" w:color="auto"/>
        <w:right w:val="none" w:sz="0" w:space="0" w:color="auto"/>
      </w:divBdr>
    </w:div>
    <w:div w:id="1092699121">
      <w:bodyDiv w:val="1"/>
      <w:marLeft w:val="0"/>
      <w:marRight w:val="0"/>
      <w:marTop w:val="0"/>
      <w:marBottom w:val="0"/>
      <w:divBdr>
        <w:top w:val="none" w:sz="0" w:space="0" w:color="auto"/>
        <w:left w:val="none" w:sz="0" w:space="0" w:color="auto"/>
        <w:bottom w:val="none" w:sz="0" w:space="0" w:color="auto"/>
        <w:right w:val="none" w:sz="0" w:space="0" w:color="auto"/>
      </w:divBdr>
    </w:div>
    <w:div w:id="1143621571">
      <w:bodyDiv w:val="1"/>
      <w:marLeft w:val="0"/>
      <w:marRight w:val="0"/>
      <w:marTop w:val="0"/>
      <w:marBottom w:val="0"/>
      <w:divBdr>
        <w:top w:val="none" w:sz="0" w:space="0" w:color="auto"/>
        <w:left w:val="none" w:sz="0" w:space="0" w:color="auto"/>
        <w:bottom w:val="none" w:sz="0" w:space="0" w:color="auto"/>
        <w:right w:val="none" w:sz="0" w:space="0" w:color="auto"/>
      </w:divBdr>
    </w:div>
    <w:div w:id="1186745640">
      <w:bodyDiv w:val="1"/>
      <w:marLeft w:val="0"/>
      <w:marRight w:val="0"/>
      <w:marTop w:val="0"/>
      <w:marBottom w:val="0"/>
      <w:divBdr>
        <w:top w:val="none" w:sz="0" w:space="0" w:color="auto"/>
        <w:left w:val="none" w:sz="0" w:space="0" w:color="auto"/>
        <w:bottom w:val="none" w:sz="0" w:space="0" w:color="auto"/>
        <w:right w:val="none" w:sz="0" w:space="0" w:color="auto"/>
      </w:divBdr>
    </w:div>
    <w:div w:id="1220436505">
      <w:bodyDiv w:val="1"/>
      <w:marLeft w:val="0"/>
      <w:marRight w:val="0"/>
      <w:marTop w:val="0"/>
      <w:marBottom w:val="0"/>
      <w:divBdr>
        <w:top w:val="none" w:sz="0" w:space="0" w:color="auto"/>
        <w:left w:val="none" w:sz="0" w:space="0" w:color="auto"/>
        <w:bottom w:val="none" w:sz="0" w:space="0" w:color="auto"/>
        <w:right w:val="none" w:sz="0" w:space="0" w:color="auto"/>
      </w:divBdr>
    </w:div>
    <w:div w:id="1250623599">
      <w:bodyDiv w:val="1"/>
      <w:marLeft w:val="0"/>
      <w:marRight w:val="0"/>
      <w:marTop w:val="0"/>
      <w:marBottom w:val="0"/>
      <w:divBdr>
        <w:top w:val="none" w:sz="0" w:space="0" w:color="auto"/>
        <w:left w:val="none" w:sz="0" w:space="0" w:color="auto"/>
        <w:bottom w:val="none" w:sz="0" w:space="0" w:color="auto"/>
        <w:right w:val="none" w:sz="0" w:space="0" w:color="auto"/>
      </w:divBdr>
    </w:div>
    <w:div w:id="1291521277">
      <w:bodyDiv w:val="1"/>
      <w:marLeft w:val="0"/>
      <w:marRight w:val="0"/>
      <w:marTop w:val="0"/>
      <w:marBottom w:val="0"/>
      <w:divBdr>
        <w:top w:val="none" w:sz="0" w:space="0" w:color="auto"/>
        <w:left w:val="none" w:sz="0" w:space="0" w:color="auto"/>
        <w:bottom w:val="none" w:sz="0" w:space="0" w:color="auto"/>
        <w:right w:val="none" w:sz="0" w:space="0" w:color="auto"/>
      </w:divBdr>
    </w:div>
    <w:div w:id="1325626823">
      <w:bodyDiv w:val="1"/>
      <w:marLeft w:val="0"/>
      <w:marRight w:val="0"/>
      <w:marTop w:val="0"/>
      <w:marBottom w:val="0"/>
      <w:divBdr>
        <w:top w:val="none" w:sz="0" w:space="0" w:color="auto"/>
        <w:left w:val="none" w:sz="0" w:space="0" w:color="auto"/>
        <w:bottom w:val="none" w:sz="0" w:space="0" w:color="auto"/>
        <w:right w:val="none" w:sz="0" w:space="0" w:color="auto"/>
      </w:divBdr>
    </w:div>
    <w:div w:id="1410418161">
      <w:bodyDiv w:val="1"/>
      <w:marLeft w:val="0"/>
      <w:marRight w:val="0"/>
      <w:marTop w:val="0"/>
      <w:marBottom w:val="0"/>
      <w:divBdr>
        <w:top w:val="none" w:sz="0" w:space="0" w:color="auto"/>
        <w:left w:val="none" w:sz="0" w:space="0" w:color="auto"/>
        <w:bottom w:val="none" w:sz="0" w:space="0" w:color="auto"/>
        <w:right w:val="none" w:sz="0" w:space="0" w:color="auto"/>
      </w:divBdr>
    </w:div>
    <w:div w:id="1410613585">
      <w:bodyDiv w:val="1"/>
      <w:marLeft w:val="0"/>
      <w:marRight w:val="0"/>
      <w:marTop w:val="0"/>
      <w:marBottom w:val="0"/>
      <w:divBdr>
        <w:top w:val="none" w:sz="0" w:space="0" w:color="auto"/>
        <w:left w:val="none" w:sz="0" w:space="0" w:color="auto"/>
        <w:bottom w:val="none" w:sz="0" w:space="0" w:color="auto"/>
        <w:right w:val="none" w:sz="0" w:space="0" w:color="auto"/>
      </w:divBdr>
    </w:div>
    <w:div w:id="1422604430">
      <w:bodyDiv w:val="1"/>
      <w:marLeft w:val="0"/>
      <w:marRight w:val="0"/>
      <w:marTop w:val="0"/>
      <w:marBottom w:val="0"/>
      <w:divBdr>
        <w:top w:val="none" w:sz="0" w:space="0" w:color="auto"/>
        <w:left w:val="none" w:sz="0" w:space="0" w:color="auto"/>
        <w:bottom w:val="none" w:sz="0" w:space="0" w:color="auto"/>
        <w:right w:val="none" w:sz="0" w:space="0" w:color="auto"/>
      </w:divBdr>
    </w:div>
    <w:div w:id="1484274671">
      <w:bodyDiv w:val="1"/>
      <w:marLeft w:val="0"/>
      <w:marRight w:val="0"/>
      <w:marTop w:val="0"/>
      <w:marBottom w:val="0"/>
      <w:divBdr>
        <w:top w:val="none" w:sz="0" w:space="0" w:color="auto"/>
        <w:left w:val="none" w:sz="0" w:space="0" w:color="auto"/>
        <w:bottom w:val="none" w:sz="0" w:space="0" w:color="auto"/>
        <w:right w:val="none" w:sz="0" w:space="0" w:color="auto"/>
      </w:divBdr>
    </w:div>
    <w:div w:id="1503860941">
      <w:bodyDiv w:val="1"/>
      <w:marLeft w:val="0"/>
      <w:marRight w:val="0"/>
      <w:marTop w:val="0"/>
      <w:marBottom w:val="0"/>
      <w:divBdr>
        <w:top w:val="none" w:sz="0" w:space="0" w:color="auto"/>
        <w:left w:val="none" w:sz="0" w:space="0" w:color="auto"/>
        <w:bottom w:val="none" w:sz="0" w:space="0" w:color="auto"/>
        <w:right w:val="none" w:sz="0" w:space="0" w:color="auto"/>
      </w:divBdr>
    </w:div>
    <w:div w:id="1565331405">
      <w:bodyDiv w:val="1"/>
      <w:marLeft w:val="0"/>
      <w:marRight w:val="0"/>
      <w:marTop w:val="0"/>
      <w:marBottom w:val="0"/>
      <w:divBdr>
        <w:top w:val="none" w:sz="0" w:space="0" w:color="auto"/>
        <w:left w:val="none" w:sz="0" w:space="0" w:color="auto"/>
        <w:bottom w:val="none" w:sz="0" w:space="0" w:color="auto"/>
        <w:right w:val="none" w:sz="0" w:space="0" w:color="auto"/>
      </w:divBdr>
    </w:div>
    <w:div w:id="1575512620">
      <w:bodyDiv w:val="1"/>
      <w:marLeft w:val="0"/>
      <w:marRight w:val="0"/>
      <w:marTop w:val="0"/>
      <w:marBottom w:val="0"/>
      <w:divBdr>
        <w:top w:val="none" w:sz="0" w:space="0" w:color="auto"/>
        <w:left w:val="none" w:sz="0" w:space="0" w:color="auto"/>
        <w:bottom w:val="none" w:sz="0" w:space="0" w:color="auto"/>
        <w:right w:val="none" w:sz="0" w:space="0" w:color="auto"/>
      </w:divBdr>
    </w:div>
    <w:div w:id="1604415886">
      <w:bodyDiv w:val="1"/>
      <w:marLeft w:val="0"/>
      <w:marRight w:val="0"/>
      <w:marTop w:val="0"/>
      <w:marBottom w:val="0"/>
      <w:divBdr>
        <w:top w:val="none" w:sz="0" w:space="0" w:color="auto"/>
        <w:left w:val="none" w:sz="0" w:space="0" w:color="auto"/>
        <w:bottom w:val="none" w:sz="0" w:space="0" w:color="auto"/>
        <w:right w:val="none" w:sz="0" w:space="0" w:color="auto"/>
      </w:divBdr>
    </w:div>
    <w:div w:id="1681009439">
      <w:bodyDiv w:val="1"/>
      <w:marLeft w:val="0"/>
      <w:marRight w:val="0"/>
      <w:marTop w:val="0"/>
      <w:marBottom w:val="0"/>
      <w:divBdr>
        <w:top w:val="none" w:sz="0" w:space="0" w:color="auto"/>
        <w:left w:val="none" w:sz="0" w:space="0" w:color="auto"/>
        <w:bottom w:val="none" w:sz="0" w:space="0" w:color="auto"/>
        <w:right w:val="none" w:sz="0" w:space="0" w:color="auto"/>
      </w:divBdr>
    </w:div>
    <w:div w:id="1765757449">
      <w:bodyDiv w:val="1"/>
      <w:marLeft w:val="0"/>
      <w:marRight w:val="0"/>
      <w:marTop w:val="0"/>
      <w:marBottom w:val="0"/>
      <w:divBdr>
        <w:top w:val="none" w:sz="0" w:space="0" w:color="auto"/>
        <w:left w:val="none" w:sz="0" w:space="0" w:color="auto"/>
        <w:bottom w:val="none" w:sz="0" w:space="0" w:color="auto"/>
        <w:right w:val="none" w:sz="0" w:space="0" w:color="auto"/>
      </w:divBdr>
    </w:div>
    <w:div w:id="1838687535">
      <w:bodyDiv w:val="1"/>
      <w:marLeft w:val="0"/>
      <w:marRight w:val="0"/>
      <w:marTop w:val="0"/>
      <w:marBottom w:val="0"/>
      <w:divBdr>
        <w:top w:val="none" w:sz="0" w:space="0" w:color="auto"/>
        <w:left w:val="none" w:sz="0" w:space="0" w:color="auto"/>
        <w:bottom w:val="none" w:sz="0" w:space="0" w:color="auto"/>
        <w:right w:val="none" w:sz="0" w:space="0" w:color="auto"/>
      </w:divBdr>
    </w:div>
    <w:div w:id="1842117100">
      <w:bodyDiv w:val="1"/>
      <w:marLeft w:val="0"/>
      <w:marRight w:val="0"/>
      <w:marTop w:val="0"/>
      <w:marBottom w:val="0"/>
      <w:divBdr>
        <w:top w:val="none" w:sz="0" w:space="0" w:color="auto"/>
        <w:left w:val="none" w:sz="0" w:space="0" w:color="auto"/>
        <w:bottom w:val="none" w:sz="0" w:space="0" w:color="auto"/>
        <w:right w:val="none" w:sz="0" w:space="0" w:color="auto"/>
      </w:divBdr>
    </w:div>
    <w:div w:id="1843738635">
      <w:bodyDiv w:val="1"/>
      <w:marLeft w:val="0"/>
      <w:marRight w:val="0"/>
      <w:marTop w:val="0"/>
      <w:marBottom w:val="0"/>
      <w:divBdr>
        <w:top w:val="none" w:sz="0" w:space="0" w:color="auto"/>
        <w:left w:val="none" w:sz="0" w:space="0" w:color="auto"/>
        <w:bottom w:val="none" w:sz="0" w:space="0" w:color="auto"/>
        <w:right w:val="none" w:sz="0" w:space="0" w:color="auto"/>
      </w:divBdr>
    </w:div>
    <w:div w:id="1952664942">
      <w:bodyDiv w:val="1"/>
      <w:marLeft w:val="0"/>
      <w:marRight w:val="0"/>
      <w:marTop w:val="0"/>
      <w:marBottom w:val="0"/>
      <w:divBdr>
        <w:top w:val="none" w:sz="0" w:space="0" w:color="auto"/>
        <w:left w:val="none" w:sz="0" w:space="0" w:color="auto"/>
        <w:bottom w:val="none" w:sz="0" w:space="0" w:color="auto"/>
        <w:right w:val="none" w:sz="0" w:space="0" w:color="auto"/>
      </w:divBdr>
    </w:div>
    <w:div w:id="2019766851">
      <w:bodyDiv w:val="1"/>
      <w:marLeft w:val="0"/>
      <w:marRight w:val="0"/>
      <w:marTop w:val="0"/>
      <w:marBottom w:val="0"/>
      <w:divBdr>
        <w:top w:val="none" w:sz="0" w:space="0" w:color="auto"/>
        <w:left w:val="none" w:sz="0" w:space="0" w:color="auto"/>
        <w:bottom w:val="none" w:sz="0" w:space="0" w:color="auto"/>
        <w:right w:val="none" w:sz="0" w:space="0" w:color="auto"/>
      </w:divBdr>
    </w:div>
    <w:div w:id="2026789986">
      <w:bodyDiv w:val="1"/>
      <w:marLeft w:val="0"/>
      <w:marRight w:val="0"/>
      <w:marTop w:val="0"/>
      <w:marBottom w:val="0"/>
      <w:divBdr>
        <w:top w:val="none" w:sz="0" w:space="0" w:color="auto"/>
        <w:left w:val="none" w:sz="0" w:space="0" w:color="auto"/>
        <w:bottom w:val="none" w:sz="0" w:space="0" w:color="auto"/>
        <w:right w:val="none" w:sz="0" w:space="0" w:color="auto"/>
      </w:divBdr>
    </w:div>
    <w:div w:id="2051831906">
      <w:bodyDiv w:val="1"/>
      <w:marLeft w:val="0"/>
      <w:marRight w:val="0"/>
      <w:marTop w:val="0"/>
      <w:marBottom w:val="0"/>
      <w:divBdr>
        <w:top w:val="none" w:sz="0" w:space="0" w:color="auto"/>
        <w:left w:val="none" w:sz="0" w:space="0" w:color="auto"/>
        <w:bottom w:val="none" w:sz="0" w:space="0" w:color="auto"/>
        <w:right w:val="none" w:sz="0" w:space="0" w:color="auto"/>
      </w:divBdr>
    </w:div>
    <w:div w:id="208857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 Ejecución 12-20'!$J$524</c:f>
              <c:strCache>
                <c:ptCount val="1"/>
                <c:pt idx="0">
                  <c:v>Apropiación vigente </c:v>
                </c:pt>
              </c:strCache>
            </c:strRef>
          </c:tx>
          <c:spPr>
            <a:solidFill>
              <a:schemeClr val="accent1"/>
            </a:solidFill>
            <a:ln>
              <a:noFill/>
            </a:ln>
            <a:effectLst/>
          </c:spPr>
          <c:invertIfNegative val="0"/>
          <c:dLbls>
            <c:dLbl>
              <c:idx val="1"/>
              <c:layout>
                <c:manualLayout>
                  <c:x val="-1.2184509938050881E-2"/>
                  <c:y val="-8.85608856088560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30-4623-A423-2F1A268F2343}"/>
                </c:ext>
              </c:extLst>
            </c:dLbl>
            <c:dLbl>
              <c:idx val="2"/>
              <c:layout>
                <c:manualLayout>
                  <c:x val="-2.4089129780187576E-3"/>
                  <c:y val="-3.93603936039360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30-4623-A423-2F1A268F2343}"/>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Ejecución 12-20'!$I$525:$I$528</c:f>
              <c:strCache>
                <c:ptCount val="4"/>
                <c:pt idx="0">
                  <c:v>Recursos a ejecutar por el MHCP </c:v>
                </c:pt>
                <c:pt idx="1">
                  <c:v>Recursos a distribuir a otras entidades, para su ejecución</c:v>
                </c:pt>
                <c:pt idx="2">
                  <c:v>FOME</c:v>
                </c:pt>
                <c:pt idx="3">
                  <c:v>Total presupuesto MHCP </c:v>
                </c:pt>
              </c:strCache>
            </c:strRef>
          </c:cat>
          <c:val>
            <c:numRef>
              <c:f>'1. Ejecución 12-20'!$J$525:$J$528</c:f>
              <c:numCache>
                <c:formatCode>_-"$"\ * #,##0_-;\-"$"\ * #,##0_-;_-"$"\ * "-"??_-;_-@_-</c:formatCode>
                <c:ptCount val="4"/>
                <c:pt idx="0">
                  <c:v>11889646572818</c:v>
                </c:pt>
                <c:pt idx="1">
                  <c:v>977122397045</c:v>
                </c:pt>
                <c:pt idx="2">
                  <c:v>25694153423519</c:v>
                </c:pt>
                <c:pt idx="3">
                  <c:v>38560922393382</c:v>
                </c:pt>
              </c:numCache>
            </c:numRef>
          </c:val>
          <c:extLst>
            <c:ext xmlns:c16="http://schemas.microsoft.com/office/drawing/2014/chart" uri="{C3380CC4-5D6E-409C-BE32-E72D297353CC}">
              <c16:uniqueId val="{00000002-D830-4623-A423-2F1A268F2343}"/>
            </c:ext>
          </c:extLst>
        </c:ser>
        <c:dLbls>
          <c:dLblPos val="outEnd"/>
          <c:showLegendKey val="0"/>
          <c:showVal val="1"/>
          <c:showCatName val="0"/>
          <c:showSerName val="0"/>
          <c:showPercent val="0"/>
          <c:showBubbleSize val="0"/>
        </c:dLbls>
        <c:gapWidth val="219"/>
        <c:overlap val="-27"/>
        <c:axId val="1517667039"/>
        <c:axId val="1503308143"/>
      </c:barChart>
      <c:lineChart>
        <c:grouping val="standard"/>
        <c:varyColors val="0"/>
        <c:ser>
          <c:idx val="1"/>
          <c:order val="1"/>
          <c:tx>
            <c:strRef>
              <c:f>'1. Ejecución 12-20'!$K$524</c:f>
              <c:strCache>
                <c:ptCount val="1"/>
                <c:pt idx="0">
                  <c:v>%</c:v>
                </c:pt>
              </c:strCache>
            </c:strRef>
          </c:tx>
          <c:spPr>
            <a:ln w="28575" cap="rnd">
              <a:solidFill>
                <a:srgbClr val="C0504D"/>
              </a:solidFill>
              <a:round/>
            </a:ln>
            <a:effectLst/>
          </c:spPr>
          <c:marker>
            <c:symbol val="none"/>
          </c:marker>
          <c:dLbls>
            <c:dLbl>
              <c:idx val="0"/>
              <c:layout>
                <c:manualLayout>
                  <c:x val="4.6973803071364048E-2"/>
                  <c:y val="-9.019986001254016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30-4623-A423-2F1A268F2343}"/>
                </c:ext>
              </c:extLst>
            </c:dLbl>
            <c:dLbl>
              <c:idx val="1"/>
              <c:layout>
                <c:manualLayout>
                  <c:x val="3.7338151159289283E-2"/>
                  <c:y val="-4.4280442804428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30-4623-A423-2F1A268F2343}"/>
                </c:ext>
              </c:extLst>
            </c:dLbl>
            <c:dLbl>
              <c:idx val="2"/>
              <c:layout>
                <c:manualLayout>
                  <c:x val="4.21559771153266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30-4623-A423-2F1A268F2343}"/>
                </c:ext>
              </c:extLst>
            </c:dLbl>
            <c:dLbl>
              <c:idx val="3"/>
              <c:layout>
                <c:manualLayout>
                  <c:x val="2.6109664152966176E-2"/>
                  <c:y val="4.92004920049200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30-4623-A423-2F1A268F2343}"/>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Ejecución 12-20'!$I$525:$I$528</c:f>
              <c:strCache>
                <c:ptCount val="4"/>
                <c:pt idx="0">
                  <c:v>Recursos a ejecutar por el MHCP </c:v>
                </c:pt>
                <c:pt idx="1">
                  <c:v>Recursos a distribuir a otras entidades, para su ejecución</c:v>
                </c:pt>
                <c:pt idx="2">
                  <c:v>FOME</c:v>
                </c:pt>
                <c:pt idx="3">
                  <c:v>Total presupuesto MHCP </c:v>
                </c:pt>
              </c:strCache>
            </c:strRef>
          </c:cat>
          <c:val>
            <c:numRef>
              <c:f>'1. Ejecución 12-20'!$K$525:$K$528</c:f>
              <c:numCache>
                <c:formatCode>0%</c:formatCode>
                <c:ptCount val="4"/>
                <c:pt idx="0">
                  <c:v>0.30833408110742067</c:v>
                </c:pt>
                <c:pt idx="1">
                  <c:v>2.5339704975851359E-2</c:v>
                </c:pt>
                <c:pt idx="2">
                  <c:v>0.66632621391672797</c:v>
                </c:pt>
                <c:pt idx="3">
                  <c:v>1</c:v>
                </c:pt>
              </c:numCache>
            </c:numRef>
          </c:val>
          <c:smooth val="0"/>
          <c:extLst>
            <c:ext xmlns:c16="http://schemas.microsoft.com/office/drawing/2014/chart" uri="{C3380CC4-5D6E-409C-BE32-E72D297353CC}">
              <c16:uniqueId val="{00000007-D830-4623-A423-2F1A268F2343}"/>
            </c:ext>
          </c:extLst>
        </c:ser>
        <c:dLbls>
          <c:showLegendKey val="0"/>
          <c:showVal val="1"/>
          <c:showCatName val="0"/>
          <c:showSerName val="0"/>
          <c:showPercent val="0"/>
          <c:showBubbleSize val="0"/>
        </c:dLbls>
        <c:marker val="1"/>
        <c:smooth val="0"/>
        <c:axId val="1517664239"/>
        <c:axId val="1503309391"/>
      </c:lineChart>
      <c:catAx>
        <c:axId val="1517667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503308143"/>
        <c:crosses val="autoZero"/>
        <c:auto val="1"/>
        <c:lblAlgn val="ctr"/>
        <c:lblOffset val="100"/>
        <c:noMultiLvlLbl val="0"/>
      </c:catAx>
      <c:valAx>
        <c:axId val="150330814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517667039"/>
        <c:crosses val="autoZero"/>
        <c:crossBetween val="between"/>
      </c:valAx>
      <c:valAx>
        <c:axId val="1503309391"/>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517664239"/>
        <c:crosses val="max"/>
        <c:crossBetween val="between"/>
      </c:valAx>
      <c:catAx>
        <c:axId val="1517664239"/>
        <c:scaling>
          <c:orientation val="minMax"/>
        </c:scaling>
        <c:delete val="1"/>
        <c:axPos val="b"/>
        <c:numFmt formatCode="General" sourceLinked="1"/>
        <c:majorTickMark val="none"/>
        <c:minorTickMark val="none"/>
        <c:tickLblPos val="nextTo"/>
        <c:crossAx val="1503309391"/>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1"/>
              <c:layout>
                <c:manualLayout>
                  <c:x val="-1.7414966284899523E-3"/>
                  <c:y val="-4.88736100063906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DC-4C28-A74C-A380E5B2BF4B}"/>
                </c:ext>
              </c:extLst>
            </c:dLbl>
            <c:dLbl>
              <c:idx val="2"/>
              <c:layout>
                <c:manualLayout>
                  <c:x val="-4.1795919083758855E-2"/>
                  <c:y val="-7.63650156349853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DC-4C28-A74C-A380E5B2BF4B}"/>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Ejecución 6-21'!$G$414:$G$417</c:f>
              <c:strCache>
                <c:ptCount val="4"/>
                <c:pt idx="0">
                  <c:v>Recursos a ejecutar por el MHCP </c:v>
                </c:pt>
                <c:pt idx="1">
                  <c:v>Recursos a distribuir a otras entidades, para su ejecución</c:v>
                </c:pt>
                <c:pt idx="2">
                  <c:v>FOME</c:v>
                </c:pt>
                <c:pt idx="3">
                  <c:v>Total presupuesto MHCP </c:v>
                </c:pt>
              </c:strCache>
            </c:strRef>
          </c:cat>
          <c:val>
            <c:numRef>
              <c:f>'2. Ejecución 6-21'!$H$414:$H$417</c:f>
              <c:numCache>
                <c:formatCode>_("$"\ * #,##0_);_("$"\ * \(#,##0\);_("$"\ * "-"??_);_(@_)</c:formatCode>
                <c:ptCount val="4"/>
                <c:pt idx="0">
                  <c:v>10939378786544</c:v>
                </c:pt>
                <c:pt idx="1">
                  <c:v>4986098462995</c:v>
                </c:pt>
                <c:pt idx="2">
                  <c:v>10708673334837</c:v>
                </c:pt>
                <c:pt idx="3">
                  <c:v>26634150584376</c:v>
                </c:pt>
              </c:numCache>
            </c:numRef>
          </c:val>
          <c:extLst>
            <c:ext xmlns:c16="http://schemas.microsoft.com/office/drawing/2014/chart" uri="{C3380CC4-5D6E-409C-BE32-E72D297353CC}">
              <c16:uniqueId val="{00000002-4BDC-4C28-A74C-A380E5B2BF4B}"/>
            </c:ext>
          </c:extLst>
        </c:ser>
        <c:dLbls>
          <c:dLblPos val="outEnd"/>
          <c:showLegendKey val="0"/>
          <c:showVal val="1"/>
          <c:showCatName val="0"/>
          <c:showSerName val="0"/>
          <c:showPercent val="0"/>
          <c:showBubbleSize val="0"/>
        </c:dLbls>
        <c:gapWidth val="219"/>
        <c:overlap val="-27"/>
        <c:axId val="1095702223"/>
        <c:axId val="1342981423"/>
      </c:barChart>
      <c:lineChart>
        <c:grouping val="standard"/>
        <c:varyColors val="0"/>
        <c:ser>
          <c:idx val="1"/>
          <c:order val="1"/>
          <c:spPr>
            <a:ln w="28575" cap="rnd">
              <a:solidFill>
                <a:schemeClr val="accent2"/>
              </a:solidFill>
              <a:round/>
            </a:ln>
            <a:effectLst/>
          </c:spPr>
          <c:marker>
            <c:symbol val="none"/>
          </c:marker>
          <c:dPt>
            <c:idx val="1"/>
            <c:marker>
              <c:symbol val="none"/>
            </c:marker>
            <c:bubble3D val="0"/>
            <c:spPr>
              <a:ln w="28575" cap="rnd">
                <a:solidFill>
                  <a:srgbClr val="C0504D"/>
                </a:solidFill>
                <a:round/>
              </a:ln>
              <a:effectLst/>
            </c:spPr>
            <c:extLst>
              <c:ext xmlns:c16="http://schemas.microsoft.com/office/drawing/2014/chart" uri="{C3380CC4-5D6E-409C-BE32-E72D297353CC}">
                <c16:uniqueId val="{00000004-4BDC-4C28-A74C-A380E5B2BF4B}"/>
              </c:ext>
            </c:extLst>
          </c:dPt>
          <c:dPt>
            <c:idx val="2"/>
            <c:marker>
              <c:symbol val="none"/>
            </c:marker>
            <c:bubble3D val="0"/>
            <c:spPr>
              <a:ln w="28575" cap="rnd">
                <a:solidFill>
                  <a:srgbClr val="C0504D"/>
                </a:solidFill>
                <a:round/>
              </a:ln>
              <a:effectLst/>
            </c:spPr>
            <c:extLst>
              <c:ext xmlns:c16="http://schemas.microsoft.com/office/drawing/2014/chart" uri="{C3380CC4-5D6E-409C-BE32-E72D297353CC}">
                <c16:uniqueId val="{00000005-4BDC-4C28-A74C-A380E5B2BF4B}"/>
              </c:ext>
            </c:extLst>
          </c:dPt>
          <c:dPt>
            <c:idx val="3"/>
            <c:marker>
              <c:symbol val="none"/>
            </c:marker>
            <c:bubble3D val="0"/>
            <c:spPr>
              <a:ln w="28575" cap="rnd">
                <a:solidFill>
                  <a:srgbClr val="C0504D"/>
                </a:solidFill>
                <a:round/>
              </a:ln>
              <a:effectLst/>
            </c:spPr>
            <c:extLst>
              <c:ext xmlns:c16="http://schemas.microsoft.com/office/drawing/2014/chart" uri="{C3380CC4-5D6E-409C-BE32-E72D297353CC}">
                <c16:uniqueId val="{00000006-4BDC-4C28-A74C-A380E5B2BF4B}"/>
              </c:ext>
            </c:extLst>
          </c:dPt>
          <c:dLbls>
            <c:dLbl>
              <c:idx val="0"/>
              <c:layout>
                <c:manualLayout>
                  <c:x val="1.74149662848995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DC-4C28-A74C-A380E5B2BF4B}"/>
                </c:ext>
              </c:extLst>
            </c:dLbl>
            <c:dLbl>
              <c:idx val="1"/>
              <c:layout>
                <c:manualLayout>
                  <c:x val="4.1795919083758855E-2"/>
                  <c:y val="6.1092012507988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DC-4C28-A74C-A380E5B2BF4B}"/>
                </c:ext>
              </c:extLst>
            </c:dLbl>
            <c:dLbl>
              <c:idx val="2"/>
              <c:layout>
                <c:manualLayout>
                  <c:x val="2.7863946055839237E-2"/>
                  <c:y val="-1.120007290893319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DC-4C28-A74C-A380E5B2BF4B}"/>
                </c:ext>
              </c:extLst>
            </c:dLbl>
            <c:dLbl>
              <c:idx val="3"/>
              <c:layout>
                <c:manualLayout>
                  <c:x val="2.6122449427349159E-2"/>
                  <c:y val="-2.4436805003195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DC-4C28-A74C-A380E5B2BF4B}"/>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Ejecución 6-21'!$G$414:$G$417</c:f>
              <c:strCache>
                <c:ptCount val="4"/>
                <c:pt idx="0">
                  <c:v>Recursos a ejecutar por el MHCP </c:v>
                </c:pt>
                <c:pt idx="1">
                  <c:v>Recursos a distribuir a otras entidades, para su ejecución</c:v>
                </c:pt>
                <c:pt idx="2">
                  <c:v>FOME</c:v>
                </c:pt>
                <c:pt idx="3">
                  <c:v>Total presupuesto MHCP </c:v>
                </c:pt>
              </c:strCache>
            </c:strRef>
          </c:cat>
          <c:val>
            <c:numRef>
              <c:f>'2. Ejecución 6-21'!$I$414:$I$417</c:f>
              <c:numCache>
                <c:formatCode>0%</c:formatCode>
                <c:ptCount val="4"/>
                <c:pt idx="0">
                  <c:v>0.41072752637214593</c:v>
                </c:pt>
                <c:pt idx="1">
                  <c:v>0.18720696375126458</c:v>
                </c:pt>
                <c:pt idx="2">
                  <c:v>0.40206550987658946</c:v>
                </c:pt>
                <c:pt idx="3">
                  <c:v>1</c:v>
                </c:pt>
              </c:numCache>
            </c:numRef>
          </c:val>
          <c:smooth val="0"/>
          <c:extLst>
            <c:ext xmlns:c16="http://schemas.microsoft.com/office/drawing/2014/chart" uri="{C3380CC4-5D6E-409C-BE32-E72D297353CC}">
              <c16:uniqueId val="{00000007-4BDC-4C28-A74C-A380E5B2BF4B}"/>
            </c:ext>
          </c:extLst>
        </c:ser>
        <c:dLbls>
          <c:showLegendKey val="0"/>
          <c:showVal val="1"/>
          <c:showCatName val="0"/>
          <c:showSerName val="0"/>
          <c:showPercent val="0"/>
          <c:showBubbleSize val="0"/>
        </c:dLbls>
        <c:marker val="1"/>
        <c:smooth val="0"/>
        <c:axId val="1095695023"/>
        <c:axId val="1342983503"/>
      </c:lineChart>
      <c:catAx>
        <c:axId val="1095702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342981423"/>
        <c:crosses val="autoZero"/>
        <c:auto val="1"/>
        <c:lblAlgn val="ctr"/>
        <c:lblOffset val="100"/>
        <c:noMultiLvlLbl val="0"/>
      </c:catAx>
      <c:valAx>
        <c:axId val="134298142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_(&quot;$&quot;\ * \(#,##0\);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095702223"/>
        <c:crosses val="autoZero"/>
        <c:crossBetween val="between"/>
      </c:valAx>
      <c:valAx>
        <c:axId val="134298350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095695023"/>
        <c:crosses val="max"/>
        <c:crossBetween val="between"/>
      </c:valAx>
      <c:catAx>
        <c:axId val="1095695023"/>
        <c:scaling>
          <c:orientation val="minMax"/>
        </c:scaling>
        <c:delete val="1"/>
        <c:axPos val="b"/>
        <c:numFmt formatCode="General" sourceLinked="1"/>
        <c:majorTickMark val="none"/>
        <c:minorTickMark val="none"/>
        <c:tickLblPos val="nextTo"/>
        <c:crossAx val="1342983503"/>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chemeClr val="tx1"/>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ormato_x0020_Documento xmlns="82ecf687-28d5-485b-a37e-d2c94b36a158" xsi:nil="true"/>
    <Nivel_x0020_Macroproceso xmlns="1d121436-e6f9-4fa4-bb3f-81f41704d615">10</Nivel_x0020_Macroproceso>
    <Macroproceso xmlns="1d121436-e6f9-4fa4-bb3f-81f41704d615">Evaluación</Macroproceso>
    <Proceso xmlns="1d121436-e6f9-4fa4-bb3f-81f41704d615">Eva. 1.1 Evaluación Independiente</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Eva.1.1.Pro.2.Fr.2 Informe Auditíras Internas_V4</Resumen_x0020_del_x0020_Documento>
    <Nivel xmlns="1d121436-e6f9-4fa4-bb3f-81f41704d615">35</Nivel>
    <Versión_x0020_Documento xmlns="1d121436-e6f9-4fa4-bb3f-81f41704d615" xsi:nil="true"/>
    <Año xmlns="1d121436-e6f9-4fa4-bb3f-81f41704d615">2010</Año>
  </documentManagement>
</p:properties>
</file>

<file path=customXml/itemProps1.xml><?xml version="1.0" encoding="utf-8"?>
<ds:datastoreItem xmlns:ds="http://schemas.openxmlformats.org/officeDocument/2006/customXml" ds:itemID="{B6A7BE03-3008-4C40-9F40-182D2DED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45C54-4377-4510-A5CA-859CA6A4D0C9}">
  <ds:schemaRefs>
    <ds:schemaRef ds:uri="http://schemas.openxmlformats.org/officeDocument/2006/bibliography"/>
  </ds:schemaRefs>
</ds:datastoreItem>
</file>

<file path=customXml/itemProps3.xml><?xml version="1.0" encoding="utf-8"?>
<ds:datastoreItem xmlns:ds="http://schemas.openxmlformats.org/officeDocument/2006/customXml" ds:itemID="{9B1CA415-FEE7-4543-ADCE-AC5712FF9134}">
  <ds:schemaRefs>
    <ds:schemaRef ds:uri="http://schemas.microsoft.com/sharepoint/v3/contenttype/forms"/>
  </ds:schemaRefs>
</ds:datastoreItem>
</file>

<file path=customXml/itemProps4.xml><?xml version="1.0" encoding="utf-8"?>
<ds:datastoreItem xmlns:ds="http://schemas.openxmlformats.org/officeDocument/2006/customXml" ds:itemID="{C95E04BC-CDAF-448E-83D8-87E48E2AB02E}">
  <ds:schemaRefs>
    <ds:schemaRef ds:uri="http://schemas.microsoft.com/office/2006/metadata/properties"/>
    <ds:schemaRef ds:uri="82ecf687-28d5-485b-a37e-d2c94b36a158"/>
    <ds:schemaRef ds:uri="1d121436-e6f9-4fa4-bb3f-81f41704d615"/>
  </ds:schemaRefs>
</ds:datastoreItem>
</file>

<file path=docProps/app.xml><?xml version="1.0" encoding="utf-8"?>
<Properties xmlns="http://schemas.openxmlformats.org/officeDocument/2006/extended-properties" xmlns:vt="http://schemas.openxmlformats.org/officeDocument/2006/docPropsVTypes">
  <Template>Normal</Template>
  <TotalTime>5794</TotalTime>
  <Pages>32</Pages>
  <Words>10923</Words>
  <Characters>60081</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Eva.1.1.Pro.2.Fr.2 Informe Auditoría de Gestión - Sistemas</vt:lpstr>
    </vt:vector>
  </TitlesOfParts>
  <Company>Ministerio de Hacienda</Company>
  <LinksUpToDate>false</LinksUpToDate>
  <CharactersWithSpaces>70863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Eva.1.1.Pro.2.Fr.2 Informe Auditoría de Gestión - Sistemas</dc:title>
  <dc:creator>mperez</dc:creator>
  <cp:lastModifiedBy>Angelica Maria Pava Riveros</cp:lastModifiedBy>
  <cp:revision>1117</cp:revision>
  <cp:lastPrinted>2016-12-09T16:17:00Z</cp:lastPrinted>
  <dcterms:created xsi:type="dcterms:W3CDTF">2021-08-11T17:29:00Z</dcterms:created>
  <dcterms:modified xsi:type="dcterms:W3CDTF">2021-08-31T15:13:00Z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Order">
    <vt:r8>127500</vt:r8>
  </property>
  <property fmtid="{D5CDD505-2E9C-101B-9397-08002B2CF9AE}" pid="4" name="xd_ProgID">
    <vt:lpwstr/>
  </property>
  <property fmtid="{D5CDD505-2E9C-101B-9397-08002B2CF9AE}" pid="5" name="TemplateUrl">
    <vt:lpwstr/>
  </property>
  <property fmtid="{D5CDD505-2E9C-101B-9397-08002B2CF9AE}" pid="6" name="_dlc_DocId">
    <vt:lpwstr>KR33XJ2DTYQK-62-4111</vt:lpwstr>
  </property>
  <property fmtid="{D5CDD505-2E9C-101B-9397-08002B2CF9AE}" pid="7" name="_dlc_DocIdUrl">
    <vt:lpwstr>http://mintranet/sug/_layouts/DocIdRedir.aspx?ID=KR33XJ2DTYQK-62-4111, KR33XJ2DTYQK-62-4111</vt:lpwstr>
  </property>
  <property fmtid="{D5CDD505-2E9C-101B-9397-08002B2CF9AE}" pid="8" name="_dlc_DocIdItemGuid">
    <vt:lpwstr>131dca8a-b887-449f-b8c5-a612d1e0dcbc</vt:lpwstr>
  </property>
</Properties>
</file>