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E68277" w14:textId="3A80DA49" w:rsidR="003D2C5B" w:rsidRPr="005045BF" w:rsidRDefault="00676829" w:rsidP="003A376C">
      <w:pPr>
        <w:jc w:val="center"/>
        <w:rPr>
          <w:rFonts w:ascii="Arial" w:hAnsi="Arial" w:cs="Arial"/>
          <w:b/>
        </w:rPr>
      </w:pPr>
      <w:r w:rsidRPr="005045BF">
        <w:rPr>
          <w:rFonts w:ascii="Arial" w:hAnsi="Arial" w:cs="Arial"/>
          <w:b/>
        </w:rPr>
        <w:t>INFORME SOBRE AUSTERIDAD Y E</w:t>
      </w:r>
      <w:r w:rsidR="0095226D" w:rsidRPr="005045BF">
        <w:rPr>
          <w:rFonts w:ascii="Arial" w:hAnsi="Arial" w:cs="Arial"/>
          <w:b/>
        </w:rPr>
        <w:t>FICIENCIA DEL GASTO PÚBLICO DEL</w:t>
      </w:r>
      <w:r w:rsidR="003A376C" w:rsidRPr="005045BF">
        <w:rPr>
          <w:rFonts w:ascii="Arial" w:hAnsi="Arial" w:cs="Arial"/>
          <w:b/>
        </w:rPr>
        <w:t xml:space="preserve"> </w:t>
      </w:r>
      <w:r w:rsidRPr="005045BF">
        <w:rPr>
          <w:rFonts w:ascii="Arial" w:hAnsi="Arial" w:cs="Arial"/>
          <w:b/>
        </w:rPr>
        <w:t>MINISTERIO DE HACIENDA Y CRÉDITO PÚBLICO</w:t>
      </w:r>
      <w:r w:rsidR="006E5AD9" w:rsidRPr="005045BF">
        <w:rPr>
          <w:rFonts w:ascii="Arial" w:hAnsi="Arial" w:cs="Arial"/>
          <w:b/>
        </w:rPr>
        <w:t xml:space="preserve"> </w:t>
      </w:r>
      <w:r w:rsidR="00C44E04" w:rsidRPr="005045BF">
        <w:rPr>
          <w:rFonts w:ascii="Arial" w:hAnsi="Arial" w:cs="Arial"/>
          <w:b/>
        </w:rPr>
        <w:t xml:space="preserve">PARA </w:t>
      </w:r>
      <w:r w:rsidR="007062C5" w:rsidRPr="005045BF">
        <w:rPr>
          <w:rFonts w:ascii="Arial" w:hAnsi="Arial" w:cs="Arial"/>
          <w:b/>
        </w:rPr>
        <w:t xml:space="preserve">EL </w:t>
      </w:r>
      <w:r w:rsidR="00C408C8" w:rsidRPr="005045BF">
        <w:rPr>
          <w:rFonts w:ascii="Arial" w:hAnsi="Arial" w:cs="Arial"/>
          <w:b/>
        </w:rPr>
        <w:t xml:space="preserve">PRIMER </w:t>
      </w:r>
      <w:r w:rsidR="002A01EF" w:rsidRPr="005045BF">
        <w:rPr>
          <w:rFonts w:ascii="Arial" w:hAnsi="Arial" w:cs="Arial"/>
          <w:b/>
        </w:rPr>
        <w:t>TRIMESTRE</w:t>
      </w:r>
      <w:r w:rsidR="00351543" w:rsidRPr="005045BF">
        <w:rPr>
          <w:rFonts w:ascii="Arial" w:hAnsi="Arial" w:cs="Arial"/>
          <w:b/>
        </w:rPr>
        <w:t xml:space="preserve"> DE </w:t>
      </w:r>
      <w:r w:rsidR="00C408C8" w:rsidRPr="005045BF">
        <w:rPr>
          <w:rFonts w:ascii="Arial" w:hAnsi="Arial" w:cs="Arial"/>
          <w:b/>
        </w:rPr>
        <w:t>2020</w:t>
      </w:r>
      <w:r w:rsidR="00351543" w:rsidRPr="005045BF">
        <w:rPr>
          <w:rFonts w:ascii="Arial" w:hAnsi="Arial" w:cs="Arial"/>
          <w:b/>
        </w:rPr>
        <w:t xml:space="preserve"> COMPARADO CON </w:t>
      </w:r>
      <w:r w:rsidR="007062C5" w:rsidRPr="005045BF">
        <w:rPr>
          <w:rFonts w:ascii="Arial" w:hAnsi="Arial" w:cs="Arial"/>
          <w:b/>
        </w:rPr>
        <w:t>EL</w:t>
      </w:r>
      <w:r w:rsidR="00C408C8" w:rsidRPr="005045BF">
        <w:rPr>
          <w:rFonts w:ascii="Arial" w:hAnsi="Arial" w:cs="Arial"/>
          <w:b/>
        </w:rPr>
        <w:t xml:space="preserve"> PRIMER </w:t>
      </w:r>
      <w:r w:rsidR="002A01EF" w:rsidRPr="005045BF">
        <w:rPr>
          <w:rFonts w:ascii="Arial" w:hAnsi="Arial" w:cs="Arial"/>
          <w:b/>
        </w:rPr>
        <w:t>T</w:t>
      </w:r>
      <w:r w:rsidR="006E5AD9" w:rsidRPr="005045BF">
        <w:rPr>
          <w:rFonts w:ascii="Arial" w:hAnsi="Arial" w:cs="Arial"/>
          <w:b/>
        </w:rPr>
        <w:t>RIMESTRE DE 201</w:t>
      </w:r>
      <w:r w:rsidR="00C408C8" w:rsidRPr="005045BF">
        <w:rPr>
          <w:rFonts w:ascii="Arial" w:hAnsi="Arial" w:cs="Arial"/>
          <w:b/>
        </w:rPr>
        <w:t>9</w:t>
      </w:r>
    </w:p>
    <w:p w14:paraId="622810DB" w14:textId="77777777" w:rsidR="0091412C" w:rsidRPr="005045BF" w:rsidRDefault="0091412C" w:rsidP="0045629B">
      <w:pPr>
        <w:pStyle w:val="Prrafodelista"/>
        <w:numPr>
          <w:ilvl w:val="0"/>
          <w:numId w:val="8"/>
        </w:numPr>
        <w:spacing w:before="100" w:beforeAutospacing="1" w:after="100" w:afterAutospacing="1"/>
        <w:ind w:left="284" w:hanging="284"/>
        <w:jc w:val="left"/>
        <w:rPr>
          <w:rFonts w:ascii="Arial" w:hAnsi="Arial" w:cs="Arial"/>
          <w:b/>
          <w:sz w:val="22"/>
          <w:szCs w:val="22"/>
        </w:rPr>
      </w:pPr>
      <w:r w:rsidRPr="005045BF">
        <w:rPr>
          <w:rFonts w:ascii="Arial" w:hAnsi="Arial" w:cs="Arial"/>
          <w:b/>
        </w:rPr>
        <w:t>INTRODUCCIÓN</w:t>
      </w:r>
    </w:p>
    <w:p w14:paraId="361B84B1" w14:textId="43BB49EB" w:rsidR="006C7269" w:rsidRPr="005045BF" w:rsidRDefault="00676829" w:rsidP="003A3B14">
      <w:pPr>
        <w:jc w:val="both"/>
        <w:rPr>
          <w:rFonts w:ascii="Arial" w:hAnsi="Arial" w:cs="Arial"/>
          <w:sz w:val="22"/>
          <w:szCs w:val="22"/>
        </w:rPr>
      </w:pPr>
      <w:r w:rsidRPr="005045BF">
        <w:rPr>
          <w:rFonts w:ascii="Arial" w:hAnsi="Arial" w:cs="Arial"/>
          <w:sz w:val="22"/>
          <w:szCs w:val="22"/>
        </w:rPr>
        <w:t>La Oficina de Control Interno en atención a la normatividad en materia de Austeridad y Eficiencia del Gasto Público, contemplada</w:t>
      </w:r>
      <w:r w:rsidR="0036147C" w:rsidRPr="005045BF">
        <w:rPr>
          <w:rFonts w:ascii="Arial" w:hAnsi="Arial" w:cs="Arial"/>
          <w:sz w:val="22"/>
          <w:szCs w:val="22"/>
        </w:rPr>
        <w:t>s</w:t>
      </w:r>
      <w:r w:rsidRPr="005045BF">
        <w:rPr>
          <w:rFonts w:ascii="Arial" w:hAnsi="Arial" w:cs="Arial"/>
          <w:sz w:val="22"/>
          <w:szCs w:val="22"/>
        </w:rPr>
        <w:t xml:space="preserve"> en </w:t>
      </w:r>
      <w:r w:rsidR="00802FFB" w:rsidRPr="005045BF">
        <w:rPr>
          <w:rFonts w:ascii="Arial" w:hAnsi="Arial" w:cs="Arial"/>
          <w:sz w:val="22"/>
          <w:szCs w:val="22"/>
        </w:rPr>
        <w:t>la Parte 8° Régimen Presupuestal - T</w:t>
      </w:r>
      <w:r w:rsidRPr="005045BF">
        <w:rPr>
          <w:rFonts w:ascii="Arial" w:hAnsi="Arial" w:cs="Arial"/>
          <w:sz w:val="22"/>
          <w:szCs w:val="22"/>
        </w:rPr>
        <w:t>ítulo 4 Medidas de Austeridad del Gasto Públ</w:t>
      </w:r>
      <w:r w:rsidR="0036147C" w:rsidRPr="005045BF">
        <w:rPr>
          <w:rFonts w:ascii="Arial" w:hAnsi="Arial" w:cs="Arial"/>
          <w:sz w:val="22"/>
          <w:szCs w:val="22"/>
        </w:rPr>
        <w:t xml:space="preserve">ico </w:t>
      </w:r>
      <w:r w:rsidRPr="005045BF">
        <w:rPr>
          <w:rFonts w:ascii="Arial" w:hAnsi="Arial" w:cs="Arial"/>
          <w:sz w:val="22"/>
          <w:szCs w:val="22"/>
        </w:rPr>
        <w:t>del Decreto 1068 de 2015</w:t>
      </w:r>
      <w:r w:rsidR="00AC01C4" w:rsidRPr="005045BF">
        <w:rPr>
          <w:rFonts w:ascii="Arial" w:hAnsi="Arial" w:cs="Arial"/>
          <w:sz w:val="22"/>
          <w:szCs w:val="22"/>
        </w:rPr>
        <w:t xml:space="preserve"> y la</w:t>
      </w:r>
      <w:r w:rsidR="007E1FF3" w:rsidRPr="005045BF">
        <w:rPr>
          <w:rFonts w:ascii="Arial" w:hAnsi="Arial" w:cs="Arial"/>
          <w:sz w:val="22"/>
          <w:szCs w:val="22"/>
        </w:rPr>
        <w:t>s</w:t>
      </w:r>
      <w:r w:rsidR="00AC01C4" w:rsidRPr="005045BF">
        <w:rPr>
          <w:rFonts w:ascii="Arial" w:hAnsi="Arial" w:cs="Arial"/>
          <w:sz w:val="22"/>
          <w:szCs w:val="22"/>
        </w:rPr>
        <w:t xml:space="preserve"> demás normas </w:t>
      </w:r>
      <w:r w:rsidR="004F516F" w:rsidRPr="005045BF">
        <w:rPr>
          <w:rFonts w:ascii="Arial" w:hAnsi="Arial" w:cs="Arial"/>
          <w:sz w:val="22"/>
          <w:szCs w:val="22"/>
        </w:rPr>
        <w:t xml:space="preserve">vigentes </w:t>
      </w:r>
      <w:r w:rsidR="00AC01C4" w:rsidRPr="005045BF">
        <w:rPr>
          <w:rFonts w:ascii="Arial" w:hAnsi="Arial" w:cs="Arial"/>
          <w:sz w:val="22"/>
          <w:szCs w:val="22"/>
        </w:rPr>
        <w:t>que sobre el tema ha impartido el Gobierno Nacional,</w:t>
      </w:r>
      <w:r w:rsidRPr="005045BF">
        <w:rPr>
          <w:rFonts w:ascii="Arial" w:hAnsi="Arial" w:cs="Arial"/>
          <w:sz w:val="22"/>
          <w:szCs w:val="22"/>
        </w:rPr>
        <w:t xml:space="preserve"> presenta el </w:t>
      </w:r>
      <w:r w:rsidR="00BE5587" w:rsidRPr="005045BF">
        <w:rPr>
          <w:rFonts w:ascii="Arial" w:hAnsi="Arial" w:cs="Arial"/>
          <w:sz w:val="22"/>
          <w:szCs w:val="22"/>
        </w:rPr>
        <w:t xml:space="preserve">análisis efectuado </w:t>
      </w:r>
      <w:r w:rsidR="0042333A" w:rsidRPr="005045BF">
        <w:rPr>
          <w:rFonts w:ascii="Arial" w:hAnsi="Arial" w:cs="Arial"/>
          <w:sz w:val="22"/>
          <w:szCs w:val="22"/>
        </w:rPr>
        <w:t>al gasto público del Ministerio de Hacienda y Crédito</w:t>
      </w:r>
      <w:r w:rsidR="00B470D6">
        <w:rPr>
          <w:rFonts w:ascii="Arial" w:hAnsi="Arial" w:cs="Arial"/>
          <w:sz w:val="22"/>
          <w:szCs w:val="22"/>
        </w:rPr>
        <w:t xml:space="preserve"> </w:t>
      </w:r>
      <w:r w:rsidR="0042333A" w:rsidRPr="005045BF">
        <w:rPr>
          <w:rFonts w:ascii="Arial" w:hAnsi="Arial" w:cs="Arial"/>
          <w:sz w:val="22"/>
          <w:szCs w:val="22"/>
        </w:rPr>
        <w:t>Público</w:t>
      </w:r>
      <w:r w:rsidR="00B470D6">
        <w:rPr>
          <w:rFonts w:ascii="Arial" w:hAnsi="Arial" w:cs="Arial"/>
          <w:sz w:val="22"/>
          <w:szCs w:val="22"/>
        </w:rPr>
        <w:t xml:space="preserve"> [MHCP]</w:t>
      </w:r>
      <w:r w:rsidR="0042333A" w:rsidRPr="005045BF">
        <w:rPr>
          <w:rFonts w:ascii="Arial" w:hAnsi="Arial" w:cs="Arial"/>
          <w:sz w:val="22"/>
          <w:szCs w:val="22"/>
        </w:rPr>
        <w:t xml:space="preserve"> correspondiente al </w:t>
      </w:r>
      <w:r w:rsidR="00661AE6" w:rsidRPr="005045BF">
        <w:rPr>
          <w:rFonts w:ascii="Arial" w:hAnsi="Arial" w:cs="Arial"/>
          <w:sz w:val="22"/>
          <w:szCs w:val="22"/>
        </w:rPr>
        <w:t xml:space="preserve">primer </w:t>
      </w:r>
      <w:r w:rsidRPr="005045BF">
        <w:rPr>
          <w:rFonts w:ascii="Arial" w:hAnsi="Arial" w:cs="Arial"/>
          <w:sz w:val="22"/>
          <w:szCs w:val="22"/>
        </w:rPr>
        <w:t>trimestre de</w:t>
      </w:r>
      <w:r w:rsidR="000F6C84" w:rsidRPr="005045BF">
        <w:rPr>
          <w:rFonts w:ascii="Arial" w:hAnsi="Arial" w:cs="Arial"/>
          <w:sz w:val="22"/>
          <w:szCs w:val="22"/>
        </w:rPr>
        <w:t>l</w:t>
      </w:r>
      <w:r w:rsidR="00E17B92" w:rsidRPr="005045BF">
        <w:rPr>
          <w:rFonts w:ascii="Arial" w:hAnsi="Arial" w:cs="Arial"/>
          <w:sz w:val="22"/>
          <w:szCs w:val="22"/>
        </w:rPr>
        <w:t xml:space="preserve"> 20</w:t>
      </w:r>
      <w:r w:rsidR="00661AE6" w:rsidRPr="005045BF">
        <w:rPr>
          <w:rFonts w:ascii="Arial" w:hAnsi="Arial" w:cs="Arial"/>
          <w:sz w:val="22"/>
          <w:szCs w:val="22"/>
        </w:rPr>
        <w:t>20</w:t>
      </w:r>
      <w:r w:rsidR="00351543" w:rsidRPr="005045BF">
        <w:rPr>
          <w:rFonts w:ascii="Arial" w:hAnsi="Arial" w:cs="Arial"/>
          <w:sz w:val="22"/>
          <w:szCs w:val="22"/>
        </w:rPr>
        <w:t xml:space="preserve"> comparado con </w:t>
      </w:r>
      <w:r w:rsidR="00DE0CEB" w:rsidRPr="005045BF">
        <w:rPr>
          <w:rFonts w:ascii="Arial" w:hAnsi="Arial" w:cs="Arial"/>
          <w:sz w:val="22"/>
          <w:szCs w:val="22"/>
        </w:rPr>
        <w:t xml:space="preserve">el </w:t>
      </w:r>
      <w:r w:rsidR="00665053" w:rsidRPr="005045BF">
        <w:rPr>
          <w:rFonts w:ascii="Arial" w:hAnsi="Arial" w:cs="Arial"/>
          <w:sz w:val="22"/>
          <w:szCs w:val="22"/>
        </w:rPr>
        <w:t xml:space="preserve">primer </w:t>
      </w:r>
      <w:r w:rsidRPr="005045BF">
        <w:rPr>
          <w:rFonts w:ascii="Arial" w:hAnsi="Arial" w:cs="Arial"/>
          <w:sz w:val="22"/>
          <w:szCs w:val="22"/>
        </w:rPr>
        <w:t xml:space="preserve">trimestre </w:t>
      </w:r>
      <w:r w:rsidR="000F6C84" w:rsidRPr="005045BF">
        <w:rPr>
          <w:rFonts w:ascii="Arial" w:hAnsi="Arial" w:cs="Arial"/>
          <w:sz w:val="22"/>
          <w:szCs w:val="22"/>
        </w:rPr>
        <w:t xml:space="preserve">del </w:t>
      </w:r>
      <w:r w:rsidR="00E17B92" w:rsidRPr="005045BF">
        <w:rPr>
          <w:rFonts w:ascii="Arial" w:hAnsi="Arial" w:cs="Arial"/>
          <w:sz w:val="22"/>
          <w:szCs w:val="22"/>
        </w:rPr>
        <w:t>201</w:t>
      </w:r>
      <w:r w:rsidR="00665053" w:rsidRPr="005045BF">
        <w:rPr>
          <w:rFonts w:ascii="Arial" w:hAnsi="Arial" w:cs="Arial"/>
          <w:sz w:val="22"/>
          <w:szCs w:val="22"/>
        </w:rPr>
        <w:t>9</w:t>
      </w:r>
      <w:r w:rsidR="0042333A" w:rsidRPr="005045BF">
        <w:rPr>
          <w:rFonts w:ascii="Arial" w:hAnsi="Arial" w:cs="Arial"/>
          <w:sz w:val="22"/>
          <w:szCs w:val="22"/>
        </w:rPr>
        <w:t xml:space="preserve">. </w:t>
      </w:r>
    </w:p>
    <w:p w14:paraId="58BE39B0" w14:textId="77777777" w:rsidR="002732A7" w:rsidRPr="005045BF" w:rsidRDefault="002732A7" w:rsidP="003A3B14">
      <w:pPr>
        <w:jc w:val="both"/>
        <w:rPr>
          <w:rFonts w:ascii="Arial" w:hAnsi="Arial" w:cs="Arial"/>
          <w:sz w:val="22"/>
          <w:szCs w:val="22"/>
        </w:rPr>
      </w:pPr>
    </w:p>
    <w:p w14:paraId="14B80868" w14:textId="77777777" w:rsidR="001127A6" w:rsidRPr="005045BF" w:rsidRDefault="0062564A" w:rsidP="006C7269">
      <w:pPr>
        <w:rPr>
          <w:rFonts w:ascii="Arial" w:hAnsi="Arial" w:cs="Arial"/>
          <w:sz w:val="22"/>
          <w:szCs w:val="22"/>
        </w:rPr>
      </w:pPr>
      <w:r w:rsidRPr="005045BF">
        <w:rPr>
          <w:rFonts w:ascii="Arial" w:hAnsi="Arial" w:cs="Arial"/>
          <w:noProof/>
          <w:sz w:val="22"/>
          <w:szCs w:val="22"/>
          <w:lang w:eastAsia="en-US"/>
        </w:rPr>
        <w:drawing>
          <wp:inline distT="0" distB="0" distL="0" distR="0" wp14:anchorId="5A54487F" wp14:editId="1D5E2D2D">
            <wp:extent cx="6124575" cy="5895975"/>
            <wp:effectExtent l="0" t="0" r="2857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DCB3884" w14:textId="77777777" w:rsidR="00FA256B" w:rsidRPr="005045BF" w:rsidRDefault="00FA256B" w:rsidP="00433B40">
      <w:pPr>
        <w:jc w:val="both"/>
        <w:rPr>
          <w:rFonts w:ascii="Arial" w:hAnsi="Arial" w:cs="Arial"/>
          <w:sz w:val="22"/>
          <w:szCs w:val="22"/>
          <w:highlight w:val="yellow"/>
        </w:rPr>
      </w:pPr>
    </w:p>
    <w:p w14:paraId="2A410F6D" w14:textId="3ABBBB3A" w:rsidR="004A6BC1" w:rsidRPr="005045BF" w:rsidRDefault="0073297F" w:rsidP="00433B40">
      <w:pPr>
        <w:jc w:val="both"/>
        <w:rPr>
          <w:rFonts w:ascii="Arial" w:hAnsi="Arial" w:cs="Arial"/>
          <w:sz w:val="22"/>
          <w:szCs w:val="22"/>
        </w:rPr>
      </w:pPr>
      <w:r w:rsidRPr="005045BF">
        <w:rPr>
          <w:rFonts w:ascii="Arial" w:hAnsi="Arial" w:cs="Arial"/>
          <w:sz w:val="22"/>
          <w:szCs w:val="22"/>
        </w:rPr>
        <w:lastRenderedPageBreak/>
        <w:t>Es importante precisar que, p</w:t>
      </w:r>
      <w:r w:rsidR="005977D3" w:rsidRPr="005045BF">
        <w:rPr>
          <w:rFonts w:ascii="Arial" w:hAnsi="Arial" w:cs="Arial"/>
          <w:sz w:val="22"/>
          <w:szCs w:val="22"/>
        </w:rPr>
        <w:t>ara el desarrollo del</w:t>
      </w:r>
      <w:r w:rsidR="005650D5" w:rsidRPr="005045BF">
        <w:rPr>
          <w:rFonts w:ascii="Arial" w:hAnsi="Arial" w:cs="Arial"/>
          <w:sz w:val="22"/>
          <w:szCs w:val="22"/>
        </w:rPr>
        <w:t xml:space="preserve"> presente</w:t>
      </w:r>
      <w:r w:rsidRPr="005045BF">
        <w:rPr>
          <w:rFonts w:ascii="Arial" w:hAnsi="Arial" w:cs="Arial"/>
          <w:sz w:val="22"/>
          <w:szCs w:val="22"/>
        </w:rPr>
        <w:t xml:space="preserve"> seguimiento</w:t>
      </w:r>
      <w:r w:rsidR="001F0B2A">
        <w:rPr>
          <w:rFonts w:ascii="Arial" w:hAnsi="Arial" w:cs="Arial"/>
          <w:sz w:val="22"/>
          <w:szCs w:val="22"/>
        </w:rPr>
        <w:t xml:space="preserve"> </w:t>
      </w:r>
      <w:r w:rsidR="005977D3" w:rsidRPr="005045BF">
        <w:rPr>
          <w:rFonts w:ascii="Arial" w:hAnsi="Arial" w:cs="Arial"/>
          <w:sz w:val="22"/>
          <w:szCs w:val="22"/>
        </w:rPr>
        <w:t>se procedió a revisar y analizar los</w:t>
      </w:r>
      <w:r w:rsidR="00F3113B" w:rsidRPr="005045BF">
        <w:rPr>
          <w:rFonts w:ascii="Arial" w:hAnsi="Arial" w:cs="Arial"/>
          <w:sz w:val="22"/>
          <w:szCs w:val="22"/>
        </w:rPr>
        <w:t xml:space="preserve"> conceptos de gastos de funcionamiento</w:t>
      </w:r>
      <w:r w:rsidRPr="005045BF">
        <w:rPr>
          <w:rFonts w:ascii="Arial" w:hAnsi="Arial" w:cs="Arial"/>
          <w:sz w:val="22"/>
          <w:szCs w:val="22"/>
        </w:rPr>
        <w:t xml:space="preserve"> </w:t>
      </w:r>
      <w:r w:rsidR="00F3113B" w:rsidRPr="005045BF">
        <w:rPr>
          <w:rFonts w:ascii="Arial" w:hAnsi="Arial" w:cs="Arial"/>
          <w:sz w:val="22"/>
          <w:szCs w:val="22"/>
        </w:rPr>
        <w:t xml:space="preserve">señalados en la </w:t>
      </w:r>
      <w:r w:rsidR="002C2B99" w:rsidRPr="005045BF">
        <w:rPr>
          <w:rFonts w:ascii="Arial" w:hAnsi="Arial" w:cs="Arial"/>
          <w:sz w:val="22"/>
          <w:szCs w:val="22"/>
        </w:rPr>
        <w:t>Directiva Presidencial 09 de 2018</w:t>
      </w:r>
      <w:r w:rsidRPr="005045BF">
        <w:rPr>
          <w:rFonts w:ascii="Arial" w:hAnsi="Arial" w:cs="Arial"/>
          <w:sz w:val="22"/>
          <w:szCs w:val="22"/>
        </w:rPr>
        <w:t>, dado que, el Decreto reglamentario del artículo 69 de la Ley 2008 de 2019</w:t>
      </w:r>
      <w:r w:rsidRPr="005045BF">
        <w:rPr>
          <w:rStyle w:val="Refdenotaalpie"/>
          <w:rFonts w:ascii="Arial" w:hAnsi="Arial" w:cs="Arial"/>
          <w:sz w:val="22"/>
          <w:szCs w:val="22"/>
        </w:rPr>
        <w:footnoteReference w:id="1"/>
      </w:r>
      <w:r w:rsidRPr="005045BF">
        <w:rPr>
          <w:rFonts w:ascii="Arial" w:hAnsi="Arial" w:cs="Arial"/>
          <w:sz w:val="22"/>
          <w:szCs w:val="22"/>
        </w:rPr>
        <w:t xml:space="preserve"> </w:t>
      </w:r>
      <w:r w:rsidRPr="005045BF">
        <w:rPr>
          <w:rFonts w:ascii="Arial" w:hAnsi="Arial" w:cs="Arial"/>
          <w:i/>
          <w:iCs/>
          <w:sz w:val="22"/>
          <w:szCs w:val="22"/>
        </w:rPr>
        <w:t>Plan de Austeridad del Gasto</w:t>
      </w:r>
      <w:r w:rsidR="0067217B" w:rsidRPr="005045BF">
        <w:rPr>
          <w:rFonts w:ascii="Arial" w:hAnsi="Arial" w:cs="Arial"/>
          <w:i/>
          <w:iCs/>
          <w:sz w:val="22"/>
          <w:szCs w:val="22"/>
        </w:rPr>
        <w:t>,</w:t>
      </w:r>
      <w:r w:rsidRPr="005045BF">
        <w:rPr>
          <w:rFonts w:ascii="Arial" w:hAnsi="Arial" w:cs="Arial"/>
          <w:i/>
          <w:iCs/>
          <w:sz w:val="22"/>
          <w:szCs w:val="22"/>
        </w:rPr>
        <w:t xml:space="preserve"> </w:t>
      </w:r>
      <w:r w:rsidR="0067217B" w:rsidRPr="005045BF">
        <w:rPr>
          <w:rFonts w:ascii="Arial" w:hAnsi="Arial" w:cs="Arial"/>
          <w:sz w:val="22"/>
          <w:szCs w:val="22"/>
        </w:rPr>
        <w:t>a la fecha de elaboración de este informe</w:t>
      </w:r>
      <w:r w:rsidR="001F0B2A">
        <w:rPr>
          <w:rFonts w:ascii="Arial" w:hAnsi="Arial" w:cs="Arial"/>
          <w:sz w:val="22"/>
          <w:szCs w:val="22"/>
        </w:rPr>
        <w:t xml:space="preserve"> </w:t>
      </w:r>
      <w:r w:rsidR="001F0B2A" w:rsidRPr="005045BF">
        <w:rPr>
          <w:rFonts w:ascii="Arial" w:hAnsi="Arial" w:cs="Arial"/>
          <w:sz w:val="22"/>
          <w:szCs w:val="22"/>
        </w:rPr>
        <w:t>se enc</w:t>
      </w:r>
      <w:r w:rsidR="001F0B2A">
        <w:rPr>
          <w:rFonts w:ascii="Arial" w:hAnsi="Arial" w:cs="Arial"/>
          <w:sz w:val="22"/>
          <w:szCs w:val="22"/>
        </w:rPr>
        <w:t>ontraba</w:t>
      </w:r>
      <w:r w:rsidR="001F0B2A" w:rsidRPr="005045BF">
        <w:rPr>
          <w:rFonts w:ascii="Arial" w:hAnsi="Arial" w:cs="Arial"/>
          <w:sz w:val="22"/>
          <w:szCs w:val="22"/>
        </w:rPr>
        <w:t xml:space="preserve"> en proceso de expedición</w:t>
      </w:r>
      <w:r w:rsidR="001F0B2A">
        <w:rPr>
          <w:rFonts w:ascii="Arial" w:hAnsi="Arial" w:cs="Arial"/>
          <w:sz w:val="22"/>
          <w:szCs w:val="22"/>
        </w:rPr>
        <w:t xml:space="preserve">. </w:t>
      </w:r>
    </w:p>
    <w:p w14:paraId="2F0D5D8B" w14:textId="77777777" w:rsidR="004A6BC1" w:rsidRPr="005045BF" w:rsidRDefault="004A6BC1" w:rsidP="00433B40">
      <w:pPr>
        <w:jc w:val="both"/>
        <w:rPr>
          <w:rFonts w:ascii="Arial" w:hAnsi="Arial" w:cs="Arial"/>
          <w:sz w:val="22"/>
          <w:szCs w:val="22"/>
        </w:rPr>
      </w:pPr>
    </w:p>
    <w:p w14:paraId="2EC00E1B" w14:textId="5AF96253" w:rsidR="00474645" w:rsidRPr="005045BF" w:rsidRDefault="004A6BC1" w:rsidP="00433B40">
      <w:pPr>
        <w:jc w:val="both"/>
        <w:rPr>
          <w:rFonts w:ascii="Arial" w:hAnsi="Arial" w:cs="Arial"/>
          <w:sz w:val="22"/>
          <w:szCs w:val="22"/>
        </w:rPr>
      </w:pPr>
      <w:r w:rsidRPr="005045BF">
        <w:rPr>
          <w:rFonts w:ascii="Arial" w:hAnsi="Arial" w:cs="Arial"/>
          <w:sz w:val="22"/>
          <w:szCs w:val="22"/>
        </w:rPr>
        <w:t xml:space="preserve">Ahora bien, </w:t>
      </w:r>
      <w:r w:rsidR="00190DF3" w:rsidRPr="005045BF">
        <w:rPr>
          <w:rFonts w:ascii="Arial" w:hAnsi="Arial" w:cs="Arial"/>
          <w:sz w:val="22"/>
          <w:szCs w:val="22"/>
        </w:rPr>
        <w:t>como f</w:t>
      </w:r>
      <w:r w:rsidR="005977D3" w:rsidRPr="005045BF">
        <w:rPr>
          <w:rFonts w:ascii="Arial" w:hAnsi="Arial" w:cs="Arial"/>
          <w:sz w:val="22"/>
          <w:szCs w:val="22"/>
        </w:rPr>
        <w:t>uente de información</w:t>
      </w:r>
      <w:r w:rsidRPr="005045BF">
        <w:rPr>
          <w:rFonts w:ascii="Arial" w:hAnsi="Arial" w:cs="Arial"/>
          <w:sz w:val="22"/>
          <w:szCs w:val="22"/>
        </w:rPr>
        <w:t xml:space="preserve"> </w:t>
      </w:r>
      <w:r w:rsidR="00190DF3" w:rsidRPr="005045BF">
        <w:rPr>
          <w:rFonts w:ascii="Arial" w:hAnsi="Arial" w:cs="Arial"/>
          <w:sz w:val="22"/>
          <w:szCs w:val="22"/>
        </w:rPr>
        <w:t>se utilizó la suministrada por parte de la Subdirección de Gestión del Talento Humano, la Subdirección de Servicios</w:t>
      </w:r>
      <w:r w:rsidR="00F21F98">
        <w:rPr>
          <w:rFonts w:ascii="Arial" w:hAnsi="Arial" w:cs="Arial"/>
          <w:sz w:val="22"/>
          <w:szCs w:val="22"/>
        </w:rPr>
        <w:t xml:space="preserve"> </w:t>
      </w:r>
      <w:r w:rsidR="00190DF3" w:rsidRPr="005045BF">
        <w:rPr>
          <w:rFonts w:ascii="Arial" w:hAnsi="Arial" w:cs="Arial"/>
          <w:sz w:val="22"/>
          <w:szCs w:val="22"/>
        </w:rPr>
        <w:t>y el Grupo de Contratos de la Dirección Administrativa y se consult</w:t>
      </w:r>
      <w:r w:rsidR="002A396B" w:rsidRPr="005045BF">
        <w:rPr>
          <w:rFonts w:ascii="Arial" w:hAnsi="Arial" w:cs="Arial"/>
          <w:sz w:val="22"/>
          <w:szCs w:val="22"/>
        </w:rPr>
        <w:t>aron</w:t>
      </w:r>
      <w:r w:rsidR="00190DF3" w:rsidRPr="005045BF">
        <w:rPr>
          <w:rFonts w:ascii="Arial" w:hAnsi="Arial" w:cs="Arial"/>
          <w:sz w:val="22"/>
          <w:szCs w:val="22"/>
        </w:rPr>
        <w:t xml:space="preserve"> las cifras reportadas en </w:t>
      </w:r>
      <w:r w:rsidR="00135284" w:rsidRPr="005045BF">
        <w:rPr>
          <w:rFonts w:ascii="Arial" w:hAnsi="Arial" w:cs="Arial"/>
          <w:sz w:val="22"/>
          <w:szCs w:val="22"/>
        </w:rPr>
        <w:t>el</w:t>
      </w:r>
      <w:r w:rsidR="005977D3" w:rsidRPr="005045BF">
        <w:rPr>
          <w:rFonts w:ascii="Arial" w:hAnsi="Arial" w:cs="Arial"/>
          <w:sz w:val="22"/>
          <w:szCs w:val="22"/>
        </w:rPr>
        <w:t xml:space="preserve"> </w:t>
      </w:r>
      <w:r w:rsidR="005F2A17" w:rsidRPr="005045BF">
        <w:rPr>
          <w:rFonts w:ascii="Arial" w:hAnsi="Arial" w:cs="Arial"/>
          <w:sz w:val="22"/>
          <w:szCs w:val="22"/>
        </w:rPr>
        <w:t>Sistema Integrado de Información Financiera (</w:t>
      </w:r>
      <w:r w:rsidR="00792DC8" w:rsidRPr="005045BF">
        <w:rPr>
          <w:rFonts w:ascii="Arial" w:hAnsi="Arial" w:cs="Arial"/>
          <w:sz w:val="22"/>
          <w:szCs w:val="22"/>
        </w:rPr>
        <w:t>SIIF)</w:t>
      </w:r>
      <w:r w:rsidR="005977D3" w:rsidRPr="005045BF">
        <w:rPr>
          <w:rFonts w:ascii="Arial" w:hAnsi="Arial" w:cs="Arial"/>
          <w:sz w:val="22"/>
          <w:szCs w:val="22"/>
        </w:rPr>
        <w:t xml:space="preserve">. </w:t>
      </w:r>
      <w:r w:rsidR="00135284" w:rsidRPr="005045BF">
        <w:rPr>
          <w:rFonts w:ascii="Arial" w:hAnsi="Arial" w:cs="Arial"/>
          <w:sz w:val="22"/>
          <w:szCs w:val="22"/>
        </w:rPr>
        <w:t xml:space="preserve">Es de aclarar </w:t>
      </w:r>
      <w:r w:rsidR="00B1601E" w:rsidRPr="005045BF">
        <w:rPr>
          <w:rFonts w:ascii="Arial" w:hAnsi="Arial" w:cs="Arial"/>
          <w:sz w:val="22"/>
          <w:szCs w:val="22"/>
        </w:rPr>
        <w:t xml:space="preserve">que, para establecer las respectivas variaciones </w:t>
      </w:r>
      <w:r w:rsidR="00190DF3" w:rsidRPr="005045BF">
        <w:rPr>
          <w:rFonts w:ascii="Arial" w:hAnsi="Arial" w:cs="Arial"/>
          <w:sz w:val="22"/>
          <w:szCs w:val="22"/>
        </w:rPr>
        <w:t>esta Oficina</w:t>
      </w:r>
      <w:r w:rsidR="00B1601E" w:rsidRPr="005045BF">
        <w:rPr>
          <w:rFonts w:ascii="Arial" w:hAnsi="Arial" w:cs="Arial"/>
          <w:sz w:val="22"/>
          <w:szCs w:val="22"/>
        </w:rPr>
        <w:t xml:space="preserve"> tomó </w:t>
      </w:r>
      <w:r w:rsidR="00474645" w:rsidRPr="005045BF">
        <w:rPr>
          <w:rFonts w:ascii="Arial" w:hAnsi="Arial" w:cs="Arial"/>
          <w:sz w:val="22"/>
          <w:szCs w:val="22"/>
        </w:rPr>
        <w:t>las obligaciones reportadas en el SIIF</w:t>
      </w:r>
      <w:r w:rsidR="00190DF3" w:rsidRPr="005045BF">
        <w:rPr>
          <w:rFonts w:ascii="Arial" w:hAnsi="Arial" w:cs="Arial"/>
          <w:sz w:val="22"/>
          <w:szCs w:val="22"/>
        </w:rPr>
        <w:t xml:space="preserve"> concerniente al </w:t>
      </w:r>
      <w:r w:rsidR="00474645" w:rsidRPr="005045BF">
        <w:rPr>
          <w:rFonts w:ascii="Arial" w:hAnsi="Arial" w:cs="Arial"/>
          <w:sz w:val="22"/>
          <w:szCs w:val="22"/>
        </w:rPr>
        <w:t>periodo causa</w:t>
      </w:r>
      <w:r w:rsidR="00D7149B" w:rsidRPr="005045BF">
        <w:rPr>
          <w:rFonts w:ascii="Arial" w:hAnsi="Arial" w:cs="Arial"/>
          <w:sz w:val="22"/>
          <w:szCs w:val="22"/>
        </w:rPr>
        <w:t>do</w:t>
      </w:r>
      <w:r w:rsidR="00190DF3" w:rsidRPr="005045BF">
        <w:rPr>
          <w:rFonts w:ascii="Arial" w:hAnsi="Arial" w:cs="Arial"/>
          <w:sz w:val="22"/>
          <w:szCs w:val="22"/>
        </w:rPr>
        <w:t xml:space="preserve"> de los gastos analizados. </w:t>
      </w:r>
      <w:r w:rsidR="00474645" w:rsidRPr="005045BF">
        <w:rPr>
          <w:rFonts w:ascii="Arial" w:hAnsi="Arial" w:cs="Arial"/>
          <w:sz w:val="22"/>
          <w:szCs w:val="22"/>
        </w:rPr>
        <w:t xml:space="preserve">Lo anterior, con el fin de evitar sobreestimaciones o subestimaciones de las variaciones, </w:t>
      </w:r>
      <w:r w:rsidR="00B1601E" w:rsidRPr="005045BF">
        <w:rPr>
          <w:rFonts w:ascii="Arial" w:hAnsi="Arial" w:cs="Arial"/>
          <w:sz w:val="22"/>
          <w:szCs w:val="22"/>
        </w:rPr>
        <w:t xml:space="preserve">toda vez </w:t>
      </w:r>
      <w:r w:rsidR="00474645" w:rsidRPr="005045BF">
        <w:rPr>
          <w:rFonts w:ascii="Arial" w:hAnsi="Arial" w:cs="Arial"/>
          <w:sz w:val="22"/>
          <w:szCs w:val="22"/>
        </w:rPr>
        <w:t>que</w:t>
      </w:r>
      <w:r w:rsidR="00190DF3" w:rsidRPr="005045BF">
        <w:rPr>
          <w:rFonts w:ascii="Arial" w:hAnsi="Arial" w:cs="Arial"/>
          <w:sz w:val="22"/>
          <w:szCs w:val="22"/>
        </w:rPr>
        <w:t>,</w:t>
      </w:r>
      <w:r w:rsidR="00474645" w:rsidRPr="005045BF">
        <w:rPr>
          <w:rFonts w:ascii="Arial" w:hAnsi="Arial" w:cs="Arial"/>
          <w:sz w:val="22"/>
          <w:szCs w:val="22"/>
        </w:rPr>
        <w:t xml:space="preserve"> por diferentes circunstancias los pagos, especialmente, de servicios públicos no se efectúan en el mismo mes de causación.  </w:t>
      </w:r>
    </w:p>
    <w:p w14:paraId="411268BA" w14:textId="77777777" w:rsidR="005977D3" w:rsidRPr="005045BF" w:rsidRDefault="005977D3" w:rsidP="005977D3">
      <w:pPr>
        <w:pStyle w:val="Default"/>
        <w:jc w:val="both"/>
        <w:rPr>
          <w:sz w:val="22"/>
          <w:szCs w:val="22"/>
          <w:highlight w:val="yellow"/>
        </w:rPr>
      </w:pPr>
    </w:p>
    <w:tbl>
      <w:tblPr>
        <w:tblStyle w:val="Tabladelista4-nfasis1"/>
        <w:tblW w:w="0" w:type="auto"/>
        <w:jc w:val="center"/>
        <w:tblLayout w:type="fixed"/>
        <w:tblLook w:val="04A0" w:firstRow="1" w:lastRow="0" w:firstColumn="1" w:lastColumn="0" w:noHBand="0" w:noVBand="1"/>
      </w:tblPr>
      <w:tblGrid>
        <w:gridCol w:w="8941"/>
      </w:tblGrid>
      <w:tr w:rsidR="003649E4" w:rsidRPr="005045BF" w14:paraId="4AD2E83B" w14:textId="77777777" w:rsidTr="00561CB0">
        <w:trPr>
          <w:cnfStyle w:val="100000000000" w:firstRow="1" w:lastRow="0" w:firstColumn="0" w:lastColumn="0" w:oddVBand="0" w:evenVBand="0" w:oddHBand="0" w:evenHBand="0" w:firstRowFirstColumn="0" w:firstRowLastColumn="0" w:lastRowFirstColumn="0" w:lastRowLastColumn="0"/>
          <w:cantSplit/>
          <w:trHeight w:val="451"/>
          <w:jc w:val="center"/>
        </w:trPr>
        <w:tc>
          <w:tcPr>
            <w:cnfStyle w:val="001000000000" w:firstRow="0" w:lastRow="0" w:firstColumn="1" w:lastColumn="0" w:oddVBand="0" w:evenVBand="0" w:oddHBand="0" w:evenHBand="0" w:firstRowFirstColumn="0" w:firstRowLastColumn="0" w:lastRowFirstColumn="0" w:lastRowLastColumn="0"/>
            <w:tcW w:w="8941" w:type="dxa"/>
            <w:tcBorders>
              <w:top w:val="double" w:sz="4" w:space="0" w:color="4F81BD" w:themeColor="accent1"/>
              <w:bottom w:val="double" w:sz="4" w:space="0" w:color="4F81BD" w:themeColor="accent1"/>
            </w:tcBorders>
            <w:shd w:val="clear" w:color="auto" w:fill="365F91" w:themeFill="accent1" w:themeFillShade="BF"/>
            <w:vAlign w:val="center"/>
            <w:hideMark/>
          </w:tcPr>
          <w:p w14:paraId="7A4882E8" w14:textId="77777777" w:rsidR="0031783B" w:rsidRPr="005045BF" w:rsidRDefault="009A68C0" w:rsidP="00827BB1">
            <w:pPr>
              <w:widowControl w:val="0"/>
              <w:spacing w:before="80" w:after="80"/>
              <w:jc w:val="center"/>
              <w:rPr>
                <w:rFonts w:ascii="Arial" w:hAnsi="Arial" w:cs="Arial"/>
                <w:sz w:val="20"/>
                <w:szCs w:val="20"/>
              </w:rPr>
            </w:pPr>
            <w:r w:rsidRPr="005045BF">
              <w:rPr>
                <w:rFonts w:ascii="Arial" w:hAnsi="Arial" w:cs="Arial"/>
                <w:sz w:val="20"/>
                <w:szCs w:val="20"/>
              </w:rPr>
              <w:t>DIRECTIVA PRESIDENCIAL 09 DE 2018</w:t>
            </w:r>
          </w:p>
        </w:tc>
      </w:tr>
      <w:tr w:rsidR="003649E4" w:rsidRPr="005045BF" w14:paraId="3638CE73"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tcBorders>
              <w:top w:val="double" w:sz="4" w:space="0" w:color="4F81BD" w:themeColor="accent1"/>
            </w:tcBorders>
            <w:shd w:val="clear" w:color="auto" w:fill="4F81BD" w:themeFill="accent1"/>
            <w:vAlign w:val="center"/>
            <w:hideMark/>
          </w:tcPr>
          <w:p w14:paraId="1823F348" w14:textId="6D33F4EA"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hAnsi="Arial" w:cs="Arial"/>
                <w:color w:val="FFFFFF" w:themeColor="background1"/>
                <w:sz w:val="20"/>
                <w:szCs w:val="20"/>
              </w:rPr>
              <w:t xml:space="preserve">Modificación de las </w:t>
            </w:r>
            <w:r w:rsidR="00DC1B1F" w:rsidRPr="00827BB1">
              <w:rPr>
                <w:rFonts w:ascii="Arial" w:hAnsi="Arial" w:cs="Arial"/>
                <w:color w:val="FFFFFF" w:themeColor="background1"/>
                <w:sz w:val="20"/>
                <w:szCs w:val="20"/>
              </w:rPr>
              <w:t>P</w:t>
            </w:r>
            <w:r w:rsidRPr="00827BB1">
              <w:rPr>
                <w:rFonts w:ascii="Arial" w:hAnsi="Arial" w:cs="Arial"/>
                <w:color w:val="FFFFFF" w:themeColor="background1"/>
                <w:sz w:val="20"/>
                <w:szCs w:val="20"/>
              </w:rPr>
              <w:t xml:space="preserve">lantas de </w:t>
            </w:r>
            <w:r w:rsidR="00DC1B1F" w:rsidRPr="00827BB1">
              <w:rPr>
                <w:rFonts w:ascii="Arial" w:hAnsi="Arial" w:cs="Arial"/>
                <w:color w:val="FFFFFF" w:themeColor="background1"/>
                <w:sz w:val="20"/>
                <w:szCs w:val="20"/>
              </w:rPr>
              <w:t>P</w:t>
            </w:r>
            <w:r w:rsidRPr="00827BB1">
              <w:rPr>
                <w:rFonts w:ascii="Arial" w:hAnsi="Arial" w:cs="Arial"/>
                <w:color w:val="FFFFFF" w:themeColor="background1"/>
                <w:sz w:val="20"/>
                <w:szCs w:val="20"/>
              </w:rPr>
              <w:t xml:space="preserve">ersonal, </w:t>
            </w:r>
            <w:r w:rsidR="00DC1B1F" w:rsidRPr="00827BB1">
              <w:rPr>
                <w:rFonts w:ascii="Arial" w:hAnsi="Arial" w:cs="Arial"/>
                <w:color w:val="FFFFFF" w:themeColor="background1"/>
                <w:sz w:val="20"/>
                <w:szCs w:val="20"/>
              </w:rPr>
              <w:t>E</w:t>
            </w:r>
            <w:r w:rsidRPr="00827BB1">
              <w:rPr>
                <w:rFonts w:ascii="Arial" w:hAnsi="Arial" w:cs="Arial"/>
                <w:color w:val="FFFFFF" w:themeColor="background1"/>
                <w:sz w:val="20"/>
                <w:szCs w:val="20"/>
              </w:rPr>
              <w:t xml:space="preserve">structuras </w:t>
            </w:r>
            <w:r w:rsidR="00DC1B1F" w:rsidRPr="00827BB1">
              <w:rPr>
                <w:rFonts w:ascii="Arial" w:hAnsi="Arial" w:cs="Arial"/>
                <w:color w:val="FFFFFF" w:themeColor="background1"/>
                <w:sz w:val="20"/>
                <w:szCs w:val="20"/>
              </w:rPr>
              <w:t>A</w:t>
            </w:r>
            <w:r w:rsidRPr="00827BB1">
              <w:rPr>
                <w:rFonts w:ascii="Arial" w:hAnsi="Arial" w:cs="Arial"/>
                <w:color w:val="FFFFFF" w:themeColor="background1"/>
                <w:sz w:val="20"/>
                <w:szCs w:val="20"/>
              </w:rPr>
              <w:t xml:space="preserve">dministrativas y </w:t>
            </w:r>
            <w:r w:rsidR="00DC1B1F" w:rsidRPr="00827BB1">
              <w:rPr>
                <w:rFonts w:ascii="Arial" w:hAnsi="Arial" w:cs="Arial"/>
                <w:color w:val="FFFFFF" w:themeColor="background1"/>
                <w:sz w:val="20"/>
                <w:szCs w:val="20"/>
              </w:rPr>
              <w:t>G</w:t>
            </w:r>
            <w:r w:rsidRPr="00827BB1">
              <w:rPr>
                <w:rFonts w:ascii="Arial" w:hAnsi="Arial" w:cs="Arial"/>
                <w:color w:val="FFFFFF" w:themeColor="background1"/>
                <w:sz w:val="20"/>
                <w:szCs w:val="20"/>
              </w:rPr>
              <w:t xml:space="preserve">astos de </w:t>
            </w:r>
            <w:r w:rsidR="00DC1B1F" w:rsidRPr="00827BB1">
              <w:rPr>
                <w:rFonts w:ascii="Arial" w:hAnsi="Arial" w:cs="Arial"/>
                <w:color w:val="FFFFFF" w:themeColor="background1"/>
                <w:sz w:val="20"/>
                <w:szCs w:val="20"/>
              </w:rPr>
              <w:t>P</w:t>
            </w:r>
            <w:r w:rsidRPr="00827BB1">
              <w:rPr>
                <w:rFonts w:ascii="Arial" w:hAnsi="Arial" w:cs="Arial"/>
                <w:color w:val="FFFFFF" w:themeColor="background1"/>
                <w:sz w:val="20"/>
                <w:szCs w:val="20"/>
              </w:rPr>
              <w:t>ersonal</w:t>
            </w:r>
          </w:p>
        </w:tc>
      </w:tr>
      <w:tr w:rsidR="003649E4" w:rsidRPr="005045BF" w14:paraId="1E78B9C0"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3C54DB95" w14:textId="77777777" w:rsidR="0031783B" w:rsidRPr="005045BF" w:rsidRDefault="00571A39"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Planta de Personal</w:t>
            </w:r>
          </w:p>
        </w:tc>
      </w:tr>
      <w:tr w:rsidR="003649E4" w:rsidRPr="005045BF" w14:paraId="35583A4C"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noWrap/>
            <w:vAlign w:val="center"/>
            <w:hideMark/>
          </w:tcPr>
          <w:p w14:paraId="187AAD54"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Horas Extras</w:t>
            </w:r>
          </w:p>
        </w:tc>
      </w:tr>
      <w:tr w:rsidR="003649E4" w:rsidRPr="005045BF" w14:paraId="5F82B5D2"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7D4BC99E" w14:textId="77777777" w:rsidR="0031783B" w:rsidRPr="005045BF" w:rsidRDefault="0031783B" w:rsidP="00827BB1">
            <w:pPr>
              <w:widowControl w:val="0"/>
              <w:tabs>
                <w:tab w:val="left" w:pos="709"/>
              </w:tabs>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Prestación de Servicios Profesionales y de Apoyo a la Gestión</w:t>
            </w:r>
          </w:p>
        </w:tc>
      </w:tr>
      <w:tr w:rsidR="003649E4" w:rsidRPr="005045BF" w14:paraId="1A0E02D5"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noWrap/>
            <w:vAlign w:val="center"/>
            <w:hideMark/>
          </w:tcPr>
          <w:p w14:paraId="34862A35" w14:textId="463FF8D5"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hAnsi="Arial" w:cs="Arial"/>
                <w:color w:val="FFFFFF" w:themeColor="background1"/>
                <w:sz w:val="20"/>
                <w:szCs w:val="20"/>
              </w:rPr>
              <w:t xml:space="preserve">Gastos de </w:t>
            </w:r>
            <w:r w:rsidR="00DC1B1F" w:rsidRPr="00827BB1">
              <w:rPr>
                <w:rFonts w:ascii="Arial" w:hAnsi="Arial" w:cs="Arial"/>
                <w:color w:val="FFFFFF" w:themeColor="background1"/>
                <w:sz w:val="20"/>
                <w:szCs w:val="20"/>
              </w:rPr>
              <w:t>T</w:t>
            </w:r>
            <w:r w:rsidRPr="00827BB1">
              <w:rPr>
                <w:rFonts w:ascii="Arial" w:hAnsi="Arial" w:cs="Arial"/>
                <w:color w:val="FFFFFF" w:themeColor="background1"/>
                <w:sz w:val="20"/>
                <w:szCs w:val="20"/>
              </w:rPr>
              <w:t xml:space="preserve">iquetes </w:t>
            </w:r>
            <w:r w:rsidR="00DC1B1F" w:rsidRPr="00827BB1">
              <w:rPr>
                <w:rFonts w:ascii="Arial" w:hAnsi="Arial" w:cs="Arial"/>
                <w:color w:val="FFFFFF" w:themeColor="background1"/>
                <w:sz w:val="20"/>
                <w:szCs w:val="20"/>
              </w:rPr>
              <w:t>A</w:t>
            </w:r>
            <w:r w:rsidRPr="00827BB1">
              <w:rPr>
                <w:rFonts w:ascii="Arial" w:hAnsi="Arial" w:cs="Arial"/>
                <w:color w:val="FFFFFF" w:themeColor="background1"/>
                <w:sz w:val="20"/>
                <w:szCs w:val="20"/>
              </w:rPr>
              <w:t xml:space="preserve">éreos y </w:t>
            </w:r>
            <w:r w:rsidR="00DC1B1F" w:rsidRPr="00827BB1">
              <w:rPr>
                <w:rFonts w:ascii="Arial" w:hAnsi="Arial" w:cs="Arial"/>
                <w:color w:val="FFFFFF" w:themeColor="background1"/>
                <w:sz w:val="20"/>
                <w:szCs w:val="20"/>
              </w:rPr>
              <w:t>V</w:t>
            </w:r>
            <w:r w:rsidRPr="00827BB1">
              <w:rPr>
                <w:rFonts w:ascii="Arial" w:hAnsi="Arial" w:cs="Arial"/>
                <w:color w:val="FFFFFF" w:themeColor="background1"/>
                <w:sz w:val="20"/>
                <w:szCs w:val="20"/>
              </w:rPr>
              <w:t>iáticos</w:t>
            </w:r>
          </w:p>
        </w:tc>
      </w:tr>
      <w:tr w:rsidR="003649E4" w:rsidRPr="005045BF" w14:paraId="63C0E1B2"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vAlign w:val="center"/>
            <w:hideMark/>
          </w:tcPr>
          <w:p w14:paraId="268F551C" w14:textId="53A58D5A"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hAnsi="Arial" w:cs="Arial"/>
                <w:color w:val="FFFFFF" w:themeColor="background1"/>
                <w:sz w:val="20"/>
                <w:szCs w:val="20"/>
              </w:rPr>
              <w:t>Capacitaciones</w:t>
            </w:r>
          </w:p>
        </w:tc>
      </w:tr>
      <w:tr w:rsidR="003649E4" w:rsidRPr="005045BF" w14:paraId="6FFE65BD"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vAlign w:val="center"/>
            <w:hideMark/>
          </w:tcPr>
          <w:p w14:paraId="799F5149" w14:textId="48C1437B"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hAnsi="Arial" w:cs="Arial"/>
                <w:color w:val="FFFFFF" w:themeColor="background1"/>
                <w:sz w:val="20"/>
                <w:szCs w:val="20"/>
              </w:rPr>
              <w:t xml:space="preserve">Esquema de </w:t>
            </w:r>
            <w:r w:rsidR="00DC1B1F" w:rsidRPr="00827BB1">
              <w:rPr>
                <w:rFonts w:ascii="Arial" w:hAnsi="Arial" w:cs="Arial"/>
                <w:color w:val="FFFFFF" w:themeColor="background1"/>
                <w:sz w:val="20"/>
                <w:szCs w:val="20"/>
              </w:rPr>
              <w:t>S</w:t>
            </w:r>
            <w:r w:rsidRPr="00827BB1">
              <w:rPr>
                <w:rFonts w:ascii="Arial" w:hAnsi="Arial" w:cs="Arial"/>
                <w:color w:val="FFFFFF" w:themeColor="background1"/>
                <w:sz w:val="20"/>
                <w:szCs w:val="20"/>
              </w:rPr>
              <w:t xml:space="preserve">eguridad y </w:t>
            </w:r>
            <w:r w:rsidR="00DC1B1F" w:rsidRPr="00827BB1">
              <w:rPr>
                <w:rFonts w:ascii="Arial" w:hAnsi="Arial" w:cs="Arial"/>
                <w:color w:val="FFFFFF" w:themeColor="background1"/>
                <w:sz w:val="20"/>
                <w:szCs w:val="20"/>
              </w:rPr>
              <w:t>V</w:t>
            </w:r>
            <w:r w:rsidRPr="00827BB1">
              <w:rPr>
                <w:rFonts w:ascii="Arial" w:hAnsi="Arial" w:cs="Arial"/>
                <w:color w:val="FFFFFF" w:themeColor="background1"/>
                <w:sz w:val="20"/>
                <w:szCs w:val="20"/>
              </w:rPr>
              <w:t xml:space="preserve">ehículos </w:t>
            </w:r>
            <w:r w:rsidR="00DC1B1F" w:rsidRPr="00827BB1">
              <w:rPr>
                <w:rFonts w:ascii="Arial" w:hAnsi="Arial" w:cs="Arial"/>
                <w:color w:val="FFFFFF" w:themeColor="background1"/>
                <w:sz w:val="20"/>
                <w:szCs w:val="20"/>
              </w:rPr>
              <w:t>O</w:t>
            </w:r>
            <w:r w:rsidRPr="00827BB1">
              <w:rPr>
                <w:rFonts w:ascii="Arial" w:hAnsi="Arial" w:cs="Arial"/>
                <w:color w:val="FFFFFF" w:themeColor="background1"/>
                <w:sz w:val="20"/>
                <w:szCs w:val="20"/>
              </w:rPr>
              <w:t xml:space="preserve">ficiales </w:t>
            </w:r>
          </w:p>
        </w:tc>
      </w:tr>
      <w:tr w:rsidR="003649E4" w:rsidRPr="005045BF" w14:paraId="3138BA3F"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0D91E632"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Mantenimiento Parque Automotor</w:t>
            </w:r>
          </w:p>
        </w:tc>
      </w:tr>
      <w:tr w:rsidR="003649E4" w:rsidRPr="005045BF" w14:paraId="0C6D5084"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noWrap/>
            <w:vAlign w:val="center"/>
            <w:hideMark/>
          </w:tcPr>
          <w:p w14:paraId="684DD18F"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Combustibles</w:t>
            </w:r>
          </w:p>
        </w:tc>
      </w:tr>
      <w:tr w:rsidR="003649E4" w:rsidRPr="005045BF" w14:paraId="6E072D05"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58B68B34"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Garajes</w:t>
            </w:r>
          </w:p>
        </w:tc>
      </w:tr>
      <w:tr w:rsidR="003649E4" w:rsidRPr="005045BF" w14:paraId="3870F44A"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noWrap/>
            <w:vAlign w:val="center"/>
            <w:hideMark/>
          </w:tcPr>
          <w:p w14:paraId="2456FE92" w14:textId="619A5B2D" w:rsidR="0031783B" w:rsidRPr="00827BB1" w:rsidRDefault="007E3E4F" w:rsidP="00827BB1">
            <w:pPr>
              <w:widowControl w:val="0"/>
              <w:spacing w:before="80" w:after="80"/>
              <w:rPr>
                <w:rFonts w:ascii="Arial" w:hAnsi="Arial" w:cs="Arial"/>
                <w:color w:val="000000" w:themeColor="text1"/>
                <w:sz w:val="20"/>
                <w:szCs w:val="20"/>
              </w:rPr>
            </w:pPr>
            <w:r w:rsidRPr="00827BB1">
              <w:rPr>
                <w:rFonts w:ascii="Arial" w:hAnsi="Arial" w:cs="Arial"/>
                <w:color w:val="FFFFFF" w:themeColor="background1"/>
                <w:sz w:val="20"/>
                <w:szCs w:val="20"/>
              </w:rPr>
              <w:t xml:space="preserve">Ahorro en </w:t>
            </w:r>
            <w:r w:rsidR="003649E4" w:rsidRPr="00827BB1">
              <w:rPr>
                <w:rFonts w:ascii="Arial" w:hAnsi="Arial" w:cs="Arial"/>
                <w:color w:val="FFFFFF" w:themeColor="background1"/>
                <w:sz w:val="20"/>
                <w:szCs w:val="20"/>
              </w:rPr>
              <w:t xml:space="preserve">Publicidad </w:t>
            </w:r>
            <w:r w:rsidRPr="00827BB1">
              <w:rPr>
                <w:rFonts w:ascii="Arial" w:hAnsi="Arial" w:cs="Arial"/>
                <w:color w:val="FFFFFF" w:themeColor="background1"/>
                <w:sz w:val="20"/>
                <w:szCs w:val="20"/>
              </w:rPr>
              <w:t>Estatal</w:t>
            </w:r>
          </w:p>
        </w:tc>
      </w:tr>
      <w:tr w:rsidR="003649E4" w:rsidRPr="005045BF" w14:paraId="42DDDCE7"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vAlign w:val="center"/>
            <w:hideMark/>
          </w:tcPr>
          <w:p w14:paraId="60589F23" w14:textId="06C0F66F"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eastAsia="Arial" w:hAnsi="Arial" w:cs="Arial"/>
                <w:color w:val="FFFFFF" w:themeColor="background1"/>
                <w:sz w:val="20"/>
                <w:szCs w:val="20"/>
              </w:rPr>
              <w:t xml:space="preserve">Papelería y </w:t>
            </w:r>
            <w:r w:rsidR="00DC1B1F" w:rsidRPr="00827BB1">
              <w:rPr>
                <w:rFonts w:ascii="Arial" w:eastAsia="Arial" w:hAnsi="Arial" w:cs="Arial"/>
                <w:color w:val="FFFFFF" w:themeColor="background1"/>
                <w:sz w:val="20"/>
                <w:szCs w:val="20"/>
              </w:rPr>
              <w:t>T</w:t>
            </w:r>
            <w:r w:rsidRPr="00827BB1">
              <w:rPr>
                <w:rFonts w:ascii="Arial" w:eastAsia="Arial" w:hAnsi="Arial" w:cs="Arial"/>
                <w:color w:val="FFFFFF" w:themeColor="background1"/>
                <w:sz w:val="20"/>
                <w:szCs w:val="20"/>
              </w:rPr>
              <w:t>elefonía</w:t>
            </w:r>
          </w:p>
        </w:tc>
      </w:tr>
      <w:tr w:rsidR="003649E4" w:rsidRPr="005045BF" w14:paraId="77033765"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noWrap/>
            <w:vAlign w:val="center"/>
            <w:hideMark/>
          </w:tcPr>
          <w:p w14:paraId="547065EE" w14:textId="4D8C888A" w:rsidR="0031783B" w:rsidRPr="005045BF" w:rsidRDefault="00F02B89"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Consumo de Papel</w:t>
            </w:r>
            <w:r w:rsidR="0031783B" w:rsidRPr="005045BF">
              <w:rPr>
                <w:rFonts w:ascii="Arial" w:hAnsi="Arial" w:cs="Arial"/>
                <w:b w:val="0"/>
                <w:color w:val="0F243E" w:themeColor="text2" w:themeShade="80"/>
                <w:sz w:val="20"/>
                <w:szCs w:val="20"/>
              </w:rPr>
              <w:t xml:space="preserve"> </w:t>
            </w:r>
          </w:p>
        </w:tc>
      </w:tr>
      <w:tr w:rsidR="003649E4" w:rsidRPr="005045BF" w14:paraId="7AD9D46B"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51711906"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Papelería, Útiles de escritorio y Oficina</w:t>
            </w:r>
          </w:p>
        </w:tc>
      </w:tr>
      <w:tr w:rsidR="003649E4" w:rsidRPr="005045BF" w14:paraId="32A92FD3"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noWrap/>
            <w:vAlign w:val="center"/>
            <w:hideMark/>
          </w:tcPr>
          <w:p w14:paraId="11B6F387"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eastAsia="Symbol" w:hAnsi="Arial" w:cs="Arial"/>
                <w:b w:val="0"/>
                <w:color w:val="0F243E" w:themeColor="text2" w:themeShade="80"/>
                <w:sz w:val="20"/>
                <w:szCs w:val="20"/>
              </w:rPr>
              <w:t xml:space="preserve">Teléfono Móvil Celular </w:t>
            </w:r>
          </w:p>
        </w:tc>
      </w:tr>
      <w:tr w:rsidR="003649E4" w:rsidRPr="005045BF" w14:paraId="5386539C"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1F9C8AD2"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 xml:space="preserve">Teléfonos, Fax y Otros </w:t>
            </w:r>
          </w:p>
        </w:tc>
      </w:tr>
      <w:tr w:rsidR="003649E4" w:rsidRPr="005045BF" w14:paraId="0461933D"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noWrap/>
            <w:vAlign w:val="center"/>
            <w:hideMark/>
          </w:tcPr>
          <w:p w14:paraId="63425FC9" w14:textId="3A32960E"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eastAsia="Arial" w:hAnsi="Arial" w:cs="Arial"/>
                <w:color w:val="FFFFFF" w:themeColor="background1"/>
                <w:sz w:val="20"/>
                <w:szCs w:val="20"/>
              </w:rPr>
              <w:t xml:space="preserve">Suscripciones a </w:t>
            </w:r>
            <w:r w:rsidR="00DC1B1F" w:rsidRPr="00827BB1">
              <w:rPr>
                <w:rFonts w:ascii="Arial" w:eastAsia="Arial" w:hAnsi="Arial" w:cs="Arial"/>
                <w:color w:val="FFFFFF" w:themeColor="background1"/>
                <w:sz w:val="20"/>
                <w:szCs w:val="20"/>
              </w:rPr>
              <w:t>P</w:t>
            </w:r>
            <w:r w:rsidRPr="00827BB1">
              <w:rPr>
                <w:rFonts w:ascii="Arial" w:eastAsia="Arial" w:hAnsi="Arial" w:cs="Arial"/>
                <w:color w:val="FFFFFF" w:themeColor="background1"/>
                <w:sz w:val="20"/>
                <w:szCs w:val="20"/>
              </w:rPr>
              <w:t xml:space="preserve">eriódicos y </w:t>
            </w:r>
            <w:r w:rsidR="00DC1B1F" w:rsidRPr="00827BB1">
              <w:rPr>
                <w:rFonts w:ascii="Arial" w:eastAsia="Arial" w:hAnsi="Arial" w:cs="Arial"/>
                <w:color w:val="FFFFFF" w:themeColor="background1"/>
                <w:sz w:val="20"/>
                <w:szCs w:val="20"/>
              </w:rPr>
              <w:t>R</w:t>
            </w:r>
            <w:r w:rsidRPr="00827BB1">
              <w:rPr>
                <w:rFonts w:ascii="Arial" w:eastAsia="Arial" w:hAnsi="Arial" w:cs="Arial"/>
                <w:color w:val="FFFFFF" w:themeColor="background1"/>
                <w:sz w:val="20"/>
                <w:szCs w:val="20"/>
              </w:rPr>
              <w:t xml:space="preserve">evistas, </w:t>
            </w:r>
            <w:r w:rsidR="00DC1B1F" w:rsidRPr="00827BB1">
              <w:rPr>
                <w:rFonts w:ascii="Arial" w:eastAsia="Arial" w:hAnsi="Arial" w:cs="Arial"/>
                <w:color w:val="FFFFFF" w:themeColor="background1"/>
                <w:sz w:val="20"/>
                <w:szCs w:val="20"/>
              </w:rPr>
              <w:t>P</w:t>
            </w:r>
            <w:r w:rsidRPr="00827BB1">
              <w:rPr>
                <w:rFonts w:ascii="Arial" w:eastAsia="Arial" w:hAnsi="Arial" w:cs="Arial"/>
                <w:color w:val="FFFFFF" w:themeColor="background1"/>
                <w:sz w:val="20"/>
                <w:szCs w:val="20"/>
              </w:rPr>
              <w:t xml:space="preserve">ublicaciones y </w:t>
            </w:r>
            <w:r w:rsidR="00DC1B1F" w:rsidRPr="00827BB1">
              <w:rPr>
                <w:rFonts w:ascii="Arial" w:eastAsia="Arial" w:hAnsi="Arial" w:cs="Arial"/>
                <w:color w:val="FFFFFF" w:themeColor="background1"/>
                <w:sz w:val="20"/>
                <w:szCs w:val="20"/>
              </w:rPr>
              <w:t>B</w:t>
            </w:r>
            <w:r w:rsidRPr="00827BB1">
              <w:rPr>
                <w:rFonts w:ascii="Arial" w:eastAsia="Arial" w:hAnsi="Arial" w:cs="Arial"/>
                <w:color w:val="FFFFFF" w:themeColor="background1"/>
                <w:sz w:val="20"/>
                <w:szCs w:val="20"/>
              </w:rPr>
              <w:t xml:space="preserve">ases de </w:t>
            </w:r>
            <w:r w:rsidR="00DC1B1F" w:rsidRPr="00827BB1">
              <w:rPr>
                <w:rFonts w:ascii="Arial" w:eastAsia="Arial" w:hAnsi="Arial" w:cs="Arial"/>
                <w:color w:val="FFFFFF" w:themeColor="background1"/>
                <w:sz w:val="20"/>
                <w:szCs w:val="20"/>
              </w:rPr>
              <w:t>D</w:t>
            </w:r>
            <w:r w:rsidRPr="00827BB1">
              <w:rPr>
                <w:rFonts w:ascii="Arial" w:eastAsia="Arial" w:hAnsi="Arial" w:cs="Arial"/>
                <w:color w:val="FFFFFF" w:themeColor="background1"/>
                <w:sz w:val="20"/>
                <w:szCs w:val="20"/>
              </w:rPr>
              <w:t>atos</w:t>
            </w:r>
          </w:p>
        </w:tc>
      </w:tr>
      <w:tr w:rsidR="007E3E4F" w:rsidRPr="005045BF" w14:paraId="5CD772B0"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noWrap/>
            <w:vAlign w:val="center"/>
          </w:tcPr>
          <w:p w14:paraId="19C605C1" w14:textId="6C8B3C7F" w:rsidR="007E3E4F" w:rsidRPr="00827BB1" w:rsidRDefault="007E3E4F" w:rsidP="00827BB1">
            <w:pPr>
              <w:widowControl w:val="0"/>
              <w:spacing w:before="80" w:after="80"/>
              <w:rPr>
                <w:rFonts w:ascii="Arial" w:eastAsia="Arial" w:hAnsi="Arial" w:cs="Arial"/>
                <w:color w:val="FFFFFF" w:themeColor="background1"/>
                <w:sz w:val="20"/>
                <w:szCs w:val="20"/>
              </w:rPr>
            </w:pPr>
            <w:r w:rsidRPr="00827BB1">
              <w:rPr>
                <w:rFonts w:ascii="Arial" w:eastAsia="Arial" w:hAnsi="Arial" w:cs="Arial"/>
                <w:color w:val="FFFFFF" w:themeColor="background1"/>
                <w:sz w:val="20"/>
                <w:szCs w:val="20"/>
              </w:rPr>
              <w:t xml:space="preserve">Austeridad en Eventos </w:t>
            </w:r>
            <w:r w:rsidR="006E3844" w:rsidRPr="00827BB1">
              <w:rPr>
                <w:rFonts w:ascii="Arial" w:eastAsia="Arial" w:hAnsi="Arial" w:cs="Arial"/>
                <w:color w:val="FFFFFF" w:themeColor="background1"/>
                <w:sz w:val="20"/>
                <w:szCs w:val="20"/>
              </w:rPr>
              <w:t>y Regalos Corporativos</w:t>
            </w:r>
          </w:p>
        </w:tc>
      </w:tr>
      <w:tr w:rsidR="003649E4" w:rsidRPr="005045BF" w14:paraId="59C5467E"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4F81BD" w:themeFill="accent1"/>
            <w:noWrap/>
            <w:vAlign w:val="center"/>
            <w:hideMark/>
          </w:tcPr>
          <w:p w14:paraId="2E5A503F" w14:textId="0CBE67E7" w:rsidR="0031783B" w:rsidRPr="00827BB1" w:rsidRDefault="003649E4" w:rsidP="00827BB1">
            <w:pPr>
              <w:widowControl w:val="0"/>
              <w:spacing w:before="80" w:after="80"/>
              <w:rPr>
                <w:rFonts w:ascii="Arial" w:hAnsi="Arial" w:cs="Arial"/>
                <w:color w:val="FFFFFF" w:themeColor="background1"/>
                <w:sz w:val="20"/>
                <w:szCs w:val="20"/>
              </w:rPr>
            </w:pPr>
            <w:r w:rsidRPr="00827BB1">
              <w:rPr>
                <w:rFonts w:ascii="Arial" w:eastAsia="Arial" w:hAnsi="Arial" w:cs="Arial"/>
                <w:color w:val="FFFFFF" w:themeColor="background1"/>
                <w:sz w:val="20"/>
                <w:szCs w:val="20"/>
              </w:rPr>
              <w:t xml:space="preserve">Sostenibilidad </w:t>
            </w:r>
            <w:r w:rsidR="00DC1B1F" w:rsidRPr="00827BB1">
              <w:rPr>
                <w:rFonts w:ascii="Arial" w:eastAsia="Arial" w:hAnsi="Arial" w:cs="Arial"/>
                <w:color w:val="FFFFFF" w:themeColor="background1"/>
                <w:sz w:val="20"/>
                <w:szCs w:val="20"/>
              </w:rPr>
              <w:t>A</w:t>
            </w:r>
            <w:r w:rsidRPr="00827BB1">
              <w:rPr>
                <w:rFonts w:ascii="Arial" w:eastAsia="Arial" w:hAnsi="Arial" w:cs="Arial"/>
                <w:color w:val="FFFFFF" w:themeColor="background1"/>
                <w:sz w:val="20"/>
                <w:szCs w:val="20"/>
              </w:rPr>
              <w:t xml:space="preserve">mbiental </w:t>
            </w:r>
          </w:p>
        </w:tc>
      </w:tr>
      <w:tr w:rsidR="003649E4" w:rsidRPr="005045BF" w14:paraId="0A466C70" w14:textId="77777777" w:rsidTr="00561CB0">
        <w:trPr>
          <w:cantSplit/>
          <w:jc w:val="center"/>
        </w:trPr>
        <w:tc>
          <w:tcPr>
            <w:cnfStyle w:val="001000000000" w:firstRow="0" w:lastRow="0" w:firstColumn="1" w:lastColumn="0" w:oddVBand="0" w:evenVBand="0" w:oddHBand="0" w:evenHBand="0" w:firstRowFirstColumn="0" w:firstRowLastColumn="0" w:lastRowFirstColumn="0" w:lastRowLastColumn="0"/>
            <w:tcW w:w="8941" w:type="dxa"/>
            <w:shd w:val="clear" w:color="auto" w:fill="DBE5F1" w:themeFill="accent1" w:themeFillTint="33"/>
            <w:noWrap/>
            <w:vAlign w:val="center"/>
            <w:hideMark/>
          </w:tcPr>
          <w:p w14:paraId="002E462A" w14:textId="77777777" w:rsidR="0031783B" w:rsidRPr="005045BF" w:rsidRDefault="0031783B" w:rsidP="00827BB1">
            <w:pPr>
              <w:widowControl w:val="0"/>
              <w:tabs>
                <w:tab w:val="left" w:pos="300"/>
              </w:tabs>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Energía</w:t>
            </w:r>
          </w:p>
        </w:tc>
      </w:tr>
      <w:tr w:rsidR="003649E4" w:rsidRPr="005045BF" w14:paraId="78911F4B" w14:textId="77777777" w:rsidTr="00561CB0">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8941" w:type="dxa"/>
            <w:noWrap/>
            <w:vAlign w:val="center"/>
            <w:hideMark/>
          </w:tcPr>
          <w:p w14:paraId="4ABABA7D" w14:textId="77777777" w:rsidR="0031783B" w:rsidRPr="005045BF" w:rsidRDefault="0031783B" w:rsidP="00827BB1">
            <w:pPr>
              <w:widowControl w:val="0"/>
              <w:spacing w:before="80" w:after="80"/>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Acueducto y Alcantarillado</w:t>
            </w:r>
          </w:p>
        </w:tc>
      </w:tr>
    </w:tbl>
    <w:p w14:paraId="76E0B572" w14:textId="77777777" w:rsidR="001E1371" w:rsidRPr="005045BF" w:rsidRDefault="001E1371" w:rsidP="0045629B">
      <w:pPr>
        <w:pStyle w:val="Default"/>
        <w:numPr>
          <w:ilvl w:val="0"/>
          <w:numId w:val="8"/>
        </w:numPr>
        <w:ind w:left="284" w:hanging="284"/>
        <w:jc w:val="both"/>
        <w:rPr>
          <w:b/>
          <w:sz w:val="22"/>
          <w:szCs w:val="22"/>
        </w:rPr>
      </w:pPr>
      <w:r w:rsidRPr="005045BF">
        <w:rPr>
          <w:b/>
          <w:sz w:val="22"/>
          <w:szCs w:val="22"/>
        </w:rPr>
        <w:lastRenderedPageBreak/>
        <w:t xml:space="preserve">MODIFICACIÓN DE LAS PLANTAS DE PERSONAL, ESTRUCTURAS ADMINISTRATIVAS Y GASTOS DE PERSONAL </w:t>
      </w:r>
    </w:p>
    <w:p w14:paraId="259DBDBE" w14:textId="77777777" w:rsidR="001E1371" w:rsidRPr="005045BF" w:rsidRDefault="001E1371" w:rsidP="001F3898">
      <w:pPr>
        <w:pStyle w:val="Default"/>
        <w:jc w:val="both"/>
        <w:rPr>
          <w:sz w:val="22"/>
          <w:szCs w:val="22"/>
          <w:highlight w:val="yellow"/>
        </w:rPr>
      </w:pPr>
    </w:p>
    <w:p w14:paraId="2F84E815" w14:textId="3307218F" w:rsidR="001F3898" w:rsidRPr="005045BF" w:rsidRDefault="00570DD1" w:rsidP="004505FF">
      <w:pPr>
        <w:pStyle w:val="Default"/>
        <w:jc w:val="both"/>
        <w:rPr>
          <w:color w:val="000000" w:themeColor="text1"/>
          <w:sz w:val="22"/>
          <w:szCs w:val="22"/>
        </w:rPr>
      </w:pPr>
      <w:r w:rsidRPr="009F0FD5">
        <w:rPr>
          <w:color w:val="000000" w:themeColor="text1"/>
          <w:sz w:val="22"/>
          <w:szCs w:val="22"/>
        </w:rPr>
        <w:t xml:space="preserve">Teniendo en cuenta, las directrices expuestas en la Directiva Presidencial 009 de 2018 en lo referente al numeral 1: </w:t>
      </w:r>
      <w:r w:rsidRPr="009F0FD5">
        <w:rPr>
          <w:i/>
          <w:color w:val="000000" w:themeColor="text1"/>
          <w:sz w:val="22"/>
          <w:szCs w:val="22"/>
        </w:rPr>
        <w:t>Modificación de las plantas de personal, estructuras administrativas y gastos de personal</w:t>
      </w:r>
      <w:r w:rsidRPr="009F0FD5">
        <w:rPr>
          <w:color w:val="000000" w:themeColor="text1"/>
          <w:sz w:val="22"/>
          <w:szCs w:val="22"/>
        </w:rPr>
        <w:t>, e</w:t>
      </w:r>
      <w:r w:rsidR="001E1371" w:rsidRPr="009F0FD5">
        <w:rPr>
          <w:color w:val="000000" w:themeColor="text1"/>
          <w:sz w:val="22"/>
          <w:szCs w:val="22"/>
        </w:rPr>
        <w:t xml:space="preserve">n este punto, se analizaron las variaciones de los </w:t>
      </w:r>
      <w:r w:rsidR="001F3898" w:rsidRPr="009F0FD5">
        <w:rPr>
          <w:color w:val="000000" w:themeColor="text1"/>
          <w:sz w:val="22"/>
          <w:szCs w:val="22"/>
        </w:rPr>
        <w:t>conceptos de gastos de nómina</w:t>
      </w:r>
      <w:r w:rsidR="004D4BCF" w:rsidRPr="009F0FD5">
        <w:rPr>
          <w:color w:val="000000" w:themeColor="text1"/>
          <w:sz w:val="22"/>
          <w:szCs w:val="22"/>
        </w:rPr>
        <w:t xml:space="preserve"> y</w:t>
      </w:r>
      <w:r w:rsidR="001F3898" w:rsidRPr="009F0FD5">
        <w:rPr>
          <w:color w:val="000000" w:themeColor="text1"/>
          <w:sz w:val="22"/>
          <w:szCs w:val="22"/>
        </w:rPr>
        <w:t xml:space="preserve"> horas </w:t>
      </w:r>
      <w:r w:rsidR="002B20CE" w:rsidRPr="009F0FD5">
        <w:rPr>
          <w:color w:val="000000" w:themeColor="text1"/>
          <w:sz w:val="22"/>
          <w:szCs w:val="22"/>
        </w:rPr>
        <w:t>extras</w:t>
      </w:r>
      <w:r w:rsidR="00B94CF4" w:rsidRPr="009F0FD5">
        <w:rPr>
          <w:color w:val="000000" w:themeColor="text1"/>
          <w:sz w:val="22"/>
          <w:szCs w:val="22"/>
        </w:rPr>
        <w:t>,</w:t>
      </w:r>
      <w:r w:rsidR="002B20CE" w:rsidRPr="009F0FD5">
        <w:rPr>
          <w:color w:val="000000" w:themeColor="text1"/>
          <w:sz w:val="22"/>
          <w:szCs w:val="22"/>
        </w:rPr>
        <w:t xml:space="preserve"> tomando como fuente de i</w:t>
      </w:r>
      <w:r w:rsidR="001F3898" w:rsidRPr="009F0FD5">
        <w:rPr>
          <w:color w:val="000000" w:themeColor="text1"/>
          <w:sz w:val="22"/>
          <w:szCs w:val="22"/>
        </w:rPr>
        <w:t xml:space="preserve">nformación </w:t>
      </w:r>
      <w:r w:rsidR="002B20CE" w:rsidRPr="009F0FD5">
        <w:rPr>
          <w:color w:val="000000" w:themeColor="text1"/>
          <w:sz w:val="22"/>
          <w:szCs w:val="22"/>
        </w:rPr>
        <w:t>lo reportado p</w:t>
      </w:r>
      <w:r w:rsidR="001F3898" w:rsidRPr="009F0FD5">
        <w:rPr>
          <w:color w:val="000000" w:themeColor="text1"/>
          <w:sz w:val="22"/>
          <w:szCs w:val="22"/>
        </w:rPr>
        <w:t xml:space="preserve">or </w:t>
      </w:r>
      <w:r w:rsidR="00212575" w:rsidRPr="009F0FD5">
        <w:rPr>
          <w:color w:val="000000" w:themeColor="text1"/>
          <w:sz w:val="22"/>
          <w:szCs w:val="22"/>
        </w:rPr>
        <w:t>las áreas</w:t>
      </w:r>
      <w:r w:rsidR="00B94CF4" w:rsidRPr="009F0FD5">
        <w:rPr>
          <w:color w:val="000000" w:themeColor="text1"/>
          <w:sz w:val="22"/>
          <w:szCs w:val="22"/>
        </w:rPr>
        <w:t xml:space="preserve"> pertenecientes a </w:t>
      </w:r>
      <w:r w:rsidR="00DE1189" w:rsidRPr="009F0FD5">
        <w:rPr>
          <w:color w:val="000000" w:themeColor="text1"/>
          <w:sz w:val="22"/>
          <w:szCs w:val="22"/>
        </w:rPr>
        <w:t>la Subdirección de Gestión del</w:t>
      </w:r>
      <w:r w:rsidR="00212575" w:rsidRPr="009F0FD5">
        <w:rPr>
          <w:color w:val="000000" w:themeColor="text1"/>
          <w:sz w:val="22"/>
          <w:szCs w:val="22"/>
        </w:rPr>
        <w:t xml:space="preserve"> </w:t>
      </w:r>
      <w:r w:rsidR="00083DD7" w:rsidRPr="009F0FD5">
        <w:rPr>
          <w:color w:val="000000" w:themeColor="text1"/>
          <w:sz w:val="22"/>
          <w:szCs w:val="22"/>
        </w:rPr>
        <w:t>Talento Humano</w:t>
      </w:r>
      <w:r w:rsidR="00ED3BB9" w:rsidRPr="009F0FD5">
        <w:rPr>
          <w:color w:val="000000" w:themeColor="text1"/>
          <w:sz w:val="22"/>
          <w:szCs w:val="22"/>
        </w:rPr>
        <w:t xml:space="preserve">, así </w:t>
      </w:r>
      <w:r w:rsidR="00302121" w:rsidRPr="009F0FD5">
        <w:rPr>
          <w:color w:val="000000" w:themeColor="text1"/>
          <w:sz w:val="22"/>
          <w:szCs w:val="22"/>
        </w:rPr>
        <w:t>mismo</w:t>
      </w:r>
      <w:r w:rsidR="00ED3BB9" w:rsidRPr="009F0FD5">
        <w:rPr>
          <w:color w:val="000000" w:themeColor="text1"/>
          <w:sz w:val="22"/>
          <w:szCs w:val="22"/>
        </w:rPr>
        <w:t xml:space="preserve">, </w:t>
      </w:r>
      <w:r w:rsidR="00302121" w:rsidRPr="009F0FD5">
        <w:rPr>
          <w:color w:val="000000" w:themeColor="text1"/>
          <w:sz w:val="22"/>
          <w:szCs w:val="22"/>
        </w:rPr>
        <w:t>se verificó l</w:t>
      </w:r>
      <w:r w:rsidR="00ED3BB9" w:rsidRPr="009F0FD5">
        <w:rPr>
          <w:color w:val="000000" w:themeColor="text1"/>
          <w:sz w:val="22"/>
          <w:szCs w:val="22"/>
        </w:rPr>
        <w:t>os conceptos relacionados con la contratación</w:t>
      </w:r>
      <w:r w:rsidR="00D9547F" w:rsidRPr="009F0FD5">
        <w:rPr>
          <w:color w:val="000000" w:themeColor="text1"/>
          <w:sz w:val="22"/>
          <w:szCs w:val="22"/>
        </w:rPr>
        <w:t xml:space="preserve"> </w:t>
      </w:r>
      <w:r w:rsidR="00ED3BB9" w:rsidRPr="009F0FD5">
        <w:rPr>
          <w:color w:val="000000" w:themeColor="text1"/>
          <w:sz w:val="22"/>
          <w:szCs w:val="22"/>
        </w:rPr>
        <w:t xml:space="preserve">de personal para la prestación de servicios profesionales </w:t>
      </w:r>
      <w:r w:rsidR="00212575" w:rsidRPr="009F0FD5">
        <w:rPr>
          <w:color w:val="000000" w:themeColor="text1"/>
          <w:sz w:val="22"/>
          <w:szCs w:val="22"/>
        </w:rPr>
        <w:t>sumini</w:t>
      </w:r>
      <w:r w:rsidR="00D9547F" w:rsidRPr="009F0FD5">
        <w:rPr>
          <w:color w:val="000000" w:themeColor="text1"/>
          <w:sz w:val="22"/>
          <w:szCs w:val="22"/>
        </w:rPr>
        <w:t>strada por el Grupo de Contratación Directa</w:t>
      </w:r>
      <w:r w:rsidR="00B94CF4" w:rsidRPr="009F0FD5">
        <w:rPr>
          <w:color w:val="000000" w:themeColor="text1"/>
          <w:sz w:val="22"/>
          <w:szCs w:val="22"/>
        </w:rPr>
        <w:t xml:space="preserve"> </w:t>
      </w:r>
      <w:r w:rsidR="00212575" w:rsidRPr="009F0FD5">
        <w:rPr>
          <w:color w:val="000000" w:themeColor="text1"/>
          <w:sz w:val="22"/>
          <w:szCs w:val="22"/>
        </w:rPr>
        <w:t>de este Ministerio</w:t>
      </w:r>
      <w:r w:rsidR="00BE40DA" w:rsidRPr="009F0FD5">
        <w:rPr>
          <w:color w:val="000000" w:themeColor="text1"/>
          <w:sz w:val="22"/>
          <w:szCs w:val="22"/>
        </w:rPr>
        <w:t xml:space="preserve">, a su vez, </w:t>
      </w:r>
      <w:r w:rsidR="00212575" w:rsidRPr="009F0FD5">
        <w:rPr>
          <w:color w:val="000000" w:themeColor="text1"/>
          <w:sz w:val="22"/>
          <w:szCs w:val="22"/>
        </w:rPr>
        <w:t>se consultó la información registrada</w:t>
      </w:r>
      <w:r w:rsidR="001F3898" w:rsidRPr="009F0FD5">
        <w:rPr>
          <w:color w:val="000000" w:themeColor="text1"/>
          <w:sz w:val="22"/>
          <w:szCs w:val="22"/>
        </w:rPr>
        <w:t xml:space="preserve"> en el SIIF en lo concerniente a las o</w:t>
      </w:r>
      <w:r w:rsidR="00212575" w:rsidRPr="009F0FD5">
        <w:rPr>
          <w:color w:val="000000" w:themeColor="text1"/>
          <w:sz w:val="22"/>
          <w:szCs w:val="22"/>
        </w:rPr>
        <w:t>bligaciones de dichos conceptos</w:t>
      </w:r>
      <w:r w:rsidR="00212575" w:rsidRPr="005045BF">
        <w:rPr>
          <w:color w:val="000000" w:themeColor="text1"/>
          <w:sz w:val="22"/>
          <w:szCs w:val="22"/>
        </w:rPr>
        <w:t xml:space="preserve">. </w:t>
      </w:r>
    </w:p>
    <w:p w14:paraId="40D99732" w14:textId="1F985EAC" w:rsidR="005E31DC" w:rsidRPr="005045BF" w:rsidRDefault="005E31DC" w:rsidP="004505FF">
      <w:pPr>
        <w:pStyle w:val="Default"/>
        <w:jc w:val="both"/>
        <w:rPr>
          <w:color w:val="000000" w:themeColor="text1"/>
          <w:sz w:val="22"/>
          <w:szCs w:val="22"/>
          <w:highlight w:val="yellow"/>
        </w:rPr>
      </w:pPr>
    </w:p>
    <w:p w14:paraId="3374A55B" w14:textId="77777777" w:rsidR="00767F01" w:rsidRPr="005045BF" w:rsidRDefault="00767F01" w:rsidP="004505FF">
      <w:pPr>
        <w:pStyle w:val="Default"/>
        <w:jc w:val="both"/>
        <w:rPr>
          <w:color w:val="000000" w:themeColor="text1"/>
          <w:sz w:val="22"/>
          <w:szCs w:val="22"/>
          <w:highlight w:val="yellow"/>
        </w:rPr>
      </w:pPr>
    </w:p>
    <w:p w14:paraId="18C8411A" w14:textId="5BFE5720" w:rsidR="00571A39" w:rsidRPr="005045BF" w:rsidRDefault="00571A39" w:rsidP="002C7841">
      <w:pPr>
        <w:rPr>
          <w:rFonts w:ascii="Arial" w:hAnsi="Arial" w:cs="Arial"/>
          <w:b/>
          <w:color w:val="000000" w:themeColor="text1"/>
          <w:sz w:val="22"/>
          <w:szCs w:val="22"/>
        </w:rPr>
      </w:pPr>
      <w:r w:rsidRPr="005045BF">
        <w:rPr>
          <w:rFonts w:ascii="Arial" w:hAnsi="Arial" w:cs="Arial"/>
          <w:b/>
          <w:color w:val="000000" w:themeColor="text1"/>
          <w:sz w:val="22"/>
          <w:szCs w:val="22"/>
        </w:rPr>
        <w:t xml:space="preserve">2.1. </w:t>
      </w:r>
      <w:r w:rsidR="003F3B7E" w:rsidRPr="005045BF">
        <w:rPr>
          <w:rFonts w:ascii="Arial" w:hAnsi="Arial" w:cs="Arial"/>
          <w:b/>
          <w:color w:val="000000" w:themeColor="text1"/>
          <w:sz w:val="22"/>
          <w:szCs w:val="22"/>
        </w:rPr>
        <w:t>PLANTA DE PERSONAL</w:t>
      </w:r>
    </w:p>
    <w:p w14:paraId="55764342" w14:textId="77777777" w:rsidR="002C7841" w:rsidRPr="005045BF" w:rsidRDefault="002C7841" w:rsidP="002C7841">
      <w:pPr>
        <w:rPr>
          <w:rFonts w:ascii="Arial" w:hAnsi="Arial" w:cs="Arial"/>
          <w:b/>
          <w:color w:val="000000" w:themeColor="text1"/>
          <w:sz w:val="22"/>
          <w:szCs w:val="22"/>
          <w:highlight w:val="yellow"/>
        </w:rPr>
      </w:pPr>
    </w:p>
    <w:p w14:paraId="34FF1963" w14:textId="77777777" w:rsidR="008852B6" w:rsidRPr="009F0FD5" w:rsidRDefault="00065B73" w:rsidP="002C7841">
      <w:pPr>
        <w:jc w:val="both"/>
        <w:rPr>
          <w:rFonts w:ascii="Arial" w:hAnsi="Arial" w:cs="Arial"/>
          <w:color w:val="000000" w:themeColor="text1"/>
          <w:sz w:val="22"/>
          <w:szCs w:val="22"/>
        </w:rPr>
      </w:pPr>
      <w:r w:rsidRPr="009F0FD5">
        <w:rPr>
          <w:rFonts w:ascii="Arial" w:hAnsi="Arial" w:cs="Arial"/>
          <w:color w:val="000000" w:themeColor="text1"/>
          <w:sz w:val="22"/>
          <w:szCs w:val="22"/>
        </w:rPr>
        <w:t xml:space="preserve">Según </w:t>
      </w:r>
      <w:r w:rsidR="008852B6" w:rsidRPr="009F0FD5">
        <w:rPr>
          <w:rFonts w:ascii="Arial" w:hAnsi="Arial" w:cs="Arial"/>
          <w:color w:val="000000" w:themeColor="text1"/>
          <w:sz w:val="22"/>
          <w:szCs w:val="22"/>
        </w:rPr>
        <w:t xml:space="preserve">lo </w:t>
      </w:r>
      <w:r w:rsidR="006678FB" w:rsidRPr="009F0FD5">
        <w:rPr>
          <w:rFonts w:ascii="Arial" w:hAnsi="Arial" w:cs="Arial"/>
          <w:color w:val="000000" w:themeColor="text1"/>
          <w:sz w:val="22"/>
          <w:szCs w:val="22"/>
        </w:rPr>
        <w:t xml:space="preserve">establecido </w:t>
      </w:r>
      <w:r w:rsidR="008852B6" w:rsidRPr="009F0FD5">
        <w:rPr>
          <w:rFonts w:ascii="Arial" w:hAnsi="Arial" w:cs="Arial"/>
          <w:color w:val="000000" w:themeColor="text1"/>
          <w:sz w:val="22"/>
          <w:szCs w:val="22"/>
        </w:rPr>
        <w:t>en el numeral</w:t>
      </w:r>
      <w:r w:rsidR="00B60258" w:rsidRPr="009F0FD5">
        <w:rPr>
          <w:rFonts w:ascii="Arial" w:hAnsi="Arial" w:cs="Arial"/>
          <w:color w:val="000000" w:themeColor="text1"/>
          <w:sz w:val="22"/>
          <w:szCs w:val="22"/>
        </w:rPr>
        <w:t xml:space="preserve"> 1 </w:t>
      </w:r>
      <w:r w:rsidR="008852B6" w:rsidRPr="009F0FD5">
        <w:rPr>
          <w:rFonts w:ascii="Arial" w:hAnsi="Arial" w:cs="Arial"/>
          <w:color w:val="000000" w:themeColor="text1"/>
          <w:sz w:val="22"/>
          <w:szCs w:val="22"/>
        </w:rPr>
        <w:t>[</w:t>
      </w:r>
      <w:r w:rsidRPr="009F0FD5">
        <w:rPr>
          <w:rFonts w:ascii="Arial" w:hAnsi="Arial" w:cs="Arial"/>
          <w:color w:val="000000" w:themeColor="text1"/>
          <w:sz w:val="22"/>
          <w:szCs w:val="22"/>
        </w:rPr>
        <w:t>subnumeral 1.1</w:t>
      </w:r>
      <w:r w:rsidR="008852B6" w:rsidRPr="009F0FD5">
        <w:rPr>
          <w:rFonts w:ascii="Arial" w:hAnsi="Arial" w:cs="Arial"/>
          <w:color w:val="000000" w:themeColor="text1"/>
          <w:sz w:val="22"/>
          <w:szCs w:val="22"/>
        </w:rPr>
        <w:t>] de la Directiva Presidencial 09 de 2018, «Las plantas de personal y las estructuras administrativas de las entidades de la rama ejecutiva del orden nacional, solamente se podrán modificar cuando dicha reforma sea a costo cero o se generen ahorros en los gastos de funcionamiento de la entidad».</w:t>
      </w:r>
      <w:r w:rsidRPr="009F0FD5">
        <w:rPr>
          <w:rFonts w:ascii="Arial" w:hAnsi="Arial" w:cs="Arial"/>
          <w:color w:val="000000" w:themeColor="text1"/>
          <w:sz w:val="22"/>
          <w:szCs w:val="22"/>
        </w:rPr>
        <w:t xml:space="preserve"> Por lo anterior, con base en la información reportada por la Subdirección de Gesti</w:t>
      </w:r>
      <w:r w:rsidR="00DD1F61" w:rsidRPr="009F0FD5">
        <w:rPr>
          <w:rFonts w:ascii="Arial" w:hAnsi="Arial" w:cs="Arial"/>
          <w:color w:val="000000" w:themeColor="text1"/>
          <w:sz w:val="22"/>
          <w:szCs w:val="22"/>
        </w:rPr>
        <w:t>ón del Talento</w:t>
      </w:r>
      <w:r w:rsidR="006678FB" w:rsidRPr="009F0FD5">
        <w:rPr>
          <w:rFonts w:ascii="Arial" w:hAnsi="Arial" w:cs="Arial"/>
          <w:color w:val="000000" w:themeColor="text1"/>
          <w:sz w:val="22"/>
          <w:szCs w:val="22"/>
        </w:rPr>
        <w:t xml:space="preserve"> Humano se aplicaron las pruebas de comparación </w:t>
      </w:r>
      <w:r w:rsidR="00DD1F61" w:rsidRPr="009F0FD5">
        <w:rPr>
          <w:rFonts w:ascii="Arial" w:hAnsi="Arial" w:cs="Arial"/>
          <w:color w:val="000000" w:themeColor="text1"/>
          <w:sz w:val="22"/>
          <w:szCs w:val="22"/>
        </w:rPr>
        <w:t>r</w:t>
      </w:r>
      <w:r w:rsidR="006678FB" w:rsidRPr="009F0FD5">
        <w:rPr>
          <w:rFonts w:ascii="Arial" w:hAnsi="Arial" w:cs="Arial"/>
          <w:color w:val="000000" w:themeColor="text1"/>
          <w:sz w:val="22"/>
          <w:szCs w:val="22"/>
        </w:rPr>
        <w:t>especto a la planta de personal</w:t>
      </w:r>
      <w:r w:rsidR="00C42DF3" w:rsidRPr="009F0FD5">
        <w:rPr>
          <w:rFonts w:ascii="Arial" w:hAnsi="Arial" w:cs="Arial"/>
          <w:color w:val="000000" w:themeColor="text1"/>
          <w:sz w:val="22"/>
          <w:szCs w:val="22"/>
        </w:rPr>
        <w:t xml:space="preserve"> para los periodos objeto de verificación</w:t>
      </w:r>
      <w:r w:rsidR="006678FB" w:rsidRPr="009F0FD5">
        <w:rPr>
          <w:rFonts w:ascii="Arial" w:hAnsi="Arial" w:cs="Arial"/>
          <w:color w:val="000000" w:themeColor="text1"/>
          <w:sz w:val="22"/>
          <w:szCs w:val="22"/>
        </w:rPr>
        <w:t xml:space="preserve">. El análisis se presenta a continuación: </w:t>
      </w:r>
    </w:p>
    <w:p w14:paraId="397DBFB6" w14:textId="77777777" w:rsidR="004505FF" w:rsidRPr="009F0FD5" w:rsidRDefault="004505FF" w:rsidP="002C7841">
      <w:pPr>
        <w:jc w:val="both"/>
        <w:rPr>
          <w:rFonts w:ascii="Arial" w:hAnsi="Arial" w:cs="Arial"/>
          <w:color w:val="000000" w:themeColor="text1"/>
          <w:sz w:val="22"/>
          <w:szCs w:val="22"/>
        </w:rPr>
      </w:pPr>
    </w:p>
    <w:p w14:paraId="28306D4E" w14:textId="11FF1E75" w:rsidR="006C0D16" w:rsidRPr="009F0FD5" w:rsidRDefault="00DC4BA3" w:rsidP="002C7841">
      <w:pPr>
        <w:jc w:val="both"/>
        <w:rPr>
          <w:rFonts w:ascii="Arial" w:hAnsi="Arial" w:cs="Arial"/>
          <w:color w:val="000000" w:themeColor="text1"/>
          <w:sz w:val="22"/>
          <w:szCs w:val="22"/>
        </w:rPr>
      </w:pPr>
      <w:r w:rsidRPr="009F0FD5">
        <w:rPr>
          <w:rFonts w:ascii="Arial" w:hAnsi="Arial" w:cs="Arial"/>
          <w:color w:val="000000" w:themeColor="text1"/>
          <w:sz w:val="22"/>
          <w:szCs w:val="22"/>
        </w:rPr>
        <w:t>Con c</w:t>
      </w:r>
      <w:r w:rsidR="005F7E32" w:rsidRPr="009F0FD5">
        <w:rPr>
          <w:rFonts w:ascii="Arial" w:hAnsi="Arial" w:cs="Arial"/>
          <w:color w:val="000000" w:themeColor="text1"/>
          <w:sz w:val="22"/>
          <w:szCs w:val="22"/>
        </w:rPr>
        <w:t xml:space="preserve">orte a </w:t>
      </w:r>
      <w:r w:rsidR="00B818F5" w:rsidRPr="009F0FD5">
        <w:rPr>
          <w:rFonts w:ascii="Arial" w:hAnsi="Arial" w:cs="Arial"/>
          <w:color w:val="000000" w:themeColor="text1"/>
          <w:sz w:val="22"/>
          <w:szCs w:val="22"/>
        </w:rPr>
        <w:t>3</w:t>
      </w:r>
      <w:r w:rsidR="007F5A8B" w:rsidRPr="009F0FD5">
        <w:rPr>
          <w:rFonts w:ascii="Arial" w:hAnsi="Arial" w:cs="Arial"/>
          <w:color w:val="000000" w:themeColor="text1"/>
          <w:sz w:val="22"/>
          <w:szCs w:val="22"/>
        </w:rPr>
        <w:t>1</w:t>
      </w:r>
      <w:r w:rsidR="005F7E32" w:rsidRPr="009F0FD5">
        <w:rPr>
          <w:rFonts w:ascii="Arial" w:hAnsi="Arial" w:cs="Arial"/>
          <w:color w:val="000000" w:themeColor="text1"/>
          <w:sz w:val="22"/>
          <w:szCs w:val="22"/>
        </w:rPr>
        <w:t xml:space="preserve"> de</w:t>
      </w:r>
      <w:r w:rsidR="007F5A8B" w:rsidRPr="009F0FD5">
        <w:rPr>
          <w:rFonts w:ascii="Arial" w:hAnsi="Arial" w:cs="Arial"/>
          <w:color w:val="000000" w:themeColor="text1"/>
          <w:sz w:val="22"/>
          <w:szCs w:val="22"/>
        </w:rPr>
        <w:t xml:space="preserve"> </w:t>
      </w:r>
      <w:r w:rsidR="00B073B3" w:rsidRPr="009F0FD5">
        <w:rPr>
          <w:rFonts w:ascii="Arial" w:hAnsi="Arial" w:cs="Arial"/>
          <w:color w:val="000000" w:themeColor="text1"/>
          <w:sz w:val="22"/>
          <w:szCs w:val="22"/>
        </w:rPr>
        <w:t xml:space="preserve">marzo </w:t>
      </w:r>
      <w:r w:rsidR="00441672" w:rsidRPr="009F0FD5">
        <w:rPr>
          <w:rFonts w:ascii="Arial" w:hAnsi="Arial" w:cs="Arial"/>
          <w:color w:val="000000" w:themeColor="text1"/>
          <w:sz w:val="22"/>
          <w:szCs w:val="22"/>
        </w:rPr>
        <w:t>de</w:t>
      </w:r>
      <w:r w:rsidR="005F7E32" w:rsidRPr="009F0FD5">
        <w:rPr>
          <w:rFonts w:ascii="Arial" w:hAnsi="Arial" w:cs="Arial"/>
          <w:color w:val="000000" w:themeColor="text1"/>
          <w:sz w:val="22"/>
          <w:szCs w:val="22"/>
        </w:rPr>
        <w:t xml:space="preserve"> 20</w:t>
      </w:r>
      <w:r w:rsidR="00B073B3" w:rsidRPr="009F0FD5">
        <w:rPr>
          <w:rFonts w:ascii="Arial" w:hAnsi="Arial" w:cs="Arial"/>
          <w:color w:val="000000" w:themeColor="text1"/>
          <w:sz w:val="22"/>
          <w:szCs w:val="22"/>
        </w:rPr>
        <w:t>20</w:t>
      </w:r>
      <w:r w:rsidR="005F7E32" w:rsidRPr="009F0FD5">
        <w:rPr>
          <w:rFonts w:ascii="Arial" w:hAnsi="Arial" w:cs="Arial"/>
          <w:color w:val="000000" w:themeColor="text1"/>
          <w:sz w:val="22"/>
          <w:szCs w:val="22"/>
        </w:rPr>
        <w:t xml:space="preserve"> </w:t>
      </w:r>
      <w:r w:rsidRPr="009F0FD5">
        <w:rPr>
          <w:rFonts w:ascii="Arial" w:hAnsi="Arial" w:cs="Arial"/>
          <w:color w:val="000000" w:themeColor="text1"/>
          <w:sz w:val="22"/>
          <w:szCs w:val="22"/>
        </w:rPr>
        <w:t>la planta de perso</w:t>
      </w:r>
      <w:r w:rsidR="005F7E32" w:rsidRPr="009F0FD5">
        <w:rPr>
          <w:rFonts w:ascii="Arial" w:hAnsi="Arial" w:cs="Arial"/>
          <w:color w:val="000000" w:themeColor="text1"/>
          <w:sz w:val="22"/>
          <w:szCs w:val="22"/>
        </w:rPr>
        <w:t>nal</w:t>
      </w:r>
      <w:r w:rsidR="0037128B" w:rsidRPr="009F0FD5">
        <w:rPr>
          <w:rFonts w:ascii="Arial" w:hAnsi="Arial" w:cs="Arial"/>
          <w:color w:val="000000" w:themeColor="text1"/>
          <w:sz w:val="22"/>
          <w:szCs w:val="22"/>
        </w:rPr>
        <w:t xml:space="preserve"> [</w:t>
      </w:r>
      <w:r w:rsidR="00FA0DBB" w:rsidRPr="009F0FD5">
        <w:rPr>
          <w:rFonts w:ascii="Arial" w:hAnsi="Arial" w:cs="Arial"/>
          <w:color w:val="000000" w:themeColor="text1"/>
          <w:sz w:val="22"/>
          <w:szCs w:val="22"/>
        </w:rPr>
        <w:t>permanente</w:t>
      </w:r>
      <w:r w:rsidR="0037128B" w:rsidRPr="009F0FD5">
        <w:rPr>
          <w:rFonts w:ascii="Arial" w:hAnsi="Arial" w:cs="Arial"/>
          <w:color w:val="000000" w:themeColor="text1"/>
          <w:sz w:val="22"/>
          <w:szCs w:val="22"/>
        </w:rPr>
        <w:t>]</w:t>
      </w:r>
      <w:r w:rsidR="00FA0DBB" w:rsidRPr="009F0FD5">
        <w:rPr>
          <w:rFonts w:ascii="Arial" w:hAnsi="Arial" w:cs="Arial"/>
          <w:color w:val="000000" w:themeColor="text1"/>
          <w:sz w:val="22"/>
          <w:szCs w:val="22"/>
        </w:rPr>
        <w:t xml:space="preserve"> del Ministerio de Hacienda y Crédito Público </w:t>
      </w:r>
      <w:r w:rsidR="00B818F5" w:rsidRPr="009F0FD5">
        <w:rPr>
          <w:rFonts w:ascii="Arial" w:hAnsi="Arial" w:cs="Arial"/>
          <w:color w:val="000000" w:themeColor="text1"/>
          <w:sz w:val="22"/>
          <w:szCs w:val="22"/>
        </w:rPr>
        <w:t>ascendió</w:t>
      </w:r>
      <w:r w:rsidR="00DC228A" w:rsidRPr="009F0FD5">
        <w:rPr>
          <w:rFonts w:ascii="Arial" w:hAnsi="Arial" w:cs="Arial"/>
          <w:color w:val="000000" w:themeColor="text1"/>
          <w:sz w:val="22"/>
          <w:szCs w:val="22"/>
        </w:rPr>
        <w:t xml:space="preserve"> a </w:t>
      </w:r>
      <w:r w:rsidR="005F7E32" w:rsidRPr="009F0FD5">
        <w:rPr>
          <w:rFonts w:ascii="Arial" w:hAnsi="Arial" w:cs="Arial"/>
          <w:color w:val="000000" w:themeColor="text1"/>
          <w:sz w:val="22"/>
          <w:szCs w:val="22"/>
        </w:rPr>
        <w:t>6</w:t>
      </w:r>
      <w:r w:rsidR="00E15012" w:rsidRPr="009F0FD5">
        <w:rPr>
          <w:rFonts w:ascii="Arial" w:hAnsi="Arial" w:cs="Arial"/>
          <w:color w:val="000000" w:themeColor="text1"/>
          <w:sz w:val="22"/>
          <w:szCs w:val="22"/>
        </w:rPr>
        <w:t>8</w:t>
      </w:r>
      <w:r w:rsidR="001912D7" w:rsidRPr="009F0FD5">
        <w:rPr>
          <w:rFonts w:ascii="Arial" w:hAnsi="Arial" w:cs="Arial"/>
          <w:color w:val="000000" w:themeColor="text1"/>
          <w:sz w:val="22"/>
          <w:szCs w:val="22"/>
        </w:rPr>
        <w:t>9</w:t>
      </w:r>
      <w:r w:rsidR="005F7E32" w:rsidRPr="009F0FD5">
        <w:rPr>
          <w:rFonts w:ascii="Arial" w:hAnsi="Arial" w:cs="Arial"/>
          <w:color w:val="000000" w:themeColor="text1"/>
          <w:sz w:val="22"/>
          <w:szCs w:val="22"/>
        </w:rPr>
        <w:t xml:space="preserve"> funcionarios, </w:t>
      </w:r>
      <w:r w:rsidR="00E64645" w:rsidRPr="009F0FD5">
        <w:rPr>
          <w:rFonts w:ascii="Arial" w:hAnsi="Arial" w:cs="Arial"/>
          <w:color w:val="000000" w:themeColor="text1"/>
          <w:sz w:val="22"/>
          <w:szCs w:val="22"/>
        </w:rPr>
        <w:t xml:space="preserve">de </w:t>
      </w:r>
      <w:r w:rsidR="005F7E32" w:rsidRPr="009F0FD5">
        <w:rPr>
          <w:rFonts w:ascii="Arial" w:hAnsi="Arial" w:cs="Arial"/>
          <w:color w:val="000000" w:themeColor="text1"/>
          <w:sz w:val="22"/>
          <w:szCs w:val="22"/>
        </w:rPr>
        <w:t xml:space="preserve">los cuales, la mayor representatividad se encuentra </w:t>
      </w:r>
      <w:r w:rsidR="00FA0DBB" w:rsidRPr="009F0FD5">
        <w:rPr>
          <w:rFonts w:ascii="Arial" w:hAnsi="Arial" w:cs="Arial"/>
          <w:color w:val="000000" w:themeColor="text1"/>
          <w:sz w:val="22"/>
          <w:szCs w:val="22"/>
        </w:rPr>
        <w:t xml:space="preserve">distribuida en </w:t>
      </w:r>
      <w:r w:rsidR="005F7E32" w:rsidRPr="009F0FD5">
        <w:rPr>
          <w:rFonts w:ascii="Arial" w:hAnsi="Arial" w:cs="Arial"/>
          <w:color w:val="000000" w:themeColor="text1"/>
          <w:sz w:val="22"/>
          <w:szCs w:val="22"/>
        </w:rPr>
        <w:t>los cargos de asesores [4</w:t>
      </w:r>
      <w:r w:rsidR="00834216" w:rsidRPr="009F0FD5">
        <w:rPr>
          <w:rFonts w:ascii="Arial" w:hAnsi="Arial" w:cs="Arial"/>
          <w:color w:val="000000" w:themeColor="text1"/>
          <w:sz w:val="22"/>
          <w:szCs w:val="22"/>
        </w:rPr>
        <w:t>3</w:t>
      </w:r>
      <w:r w:rsidR="006B1A84" w:rsidRPr="009F0FD5">
        <w:rPr>
          <w:rFonts w:ascii="Arial" w:hAnsi="Arial" w:cs="Arial"/>
          <w:color w:val="000000" w:themeColor="text1"/>
          <w:sz w:val="22"/>
          <w:szCs w:val="22"/>
        </w:rPr>
        <w:t xml:space="preserve"> </w:t>
      </w:r>
      <w:r w:rsidR="005F7E32" w:rsidRPr="009F0FD5">
        <w:rPr>
          <w:rFonts w:ascii="Arial" w:hAnsi="Arial" w:cs="Arial"/>
          <w:color w:val="000000" w:themeColor="text1"/>
          <w:sz w:val="22"/>
          <w:szCs w:val="22"/>
        </w:rPr>
        <w:t>%] y profesionales [</w:t>
      </w:r>
      <w:r w:rsidR="00834216" w:rsidRPr="009F0FD5">
        <w:rPr>
          <w:rFonts w:ascii="Arial" w:hAnsi="Arial" w:cs="Arial"/>
          <w:color w:val="000000" w:themeColor="text1"/>
          <w:sz w:val="22"/>
          <w:szCs w:val="22"/>
        </w:rPr>
        <w:t>23</w:t>
      </w:r>
      <w:r w:rsidR="005F7E32" w:rsidRPr="009F0FD5">
        <w:rPr>
          <w:rFonts w:ascii="Arial" w:hAnsi="Arial" w:cs="Arial"/>
          <w:color w:val="000000" w:themeColor="text1"/>
          <w:sz w:val="22"/>
          <w:szCs w:val="22"/>
        </w:rPr>
        <w:t xml:space="preserve">%]. </w:t>
      </w:r>
    </w:p>
    <w:p w14:paraId="64DE080D" w14:textId="0718EAE3" w:rsidR="006C0D16" w:rsidRPr="000A7C2E" w:rsidRDefault="006C0D16" w:rsidP="002C7841">
      <w:pPr>
        <w:jc w:val="both"/>
        <w:rPr>
          <w:rFonts w:ascii="Arial" w:hAnsi="Arial" w:cs="Arial"/>
          <w:color w:val="000000" w:themeColor="text1"/>
          <w:sz w:val="22"/>
          <w:szCs w:val="22"/>
        </w:rPr>
      </w:pPr>
    </w:p>
    <w:tbl>
      <w:tblPr>
        <w:tblStyle w:val="Tablaconcuadrcula1clara-nfasis1"/>
        <w:tblpPr w:leftFromText="141" w:rightFromText="141" w:vertAnchor="text" w:horzAnchor="margin" w:tblpY="202"/>
        <w:tblW w:w="0" w:type="auto"/>
        <w:tblLayout w:type="fixed"/>
        <w:tblLook w:val="04A0" w:firstRow="1" w:lastRow="0" w:firstColumn="1" w:lastColumn="0" w:noHBand="0" w:noVBand="1"/>
      </w:tblPr>
      <w:tblGrid>
        <w:gridCol w:w="1838"/>
        <w:gridCol w:w="1418"/>
      </w:tblGrid>
      <w:tr w:rsidR="00B92873" w:rsidRPr="000A7C2E" w14:paraId="54D1C508" w14:textId="77777777" w:rsidTr="00435B83">
        <w:trPr>
          <w:cnfStyle w:val="100000000000" w:firstRow="1" w:lastRow="0"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1838" w:type="dxa"/>
            <w:tcBorders>
              <w:bottom w:val="nil"/>
            </w:tcBorders>
            <w:shd w:val="clear" w:color="auto" w:fill="4F81BD" w:themeFill="accent1"/>
            <w:vAlign w:val="center"/>
            <w:hideMark/>
          </w:tcPr>
          <w:p w14:paraId="1F03A474" w14:textId="77777777" w:rsidR="00B92873" w:rsidRPr="000A7C2E" w:rsidRDefault="00B92873" w:rsidP="00435B83">
            <w:pPr>
              <w:spacing w:before="40" w:after="40"/>
              <w:jc w:val="center"/>
              <w:rPr>
                <w:rFonts w:ascii="Arial" w:hAnsi="Arial" w:cs="Arial"/>
                <w:bCs w:val="0"/>
                <w:color w:val="FFFFFF" w:themeColor="background1"/>
                <w:sz w:val="18"/>
                <w:szCs w:val="18"/>
              </w:rPr>
            </w:pPr>
            <w:r w:rsidRPr="000A7C2E">
              <w:rPr>
                <w:rFonts w:ascii="Arial" w:hAnsi="Arial" w:cs="Arial"/>
                <w:bCs w:val="0"/>
                <w:color w:val="FFFFFF" w:themeColor="background1"/>
                <w:sz w:val="18"/>
                <w:szCs w:val="18"/>
              </w:rPr>
              <w:t>Cargo</w:t>
            </w:r>
          </w:p>
        </w:tc>
        <w:tc>
          <w:tcPr>
            <w:tcW w:w="1418" w:type="dxa"/>
            <w:tcBorders>
              <w:bottom w:val="nil"/>
            </w:tcBorders>
            <w:shd w:val="clear" w:color="auto" w:fill="4F81BD" w:themeFill="accent1"/>
            <w:vAlign w:val="center"/>
            <w:hideMark/>
          </w:tcPr>
          <w:p w14:paraId="69C8BB99" w14:textId="77777777" w:rsidR="00B92873" w:rsidRPr="000A7C2E" w:rsidRDefault="00B92873" w:rsidP="00435B83">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18"/>
                <w:szCs w:val="18"/>
              </w:rPr>
            </w:pPr>
            <w:r w:rsidRPr="000A7C2E">
              <w:rPr>
                <w:rFonts w:ascii="Arial" w:hAnsi="Arial" w:cs="Arial"/>
                <w:bCs w:val="0"/>
                <w:color w:val="FFFFFF" w:themeColor="background1"/>
                <w:sz w:val="18"/>
                <w:szCs w:val="18"/>
              </w:rPr>
              <w:t>Cantidad Funcionarios</w:t>
            </w:r>
          </w:p>
        </w:tc>
      </w:tr>
      <w:tr w:rsidR="00B92873" w:rsidRPr="000A7C2E" w14:paraId="42EF4340" w14:textId="77777777" w:rsidTr="00435B83">
        <w:trPr>
          <w:trHeight w:val="378"/>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0E80A5B1"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Asesores</w:t>
            </w:r>
          </w:p>
        </w:tc>
        <w:tc>
          <w:tcPr>
            <w:tcW w:w="1418" w:type="dxa"/>
            <w:tcBorders>
              <w:top w:val="nil"/>
              <w:left w:val="nil"/>
              <w:bottom w:val="nil"/>
              <w:right w:val="nil"/>
            </w:tcBorders>
            <w:vAlign w:val="center"/>
          </w:tcPr>
          <w:p w14:paraId="78612C59"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296</w:t>
            </w:r>
          </w:p>
        </w:tc>
      </w:tr>
      <w:tr w:rsidR="00B92873" w:rsidRPr="000A7C2E" w14:paraId="5DB660F3" w14:textId="77777777" w:rsidTr="00435B83">
        <w:trPr>
          <w:trHeight w:val="41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FF3BDE5"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Profesionales</w:t>
            </w:r>
          </w:p>
        </w:tc>
        <w:tc>
          <w:tcPr>
            <w:tcW w:w="1418" w:type="dxa"/>
            <w:tcBorders>
              <w:top w:val="nil"/>
              <w:left w:val="nil"/>
              <w:bottom w:val="nil"/>
              <w:right w:val="nil"/>
            </w:tcBorders>
            <w:vAlign w:val="center"/>
          </w:tcPr>
          <w:p w14:paraId="74C8FD9D"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159</w:t>
            </w:r>
          </w:p>
        </w:tc>
      </w:tr>
      <w:tr w:rsidR="00B92873" w:rsidRPr="000A7C2E" w14:paraId="5E2A9551" w14:textId="77777777" w:rsidTr="00435B83">
        <w:trPr>
          <w:trHeight w:val="553"/>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8B2404A"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Secretarios</w:t>
            </w:r>
          </w:p>
        </w:tc>
        <w:tc>
          <w:tcPr>
            <w:tcW w:w="1418" w:type="dxa"/>
            <w:tcBorders>
              <w:top w:val="nil"/>
              <w:left w:val="nil"/>
              <w:bottom w:val="nil"/>
              <w:right w:val="nil"/>
            </w:tcBorders>
            <w:vAlign w:val="center"/>
          </w:tcPr>
          <w:p w14:paraId="295933F2"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70</w:t>
            </w:r>
          </w:p>
        </w:tc>
      </w:tr>
      <w:tr w:rsidR="00B92873" w:rsidRPr="000A7C2E" w14:paraId="2D63B19A" w14:textId="77777777" w:rsidTr="00435B83">
        <w:trPr>
          <w:trHeight w:val="421"/>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2AF2C6E"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Técnicos</w:t>
            </w:r>
          </w:p>
        </w:tc>
        <w:tc>
          <w:tcPr>
            <w:tcW w:w="1418" w:type="dxa"/>
            <w:tcBorders>
              <w:top w:val="nil"/>
              <w:left w:val="nil"/>
              <w:bottom w:val="nil"/>
              <w:right w:val="nil"/>
            </w:tcBorders>
            <w:vAlign w:val="center"/>
          </w:tcPr>
          <w:p w14:paraId="35482FEF"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53</w:t>
            </w:r>
          </w:p>
        </w:tc>
      </w:tr>
      <w:tr w:rsidR="00B92873" w:rsidRPr="000A7C2E" w14:paraId="5D6C4F46" w14:textId="77777777" w:rsidTr="00435B83">
        <w:trPr>
          <w:trHeight w:val="410"/>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4A12940"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Auxiliares</w:t>
            </w:r>
          </w:p>
        </w:tc>
        <w:tc>
          <w:tcPr>
            <w:tcW w:w="1418" w:type="dxa"/>
            <w:tcBorders>
              <w:top w:val="nil"/>
              <w:left w:val="nil"/>
              <w:bottom w:val="nil"/>
              <w:right w:val="nil"/>
            </w:tcBorders>
            <w:vAlign w:val="center"/>
          </w:tcPr>
          <w:p w14:paraId="15B860F5"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52</w:t>
            </w:r>
          </w:p>
        </w:tc>
      </w:tr>
      <w:tr w:rsidR="00B92873" w:rsidRPr="000A7C2E" w14:paraId="3DEFD4FB" w14:textId="77777777" w:rsidTr="00435B83">
        <w:trPr>
          <w:trHeight w:val="557"/>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1F2A1A15"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Subdirectores</w:t>
            </w:r>
          </w:p>
        </w:tc>
        <w:tc>
          <w:tcPr>
            <w:tcW w:w="1418" w:type="dxa"/>
            <w:tcBorders>
              <w:top w:val="nil"/>
              <w:left w:val="nil"/>
              <w:bottom w:val="nil"/>
              <w:right w:val="nil"/>
            </w:tcBorders>
            <w:vAlign w:val="center"/>
          </w:tcPr>
          <w:p w14:paraId="2D374F74"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24</w:t>
            </w:r>
          </w:p>
        </w:tc>
      </w:tr>
      <w:tr w:rsidR="00B92873" w:rsidRPr="000A7C2E" w14:paraId="43014825" w14:textId="77777777" w:rsidTr="00435B83">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4CA71BC"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Conductores</w:t>
            </w:r>
          </w:p>
        </w:tc>
        <w:tc>
          <w:tcPr>
            <w:tcW w:w="1418" w:type="dxa"/>
            <w:tcBorders>
              <w:top w:val="nil"/>
              <w:left w:val="nil"/>
              <w:bottom w:val="nil"/>
              <w:right w:val="nil"/>
            </w:tcBorders>
            <w:vAlign w:val="center"/>
          </w:tcPr>
          <w:p w14:paraId="5579F6E3"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19</w:t>
            </w:r>
          </w:p>
        </w:tc>
      </w:tr>
      <w:tr w:rsidR="00B92873" w:rsidRPr="000A7C2E" w14:paraId="01B3D92A" w14:textId="77777777" w:rsidTr="00435B83">
        <w:trPr>
          <w:trHeight w:val="415"/>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23397994"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Directores</w:t>
            </w:r>
          </w:p>
        </w:tc>
        <w:tc>
          <w:tcPr>
            <w:tcW w:w="1418" w:type="dxa"/>
            <w:tcBorders>
              <w:top w:val="nil"/>
              <w:left w:val="nil"/>
              <w:bottom w:val="nil"/>
              <w:right w:val="nil"/>
            </w:tcBorders>
            <w:vAlign w:val="center"/>
          </w:tcPr>
          <w:p w14:paraId="6EF9D6D7"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8</w:t>
            </w:r>
          </w:p>
        </w:tc>
      </w:tr>
      <w:tr w:rsidR="00B92873" w:rsidRPr="000A7C2E" w14:paraId="07D2CF21" w14:textId="77777777" w:rsidTr="00435B83">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6B9ED8D4"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Jefes de Oficina</w:t>
            </w:r>
          </w:p>
        </w:tc>
        <w:tc>
          <w:tcPr>
            <w:tcW w:w="1418" w:type="dxa"/>
            <w:tcBorders>
              <w:top w:val="nil"/>
              <w:left w:val="nil"/>
              <w:bottom w:val="nil"/>
              <w:right w:val="nil"/>
            </w:tcBorders>
            <w:vAlign w:val="center"/>
          </w:tcPr>
          <w:p w14:paraId="47F11C2D"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4</w:t>
            </w:r>
          </w:p>
        </w:tc>
      </w:tr>
      <w:tr w:rsidR="00B92873" w:rsidRPr="000A7C2E" w14:paraId="7BA64E23" w14:textId="77777777" w:rsidTr="00435B83">
        <w:trPr>
          <w:trHeight w:val="299"/>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D60E43A"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Viceministros</w:t>
            </w:r>
          </w:p>
        </w:tc>
        <w:tc>
          <w:tcPr>
            <w:tcW w:w="1418" w:type="dxa"/>
            <w:tcBorders>
              <w:top w:val="nil"/>
              <w:left w:val="nil"/>
              <w:bottom w:val="nil"/>
              <w:right w:val="nil"/>
            </w:tcBorders>
            <w:vAlign w:val="center"/>
          </w:tcPr>
          <w:p w14:paraId="49206A99"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2</w:t>
            </w:r>
          </w:p>
        </w:tc>
      </w:tr>
      <w:tr w:rsidR="00B92873" w:rsidRPr="000A7C2E" w14:paraId="0D97A75C" w14:textId="77777777" w:rsidTr="00435B83">
        <w:trPr>
          <w:trHeight w:val="314"/>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nil"/>
              <w:right w:val="nil"/>
            </w:tcBorders>
            <w:vAlign w:val="center"/>
            <w:hideMark/>
          </w:tcPr>
          <w:p w14:paraId="36109DC2"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Ministro</w:t>
            </w:r>
          </w:p>
        </w:tc>
        <w:tc>
          <w:tcPr>
            <w:tcW w:w="1418" w:type="dxa"/>
            <w:tcBorders>
              <w:top w:val="nil"/>
              <w:left w:val="nil"/>
              <w:bottom w:val="nil"/>
              <w:right w:val="nil"/>
            </w:tcBorders>
            <w:vAlign w:val="center"/>
          </w:tcPr>
          <w:p w14:paraId="3680FDDC"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1</w:t>
            </w:r>
          </w:p>
        </w:tc>
      </w:tr>
      <w:tr w:rsidR="00B92873" w:rsidRPr="000A7C2E" w14:paraId="609014E4" w14:textId="77777777" w:rsidTr="00435B83">
        <w:trPr>
          <w:trHeight w:val="376"/>
        </w:trPr>
        <w:tc>
          <w:tcPr>
            <w:cnfStyle w:val="001000000000" w:firstRow="0" w:lastRow="0" w:firstColumn="1" w:lastColumn="0" w:oddVBand="0" w:evenVBand="0" w:oddHBand="0" w:evenHBand="0" w:firstRowFirstColumn="0" w:firstRowLastColumn="0" w:lastRowFirstColumn="0" w:lastRowLastColumn="0"/>
            <w:tcW w:w="1838" w:type="dxa"/>
            <w:tcBorders>
              <w:top w:val="nil"/>
              <w:left w:val="nil"/>
              <w:bottom w:val="single" w:sz="12" w:space="0" w:color="4F81BD" w:themeColor="accent1"/>
              <w:right w:val="nil"/>
            </w:tcBorders>
            <w:vAlign w:val="center"/>
            <w:hideMark/>
          </w:tcPr>
          <w:p w14:paraId="0DFC1E03" w14:textId="77777777" w:rsidR="00B92873" w:rsidRPr="000A7C2E" w:rsidRDefault="00B92873" w:rsidP="00435B83">
            <w:pPr>
              <w:spacing w:before="40" w:after="40"/>
              <w:jc w:val="center"/>
              <w:rPr>
                <w:rFonts w:ascii="Arial" w:hAnsi="Arial" w:cs="Arial"/>
                <w:b w:val="0"/>
                <w:bCs w:val="0"/>
                <w:color w:val="0F243E" w:themeColor="text2" w:themeShade="80"/>
                <w:sz w:val="18"/>
                <w:szCs w:val="18"/>
              </w:rPr>
            </w:pPr>
            <w:r w:rsidRPr="000A7C2E">
              <w:rPr>
                <w:rFonts w:ascii="Arial" w:hAnsi="Arial" w:cs="Arial"/>
                <w:b w:val="0"/>
                <w:bCs w:val="0"/>
                <w:color w:val="0F243E" w:themeColor="text2" w:themeShade="80"/>
                <w:sz w:val="20"/>
                <w:szCs w:val="20"/>
              </w:rPr>
              <w:t>Secretario General</w:t>
            </w:r>
          </w:p>
        </w:tc>
        <w:tc>
          <w:tcPr>
            <w:tcW w:w="1418" w:type="dxa"/>
            <w:tcBorders>
              <w:top w:val="nil"/>
              <w:left w:val="nil"/>
              <w:bottom w:val="single" w:sz="12" w:space="0" w:color="4F81BD" w:themeColor="accent1"/>
              <w:right w:val="nil"/>
            </w:tcBorders>
            <w:vAlign w:val="center"/>
          </w:tcPr>
          <w:p w14:paraId="1C18054D"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A7C2E">
              <w:rPr>
                <w:rFonts w:ascii="Arial" w:hAnsi="Arial" w:cs="Arial"/>
                <w:color w:val="0F243E" w:themeColor="text2" w:themeShade="80"/>
                <w:sz w:val="20"/>
                <w:szCs w:val="20"/>
              </w:rPr>
              <w:t>1</w:t>
            </w:r>
          </w:p>
        </w:tc>
      </w:tr>
      <w:tr w:rsidR="00B92873" w:rsidRPr="000A7C2E" w14:paraId="2CB34D49" w14:textId="77777777" w:rsidTr="00435B83">
        <w:trPr>
          <w:trHeight w:val="413"/>
        </w:trPr>
        <w:tc>
          <w:tcPr>
            <w:cnfStyle w:val="001000000000" w:firstRow="0" w:lastRow="0" w:firstColumn="1" w:lastColumn="0" w:oddVBand="0" w:evenVBand="0" w:oddHBand="0" w:evenHBand="0" w:firstRowFirstColumn="0" w:firstRowLastColumn="0" w:lastRowFirstColumn="0" w:lastRowLastColumn="0"/>
            <w:tcW w:w="1838" w:type="dxa"/>
            <w:tcBorders>
              <w:top w:val="single" w:sz="12" w:space="0" w:color="4F81BD" w:themeColor="accent1"/>
              <w:left w:val="nil"/>
              <w:bottom w:val="single" w:sz="12" w:space="0" w:color="4F81BD" w:themeColor="accent1"/>
              <w:right w:val="nil"/>
            </w:tcBorders>
            <w:vAlign w:val="center"/>
          </w:tcPr>
          <w:p w14:paraId="127E5855" w14:textId="77777777" w:rsidR="00B92873" w:rsidRPr="000A7C2E" w:rsidRDefault="00B92873" w:rsidP="00435B83">
            <w:pPr>
              <w:spacing w:before="40" w:after="40"/>
              <w:jc w:val="center"/>
              <w:rPr>
                <w:rFonts w:ascii="Arial" w:hAnsi="Arial" w:cs="Arial"/>
                <w:color w:val="0F243E" w:themeColor="text2" w:themeShade="80"/>
                <w:sz w:val="18"/>
                <w:szCs w:val="18"/>
              </w:rPr>
            </w:pPr>
            <w:r w:rsidRPr="000A7C2E">
              <w:rPr>
                <w:rFonts w:ascii="Arial" w:hAnsi="Arial" w:cs="Arial"/>
                <w:color w:val="0F243E" w:themeColor="text2" w:themeShade="80"/>
                <w:sz w:val="18"/>
                <w:szCs w:val="18"/>
              </w:rPr>
              <w:t xml:space="preserve">Total </w:t>
            </w:r>
          </w:p>
        </w:tc>
        <w:tc>
          <w:tcPr>
            <w:tcW w:w="1418" w:type="dxa"/>
            <w:tcBorders>
              <w:top w:val="single" w:sz="12" w:space="0" w:color="4F81BD" w:themeColor="accent1"/>
              <w:left w:val="nil"/>
              <w:bottom w:val="single" w:sz="12" w:space="0" w:color="4F81BD" w:themeColor="accent1"/>
              <w:right w:val="nil"/>
            </w:tcBorders>
            <w:vAlign w:val="center"/>
          </w:tcPr>
          <w:p w14:paraId="140F5EC4" w14:textId="77777777" w:rsidR="00B92873" w:rsidRPr="000A7C2E" w:rsidRDefault="00B92873" w:rsidP="00435B83">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0A7C2E">
              <w:rPr>
                <w:rFonts w:ascii="Arial" w:hAnsi="Arial" w:cs="Arial"/>
                <w:b/>
                <w:color w:val="0F243E" w:themeColor="text2" w:themeShade="80"/>
                <w:sz w:val="20"/>
                <w:szCs w:val="20"/>
              </w:rPr>
              <w:t>689</w:t>
            </w:r>
          </w:p>
        </w:tc>
      </w:tr>
    </w:tbl>
    <w:p w14:paraId="75A8B951" w14:textId="77777777" w:rsidR="00B92873" w:rsidRPr="000A7C2E" w:rsidRDefault="00B92873" w:rsidP="00B92873">
      <w:pPr>
        <w:jc w:val="both"/>
        <w:rPr>
          <w:rFonts w:ascii="Arial" w:hAnsi="Arial" w:cs="Arial"/>
          <w:sz w:val="22"/>
          <w:szCs w:val="22"/>
        </w:rPr>
      </w:pPr>
      <w:r w:rsidRPr="000A7C2E">
        <w:rPr>
          <w:rFonts w:ascii="Arial" w:hAnsi="Arial" w:cs="Arial"/>
          <w:noProof/>
          <w:sz w:val="20"/>
          <w:szCs w:val="20"/>
          <w:lang w:eastAsia="en-US"/>
        </w:rPr>
        <w:drawing>
          <wp:inline distT="0" distB="0" distL="0" distR="0" wp14:anchorId="64DA436C" wp14:editId="3FDFCB10">
            <wp:extent cx="3914775" cy="3886200"/>
            <wp:effectExtent l="0" t="0" r="0" b="0"/>
            <wp:docPr id="10" name="Gráfico 10">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1F7C481" w14:textId="27F3520D" w:rsidR="0013025E" w:rsidRPr="005045BF" w:rsidRDefault="0013025E" w:rsidP="002C7841">
      <w:pPr>
        <w:jc w:val="both"/>
        <w:rPr>
          <w:rFonts w:ascii="Arial" w:hAnsi="Arial" w:cs="Arial"/>
          <w:sz w:val="22"/>
          <w:szCs w:val="22"/>
          <w:highlight w:val="yellow"/>
        </w:rPr>
      </w:pPr>
    </w:p>
    <w:p w14:paraId="1FD68E2B" w14:textId="75B40B9B" w:rsidR="005534D7" w:rsidRPr="009F0FD5" w:rsidRDefault="006D47E5" w:rsidP="00CA1AFC">
      <w:pPr>
        <w:pStyle w:val="Prrafodelista"/>
        <w:ind w:left="0"/>
        <w:contextualSpacing w:val="0"/>
        <w:rPr>
          <w:rFonts w:ascii="Arial" w:hAnsi="Arial" w:cs="Arial"/>
          <w:color w:val="000000" w:themeColor="text1"/>
          <w:sz w:val="22"/>
          <w:szCs w:val="22"/>
        </w:rPr>
      </w:pPr>
      <w:r w:rsidRPr="009F0FD5">
        <w:rPr>
          <w:rFonts w:ascii="Arial" w:hAnsi="Arial" w:cs="Arial"/>
          <w:color w:val="000000" w:themeColor="text1"/>
          <w:sz w:val="22"/>
          <w:szCs w:val="22"/>
        </w:rPr>
        <w:lastRenderedPageBreak/>
        <w:t>Con base en el listado de funcionarios enviado</w:t>
      </w:r>
      <w:r w:rsidR="00A42035" w:rsidRPr="009F0FD5">
        <w:rPr>
          <w:rFonts w:ascii="Arial" w:hAnsi="Arial" w:cs="Arial"/>
          <w:color w:val="000000" w:themeColor="text1"/>
          <w:sz w:val="22"/>
          <w:szCs w:val="22"/>
        </w:rPr>
        <w:t xml:space="preserve"> po</w:t>
      </w:r>
      <w:r w:rsidR="00F6514D" w:rsidRPr="009F0FD5">
        <w:rPr>
          <w:rFonts w:ascii="Arial" w:hAnsi="Arial" w:cs="Arial"/>
          <w:color w:val="000000" w:themeColor="text1"/>
          <w:sz w:val="22"/>
          <w:szCs w:val="22"/>
        </w:rPr>
        <w:t>r el Grupo de Administración de</w:t>
      </w:r>
      <w:r w:rsidR="00A42035" w:rsidRPr="009F0FD5">
        <w:rPr>
          <w:rFonts w:ascii="Arial" w:hAnsi="Arial" w:cs="Arial"/>
          <w:color w:val="000000" w:themeColor="text1"/>
          <w:sz w:val="22"/>
          <w:szCs w:val="22"/>
        </w:rPr>
        <w:t xml:space="preserve"> Personal de la </w:t>
      </w:r>
      <w:r w:rsidR="00F04372" w:rsidRPr="009F0FD5">
        <w:rPr>
          <w:rFonts w:ascii="Arial" w:hAnsi="Arial" w:cs="Arial"/>
          <w:color w:val="000000" w:themeColor="text1"/>
          <w:sz w:val="22"/>
          <w:szCs w:val="22"/>
        </w:rPr>
        <w:t>Subdirección de Gestión del Talento Humano</w:t>
      </w:r>
      <w:r w:rsidR="00A42035" w:rsidRPr="009F0FD5">
        <w:rPr>
          <w:rFonts w:ascii="Arial" w:hAnsi="Arial" w:cs="Arial"/>
          <w:color w:val="000000" w:themeColor="text1"/>
          <w:sz w:val="22"/>
          <w:szCs w:val="22"/>
        </w:rPr>
        <w:t xml:space="preserve">, se realizó </w:t>
      </w:r>
      <w:r w:rsidR="00EC6326" w:rsidRPr="009F0FD5">
        <w:rPr>
          <w:rFonts w:ascii="Arial" w:hAnsi="Arial" w:cs="Arial"/>
          <w:color w:val="000000" w:themeColor="text1"/>
          <w:sz w:val="22"/>
          <w:szCs w:val="22"/>
        </w:rPr>
        <w:t xml:space="preserve">la </w:t>
      </w:r>
      <w:r w:rsidR="00A42035" w:rsidRPr="009F0FD5">
        <w:rPr>
          <w:rFonts w:ascii="Arial" w:hAnsi="Arial" w:cs="Arial"/>
          <w:color w:val="000000" w:themeColor="text1"/>
          <w:sz w:val="22"/>
          <w:szCs w:val="22"/>
        </w:rPr>
        <w:t xml:space="preserve">comparación </w:t>
      </w:r>
      <w:r w:rsidR="0027380C" w:rsidRPr="009F0FD5">
        <w:rPr>
          <w:rFonts w:ascii="Arial" w:hAnsi="Arial" w:cs="Arial"/>
          <w:color w:val="000000" w:themeColor="text1"/>
          <w:sz w:val="22"/>
          <w:szCs w:val="22"/>
        </w:rPr>
        <w:t>de la planta de personal del Ministerio de Hacienda y Crédito P</w:t>
      </w:r>
      <w:r w:rsidR="00980B13" w:rsidRPr="009F0FD5">
        <w:rPr>
          <w:rFonts w:ascii="Arial" w:hAnsi="Arial" w:cs="Arial"/>
          <w:color w:val="000000" w:themeColor="text1"/>
          <w:sz w:val="22"/>
          <w:szCs w:val="22"/>
        </w:rPr>
        <w:t xml:space="preserve">úblico, distribuida </w:t>
      </w:r>
      <w:r w:rsidR="0027380C" w:rsidRPr="009F0FD5">
        <w:rPr>
          <w:rFonts w:ascii="Arial" w:hAnsi="Arial" w:cs="Arial"/>
          <w:color w:val="000000" w:themeColor="text1"/>
          <w:sz w:val="22"/>
          <w:szCs w:val="22"/>
        </w:rPr>
        <w:t xml:space="preserve">a nivel de </w:t>
      </w:r>
      <w:r w:rsidR="00A42035" w:rsidRPr="009F0FD5">
        <w:rPr>
          <w:rFonts w:ascii="Arial" w:hAnsi="Arial" w:cs="Arial"/>
          <w:color w:val="000000" w:themeColor="text1"/>
          <w:sz w:val="22"/>
          <w:szCs w:val="22"/>
        </w:rPr>
        <w:t xml:space="preserve">cargos, </w:t>
      </w:r>
      <w:r w:rsidR="00EC6326" w:rsidRPr="009F0FD5">
        <w:rPr>
          <w:rFonts w:ascii="Arial" w:hAnsi="Arial" w:cs="Arial"/>
          <w:color w:val="000000" w:themeColor="text1"/>
          <w:sz w:val="22"/>
          <w:szCs w:val="22"/>
        </w:rPr>
        <w:t xml:space="preserve">para el periodo </w:t>
      </w:r>
      <w:r w:rsidR="0058574F" w:rsidRPr="009F0FD5">
        <w:rPr>
          <w:rFonts w:ascii="Arial" w:hAnsi="Arial" w:cs="Arial"/>
          <w:color w:val="000000" w:themeColor="text1"/>
          <w:sz w:val="22"/>
          <w:szCs w:val="22"/>
        </w:rPr>
        <w:t>objeto de análisis</w:t>
      </w:r>
      <w:r w:rsidR="00EC6326" w:rsidRPr="009F0FD5">
        <w:rPr>
          <w:rFonts w:ascii="Arial" w:hAnsi="Arial" w:cs="Arial"/>
          <w:color w:val="000000" w:themeColor="text1"/>
          <w:sz w:val="22"/>
          <w:szCs w:val="22"/>
        </w:rPr>
        <w:t xml:space="preserve">. </w:t>
      </w:r>
      <w:r w:rsidR="00B45C8A" w:rsidRPr="009F0FD5">
        <w:rPr>
          <w:rFonts w:ascii="Arial" w:hAnsi="Arial" w:cs="Arial"/>
          <w:color w:val="000000" w:themeColor="text1"/>
          <w:sz w:val="22"/>
          <w:szCs w:val="22"/>
        </w:rPr>
        <w:t xml:space="preserve">A </w:t>
      </w:r>
      <w:r w:rsidR="00247692" w:rsidRPr="009F0FD5">
        <w:rPr>
          <w:rFonts w:ascii="Arial" w:hAnsi="Arial" w:cs="Arial"/>
          <w:color w:val="000000" w:themeColor="text1"/>
          <w:sz w:val="22"/>
          <w:szCs w:val="22"/>
        </w:rPr>
        <w:t>continuación,</w:t>
      </w:r>
      <w:r w:rsidR="00B45C8A" w:rsidRPr="009F0FD5">
        <w:rPr>
          <w:rFonts w:ascii="Arial" w:hAnsi="Arial" w:cs="Arial"/>
          <w:color w:val="000000" w:themeColor="text1"/>
          <w:sz w:val="22"/>
          <w:szCs w:val="22"/>
        </w:rPr>
        <w:t xml:space="preserve"> se </w:t>
      </w:r>
      <w:r w:rsidRPr="009F0FD5">
        <w:rPr>
          <w:rFonts w:ascii="Arial" w:hAnsi="Arial" w:cs="Arial"/>
          <w:color w:val="000000" w:themeColor="text1"/>
          <w:sz w:val="22"/>
          <w:szCs w:val="22"/>
        </w:rPr>
        <w:t xml:space="preserve">presenta el resultado: </w:t>
      </w:r>
    </w:p>
    <w:p w14:paraId="45D8D9D6" w14:textId="07327195" w:rsidR="00EF78DB" w:rsidRPr="005045BF" w:rsidRDefault="00EF78DB" w:rsidP="00CA1AFC">
      <w:pPr>
        <w:pStyle w:val="Prrafodelista"/>
        <w:ind w:left="0"/>
        <w:contextualSpacing w:val="0"/>
        <w:rPr>
          <w:rFonts w:ascii="Arial" w:hAnsi="Arial" w:cs="Arial"/>
          <w:sz w:val="22"/>
          <w:szCs w:val="22"/>
          <w:highlight w:val="yellow"/>
        </w:rPr>
      </w:pPr>
    </w:p>
    <w:tbl>
      <w:tblPr>
        <w:tblStyle w:val="Tablaconcuadrcula1clara-nfasis1"/>
        <w:tblW w:w="9634" w:type="dxa"/>
        <w:tblLayout w:type="fixed"/>
        <w:tblLook w:val="04A0" w:firstRow="1" w:lastRow="0" w:firstColumn="1" w:lastColumn="0" w:noHBand="0" w:noVBand="1"/>
      </w:tblPr>
      <w:tblGrid>
        <w:gridCol w:w="1696"/>
        <w:gridCol w:w="709"/>
        <w:gridCol w:w="567"/>
        <w:gridCol w:w="709"/>
        <w:gridCol w:w="709"/>
        <w:gridCol w:w="567"/>
        <w:gridCol w:w="567"/>
        <w:gridCol w:w="567"/>
        <w:gridCol w:w="850"/>
        <w:gridCol w:w="567"/>
        <w:gridCol w:w="709"/>
        <w:gridCol w:w="567"/>
        <w:gridCol w:w="850"/>
      </w:tblGrid>
      <w:tr w:rsidR="009801CD" w:rsidRPr="005045BF" w14:paraId="326885FC" w14:textId="77777777" w:rsidTr="002F390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val="restart"/>
            <w:shd w:val="clear" w:color="auto" w:fill="4F81BD" w:themeFill="accent1"/>
            <w:noWrap/>
            <w:vAlign w:val="center"/>
            <w:hideMark/>
          </w:tcPr>
          <w:p w14:paraId="25BF46DA" w14:textId="77777777" w:rsidR="009801CD" w:rsidRPr="005045BF" w:rsidRDefault="009801CD" w:rsidP="00115E70">
            <w:pPr>
              <w:widowControl w:val="0"/>
              <w:spacing w:before="80" w:after="80"/>
              <w:jc w:val="center"/>
              <w:rPr>
                <w:rFonts w:ascii="Arial" w:hAnsi="Arial" w:cs="Arial"/>
                <w:color w:val="FFFFFF" w:themeColor="background1"/>
                <w:sz w:val="20"/>
                <w:szCs w:val="20"/>
              </w:rPr>
            </w:pPr>
            <w:r w:rsidRPr="005045BF">
              <w:rPr>
                <w:rFonts w:ascii="Arial" w:hAnsi="Arial" w:cs="Arial"/>
                <w:color w:val="FFFFFF" w:themeColor="background1"/>
                <w:sz w:val="20"/>
                <w:szCs w:val="20"/>
              </w:rPr>
              <w:t>Cargo</w:t>
            </w:r>
          </w:p>
        </w:tc>
        <w:tc>
          <w:tcPr>
            <w:tcW w:w="1985" w:type="dxa"/>
            <w:gridSpan w:val="3"/>
            <w:tcBorders>
              <w:bottom w:val="single" w:sz="4" w:space="0" w:color="B8CCE4" w:themeColor="accent1" w:themeTint="66"/>
            </w:tcBorders>
            <w:shd w:val="clear" w:color="auto" w:fill="4F81BD" w:themeFill="accent1"/>
            <w:noWrap/>
            <w:vAlign w:val="center"/>
            <w:hideMark/>
          </w:tcPr>
          <w:p w14:paraId="360DE865" w14:textId="6642EA6F" w:rsidR="009801CD" w:rsidRPr="005045BF" w:rsidRDefault="00660270"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I</w:t>
            </w:r>
            <w:r w:rsidR="009801CD" w:rsidRPr="005045BF">
              <w:rPr>
                <w:rFonts w:ascii="Arial" w:hAnsi="Arial" w:cs="Arial"/>
                <w:color w:val="FFFFFF" w:themeColor="background1"/>
                <w:sz w:val="20"/>
                <w:szCs w:val="20"/>
              </w:rPr>
              <w:t xml:space="preserve"> Trimestre 20</w:t>
            </w:r>
            <w:r w:rsidR="002F390B" w:rsidRPr="005045BF">
              <w:rPr>
                <w:rFonts w:ascii="Arial" w:hAnsi="Arial" w:cs="Arial"/>
                <w:color w:val="FFFFFF" w:themeColor="background1"/>
                <w:sz w:val="20"/>
                <w:szCs w:val="20"/>
              </w:rPr>
              <w:t>20</w:t>
            </w:r>
          </w:p>
        </w:tc>
        <w:tc>
          <w:tcPr>
            <w:tcW w:w="1843" w:type="dxa"/>
            <w:gridSpan w:val="3"/>
            <w:tcBorders>
              <w:bottom w:val="single" w:sz="4" w:space="0" w:color="B8CCE4" w:themeColor="accent1" w:themeTint="66"/>
            </w:tcBorders>
            <w:shd w:val="clear" w:color="auto" w:fill="4F81BD" w:themeFill="accent1"/>
            <w:noWrap/>
            <w:vAlign w:val="center"/>
            <w:hideMark/>
          </w:tcPr>
          <w:p w14:paraId="4E99444E" w14:textId="2F0CD801" w:rsidR="009801CD" w:rsidRPr="005045BF" w:rsidRDefault="00660270"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I</w:t>
            </w:r>
            <w:r w:rsidR="009801CD" w:rsidRPr="005045BF">
              <w:rPr>
                <w:rFonts w:ascii="Arial" w:hAnsi="Arial" w:cs="Arial"/>
                <w:color w:val="FFFFFF" w:themeColor="background1"/>
                <w:sz w:val="20"/>
                <w:szCs w:val="20"/>
              </w:rPr>
              <w:t xml:space="preserve"> Trimestre 20</w:t>
            </w:r>
            <w:r w:rsidR="002F390B" w:rsidRPr="005045BF">
              <w:rPr>
                <w:rFonts w:ascii="Arial" w:hAnsi="Arial" w:cs="Arial"/>
                <w:color w:val="FFFFFF" w:themeColor="background1"/>
                <w:sz w:val="20"/>
                <w:szCs w:val="20"/>
              </w:rPr>
              <w:t>19</w:t>
            </w:r>
          </w:p>
        </w:tc>
        <w:tc>
          <w:tcPr>
            <w:tcW w:w="4110" w:type="dxa"/>
            <w:gridSpan w:val="6"/>
            <w:tcBorders>
              <w:bottom w:val="single" w:sz="4" w:space="0" w:color="B8CCE4" w:themeColor="accent1" w:themeTint="66"/>
            </w:tcBorders>
            <w:shd w:val="clear" w:color="auto" w:fill="4F81BD" w:themeFill="accent1"/>
            <w:vAlign w:val="center"/>
            <w:hideMark/>
          </w:tcPr>
          <w:p w14:paraId="68DE4777" w14:textId="2D9A205D"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Variación Mensual</w:t>
            </w:r>
            <w:r w:rsidR="00C135A2" w:rsidRPr="005045BF">
              <w:rPr>
                <w:rStyle w:val="Refdenotaalpie"/>
                <w:rFonts w:ascii="Arial" w:hAnsi="Arial" w:cs="Arial"/>
                <w:color w:val="FFFFFF" w:themeColor="background1"/>
                <w:sz w:val="20"/>
                <w:szCs w:val="20"/>
              </w:rPr>
              <w:footnoteReference w:id="2"/>
            </w:r>
          </w:p>
        </w:tc>
      </w:tr>
      <w:tr w:rsidR="002F390B" w:rsidRPr="005045BF" w14:paraId="02485C7B" w14:textId="77777777" w:rsidTr="002F390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shd w:val="clear" w:color="auto" w:fill="4F81BD" w:themeFill="accent1"/>
            <w:vAlign w:val="center"/>
            <w:hideMark/>
          </w:tcPr>
          <w:p w14:paraId="6EE8E1A5" w14:textId="77777777" w:rsidR="002F390B" w:rsidRPr="005045BF" w:rsidRDefault="002F390B" w:rsidP="00115E70">
            <w:pPr>
              <w:widowControl w:val="0"/>
              <w:spacing w:before="80" w:after="80"/>
              <w:jc w:val="center"/>
              <w:rPr>
                <w:rFonts w:ascii="Arial" w:hAnsi="Arial" w:cs="Arial"/>
                <w:color w:val="FFFFFF" w:themeColor="background1"/>
                <w:sz w:val="20"/>
                <w:szCs w:val="20"/>
              </w:rPr>
            </w:pPr>
          </w:p>
        </w:tc>
        <w:tc>
          <w:tcPr>
            <w:tcW w:w="709" w:type="dxa"/>
            <w:vMerge w:val="restart"/>
            <w:shd w:val="clear" w:color="auto" w:fill="4F81BD" w:themeFill="accent1"/>
            <w:vAlign w:val="center"/>
            <w:hideMark/>
          </w:tcPr>
          <w:p w14:paraId="7725739E" w14:textId="6115FFC2"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Ene</w:t>
            </w:r>
          </w:p>
        </w:tc>
        <w:tc>
          <w:tcPr>
            <w:tcW w:w="567" w:type="dxa"/>
            <w:vMerge w:val="restart"/>
            <w:shd w:val="clear" w:color="auto" w:fill="4F81BD" w:themeFill="accent1"/>
            <w:vAlign w:val="center"/>
            <w:hideMark/>
          </w:tcPr>
          <w:p w14:paraId="72D17E30" w14:textId="199C013F"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Feb</w:t>
            </w:r>
          </w:p>
        </w:tc>
        <w:tc>
          <w:tcPr>
            <w:tcW w:w="709" w:type="dxa"/>
            <w:vMerge w:val="restart"/>
            <w:shd w:val="clear" w:color="auto" w:fill="4F81BD" w:themeFill="accent1"/>
            <w:vAlign w:val="center"/>
            <w:hideMark/>
          </w:tcPr>
          <w:p w14:paraId="69E2F923" w14:textId="05BF7377"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Mar</w:t>
            </w:r>
          </w:p>
        </w:tc>
        <w:tc>
          <w:tcPr>
            <w:tcW w:w="709" w:type="dxa"/>
            <w:vMerge w:val="restart"/>
            <w:shd w:val="clear" w:color="auto" w:fill="4F81BD" w:themeFill="accent1"/>
            <w:vAlign w:val="center"/>
            <w:hideMark/>
          </w:tcPr>
          <w:p w14:paraId="437C9DBD" w14:textId="3887DF18"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Ene</w:t>
            </w:r>
          </w:p>
        </w:tc>
        <w:tc>
          <w:tcPr>
            <w:tcW w:w="567" w:type="dxa"/>
            <w:vMerge w:val="restart"/>
            <w:shd w:val="clear" w:color="auto" w:fill="4F81BD" w:themeFill="accent1"/>
            <w:vAlign w:val="center"/>
            <w:hideMark/>
          </w:tcPr>
          <w:p w14:paraId="1EBC3653" w14:textId="73B7C7DC"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Feb</w:t>
            </w:r>
          </w:p>
        </w:tc>
        <w:tc>
          <w:tcPr>
            <w:tcW w:w="567" w:type="dxa"/>
            <w:vMerge w:val="restart"/>
            <w:shd w:val="clear" w:color="auto" w:fill="4F81BD" w:themeFill="accent1"/>
            <w:vAlign w:val="center"/>
            <w:hideMark/>
          </w:tcPr>
          <w:p w14:paraId="357CDFC0" w14:textId="4FD0B41D"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Mar</w:t>
            </w:r>
          </w:p>
        </w:tc>
        <w:tc>
          <w:tcPr>
            <w:tcW w:w="1417" w:type="dxa"/>
            <w:gridSpan w:val="2"/>
            <w:shd w:val="clear" w:color="auto" w:fill="4F81BD" w:themeFill="accent1"/>
            <w:vAlign w:val="center"/>
            <w:hideMark/>
          </w:tcPr>
          <w:p w14:paraId="12A09B2D" w14:textId="790231C8"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Ene</w:t>
            </w:r>
          </w:p>
        </w:tc>
        <w:tc>
          <w:tcPr>
            <w:tcW w:w="1276" w:type="dxa"/>
            <w:gridSpan w:val="2"/>
            <w:shd w:val="clear" w:color="auto" w:fill="4F81BD" w:themeFill="accent1"/>
            <w:vAlign w:val="center"/>
            <w:hideMark/>
          </w:tcPr>
          <w:p w14:paraId="366DB955" w14:textId="08BC0F0D"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Feb</w:t>
            </w:r>
          </w:p>
        </w:tc>
        <w:tc>
          <w:tcPr>
            <w:tcW w:w="1417" w:type="dxa"/>
            <w:gridSpan w:val="2"/>
            <w:shd w:val="clear" w:color="auto" w:fill="4F81BD" w:themeFill="accent1"/>
            <w:vAlign w:val="center"/>
            <w:hideMark/>
          </w:tcPr>
          <w:p w14:paraId="2A6BBD42" w14:textId="01049CD9" w:rsidR="002F390B" w:rsidRPr="005045BF" w:rsidRDefault="002F390B"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bCs w:val="0"/>
                <w:color w:val="FFFFFF" w:themeColor="background1"/>
                <w:sz w:val="20"/>
                <w:szCs w:val="20"/>
              </w:rPr>
              <w:t>Mar</w:t>
            </w:r>
          </w:p>
        </w:tc>
      </w:tr>
      <w:tr w:rsidR="00EF78DB" w:rsidRPr="005045BF" w14:paraId="23F3A13F" w14:textId="77777777" w:rsidTr="009D0FB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vMerge/>
            <w:tcBorders>
              <w:bottom w:val="double" w:sz="4" w:space="0" w:color="4F81BD" w:themeColor="accent1"/>
            </w:tcBorders>
            <w:shd w:val="clear" w:color="auto" w:fill="4F81BD" w:themeFill="accent1"/>
            <w:vAlign w:val="center"/>
            <w:hideMark/>
          </w:tcPr>
          <w:p w14:paraId="2D108372" w14:textId="77777777" w:rsidR="009801CD" w:rsidRPr="005045BF" w:rsidRDefault="009801CD" w:rsidP="00115E70">
            <w:pPr>
              <w:widowControl w:val="0"/>
              <w:spacing w:before="80" w:after="80"/>
              <w:jc w:val="center"/>
              <w:rPr>
                <w:rFonts w:ascii="Arial" w:hAnsi="Arial" w:cs="Arial"/>
                <w:color w:val="FFFFFF" w:themeColor="background1"/>
                <w:sz w:val="20"/>
                <w:szCs w:val="20"/>
              </w:rPr>
            </w:pPr>
          </w:p>
        </w:tc>
        <w:tc>
          <w:tcPr>
            <w:tcW w:w="709" w:type="dxa"/>
            <w:vMerge/>
            <w:tcBorders>
              <w:bottom w:val="double" w:sz="4" w:space="0" w:color="4F81BD" w:themeColor="accent1"/>
            </w:tcBorders>
            <w:shd w:val="clear" w:color="auto" w:fill="4F81BD" w:themeFill="accent1"/>
            <w:vAlign w:val="center"/>
            <w:hideMark/>
          </w:tcPr>
          <w:p w14:paraId="6D8F7F0F"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vMerge/>
            <w:tcBorders>
              <w:bottom w:val="double" w:sz="4" w:space="0" w:color="4F81BD" w:themeColor="accent1"/>
            </w:tcBorders>
            <w:shd w:val="clear" w:color="auto" w:fill="4F81BD" w:themeFill="accent1"/>
            <w:vAlign w:val="center"/>
            <w:hideMark/>
          </w:tcPr>
          <w:p w14:paraId="350A60B4"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709" w:type="dxa"/>
            <w:vMerge/>
            <w:tcBorders>
              <w:bottom w:val="double" w:sz="4" w:space="0" w:color="4F81BD" w:themeColor="accent1"/>
            </w:tcBorders>
            <w:shd w:val="clear" w:color="auto" w:fill="4F81BD" w:themeFill="accent1"/>
            <w:vAlign w:val="center"/>
            <w:hideMark/>
          </w:tcPr>
          <w:p w14:paraId="6A2CB5C6"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709" w:type="dxa"/>
            <w:vMerge/>
            <w:tcBorders>
              <w:bottom w:val="double" w:sz="4" w:space="0" w:color="4F81BD" w:themeColor="accent1"/>
            </w:tcBorders>
            <w:shd w:val="clear" w:color="auto" w:fill="4F81BD" w:themeFill="accent1"/>
            <w:vAlign w:val="center"/>
            <w:hideMark/>
          </w:tcPr>
          <w:p w14:paraId="50466BB5"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vMerge/>
            <w:tcBorders>
              <w:bottom w:val="double" w:sz="4" w:space="0" w:color="4F81BD" w:themeColor="accent1"/>
            </w:tcBorders>
            <w:shd w:val="clear" w:color="auto" w:fill="4F81BD" w:themeFill="accent1"/>
            <w:vAlign w:val="center"/>
            <w:hideMark/>
          </w:tcPr>
          <w:p w14:paraId="389EE57B"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vMerge/>
            <w:tcBorders>
              <w:bottom w:val="double" w:sz="4" w:space="0" w:color="4F81BD" w:themeColor="accent1"/>
            </w:tcBorders>
            <w:shd w:val="clear" w:color="auto" w:fill="4F81BD" w:themeFill="accent1"/>
            <w:vAlign w:val="center"/>
            <w:hideMark/>
          </w:tcPr>
          <w:p w14:paraId="42D67AA6"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p>
        </w:tc>
        <w:tc>
          <w:tcPr>
            <w:tcW w:w="567" w:type="dxa"/>
            <w:tcBorders>
              <w:bottom w:val="double" w:sz="4" w:space="0" w:color="4F81BD" w:themeColor="accent1"/>
            </w:tcBorders>
            <w:shd w:val="clear" w:color="auto" w:fill="4F81BD" w:themeFill="accent1"/>
            <w:vAlign w:val="center"/>
            <w:hideMark/>
          </w:tcPr>
          <w:p w14:paraId="392BF96A"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c>
          <w:tcPr>
            <w:tcW w:w="850" w:type="dxa"/>
            <w:tcBorders>
              <w:bottom w:val="double" w:sz="4" w:space="0" w:color="4F81BD" w:themeColor="accent1"/>
            </w:tcBorders>
            <w:shd w:val="clear" w:color="auto" w:fill="4F81BD" w:themeFill="accent1"/>
            <w:vAlign w:val="center"/>
            <w:hideMark/>
          </w:tcPr>
          <w:p w14:paraId="670C1971"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c>
          <w:tcPr>
            <w:tcW w:w="567" w:type="dxa"/>
            <w:tcBorders>
              <w:bottom w:val="double" w:sz="4" w:space="0" w:color="4F81BD" w:themeColor="accent1"/>
            </w:tcBorders>
            <w:shd w:val="clear" w:color="auto" w:fill="4F81BD" w:themeFill="accent1"/>
            <w:vAlign w:val="center"/>
            <w:hideMark/>
          </w:tcPr>
          <w:p w14:paraId="5638FE42"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c>
          <w:tcPr>
            <w:tcW w:w="709" w:type="dxa"/>
            <w:tcBorders>
              <w:bottom w:val="double" w:sz="4" w:space="0" w:color="4F81BD" w:themeColor="accent1"/>
            </w:tcBorders>
            <w:shd w:val="clear" w:color="auto" w:fill="4F81BD" w:themeFill="accent1"/>
            <w:vAlign w:val="center"/>
            <w:hideMark/>
          </w:tcPr>
          <w:p w14:paraId="637F0DA1"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c>
          <w:tcPr>
            <w:tcW w:w="567" w:type="dxa"/>
            <w:tcBorders>
              <w:bottom w:val="double" w:sz="4" w:space="0" w:color="4F81BD" w:themeColor="accent1"/>
            </w:tcBorders>
            <w:shd w:val="clear" w:color="auto" w:fill="4F81BD" w:themeFill="accent1"/>
            <w:vAlign w:val="center"/>
            <w:hideMark/>
          </w:tcPr>
          <w:p w14:paraId="1C3AC9A9"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c>
          <w:tcPr>
            <w:tcW w:w="850" w:type="dxa"/>
            <w:tcBorders>
              <w:bottom w:val="double" w:sz="4" w:space="0" w:color="4F81BD" w:themeColor="accent1"/>
            </w:tcBorders>
            <w:shd w:val="clear" w:color="auto" w:fill="4F81BD" w:themeFill="accent1"/>
            <w:vAlign w:val="center"/>
            <w:hideMark/>
          </w:tcPr>
          <w:p w14:paraId="165708A7" w14:textId="77777777" w:rsidR="009801CD" w:rsidRPr="005045BF" w:rsidRDefault="009801CD"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FFFFFF" w:themeColor="background1"/>
                <w:sz w:val="20"/>
                <w:szCs w:val="20"/>
              </w:rPr>
            </w:pPr>
            <w:r w:rsidRPr="005045BF">
              <w:rPr>
                <w:rFonts w:ascii="Arial" w:hAnsi="Arial" w:cs="Arial"/>
                <w:b w:val="0"/>
                <w:color w:val="FFFFFF" w:themeColor="background1"/>
                <w:sz w:val="20"/>
                <w:szCs w:val="20"/>
              </w:rPr>
              <w:t>%</w:t>
            </w:r>
          </w:p>
        </w:tc>
      </w:tr>
      <w:tr w:rsidR="009D0FBF" w:rsidRPr="005045BF" w14:paraId="665E870C"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double" w:sz="4" w:space="0" w:color="4F81BD" w:themeColor="accent1"/>
              <w:left w:val="single" w:sz="4" w:space="0" w:color="4F81BD" w:themeColor="accent1"/>
              <w:bottom w:val="single" w:sz="4" w:space="0" w:color="4F81BD" w:themeColor="accent1"/>
            </w:tcBorders>
            <w:noWrap/>
            <w:vAlign w:val="center"/>
            <w:hideMark/>
          </w:tcPr>
          <w:p w14:paraId="547DB8AA"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Ministro</w:t>
            </w:r>
          </w:p>
        </w:tc>
        <w:tc>
          <w:tcPr>
            <w:tcW w:w="709" w:type="dxa"/>
            <w:tcBorders>
              <w:top w:val="double" w:sz="4" w:space="0" w:color="4F81BD" w:themeColor="accent1"/>
              <w:bottom w:val="single" w:sz="4" w:space="0" w:color="4F81BD" w:themeColor="accent1"/>
            </w:tcBorders>
            <w:noWrap/>
            <w:vAlign w:val="bottom"/>
          </w:tcPr>
          <w:p w14:paraId="7622363C" w14:textId="3D6DBBC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double" w:sz="4" w:space="0" w:color="4F81BD" w:themeColor="accent1"/>
              <w:bottom w:val="single" w:sz="4" w:space="0" w:color="4F81BD" w:themeColor="accent1"/>
            </w:tcBorders>
            <w:noWrap/>
            <w:vAlign w:val="center"/>
          </w:tcPr>
          <w:p w14:paraId="19878BE4" w14:textId="35CA473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709" w:type="dxa"/>
            <w:tcBorders>
              <w:top w:val="double" w:sz="4" w:space="0" w:color="4F81BD" w:themeColor="accent1"/>
              <w:bottom w:val="single" w:sz="4" w:space="0" w:color="4F81BD" w:themeColor="accent1"/>
            </w:tcBorders>
            <w:noWrap/>
            <w:vAlign w:val="bottom"/>
          </w:tcPr>
          <w:p w14:paraId="000E797B" w14:textId="2C1BEFF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709" w:type="dxa"/>
            <w:tcBorders>
              <w:top w:val="double" w:sz="4" w:space="0" w:color="4F81BD" w:themeColor="accent1"/>
              <w:bottom w:val="single" w:sz="4" w:space="0" w:color="4F81BD" w:themeColor="accent1"/>
            </w:tcBorders>
            <w:noWrap/>
            <w:vAlign w:val="center"/>
          </w:tcPr>
          <w:p w14:paraId="46571A62" w14:textId="692FC4F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double" w:sz="4" w:space="0" w:color="4F81BD" w:themeColor="accent1"/>
              <w:bottom w:val="single" w:sz="4" w:space="0" w:color="4F81BD" w:themeColor="accent1"/>
            </w:tcBorders>
            <w:noWrap/>
            <w:vAlign w:val="center"/>
          </w:tcPr>
          <w:p w14:paraId="169BEC02" w14:textId="68A3C0F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double" w:sz="4" w:space="0" w:color="4F81BD" w:themeColor="accent1"/>
              <w:bottom w:val="single" w:sz="4" w:space="0" w:color="4F81BD" w:themeColor="accent1"/>
            </w:tcBorders>
            <w:noWrap/>
            <w:vAlign w:val="center"/>
          </w:tcPr>
          <w:p w14:paraId="76B9D7FF" w14:textId="6D2DEAD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double" w:sz="4" w:space="0" w:color="4F81BD" w:themeColor="accent1"/>
              <w:bottom w:val="single" w:sz="4" w:space="0" w:color="4F81BD" w:themeColor="accent1"/>
            </w:tcBorders>
            <w:noWrap/>
            <w:vAlign w:val="center"/>
          </w:tcPr>
          <w:p w14:paraId="52A05895" w14:textId="5E931EC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double" w:sz="4" w:space="0" w:color="4F81BD" w:themeColor="accent1"/>
              <w:bottom w:val="single" w:sz="4" w:space="0" w:color="4F81BD" w:themeColor="accent1"/>
            </w:tcBorders>
            <w:vAlign w:val="center"/>
          </w:tcPr>
          <w:p w14:paraId="6C732B36" w14:textId="4D11A86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double" w:sz="4" w:space="0" w:color="4F81BD" w:themeColor="accent1"/>
              <w:bottom w:val="single" w:sz="4" w:space="0" w:color="4F81BD" w:themeColor="accent1"/>
            </w:tcBorders>
            <w:noWrap/>
            <w:vAlign w:val="center"/>
          </w:tcPr>
          <w:p w14:paraId="194DA3B7" w14:textId="3976D3B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double" w:sz="4" w:space="0" w:color="4F81BD" w:themeColor="accent1"/>
              <w:bottom w:val="single" w:sz="4" w:space="0" w:color="4F81BD" w:themeColor="accent1"/>
            </w:tcBorders>
            <w:vAlign w:val="center"/>
          </w:tcPr>
          <w:p w14:paraId="528E68F0" w14:textId="1EA4A17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double" w:sz="4" w:space="0" w:color="4F81BD" w:themeColor="accent1"/>
              <w:bottom w:val="single" w:sz="4" w:space="0" w:color="4F81BD" w:themeColor="accent1"/>
            </w:tcBorders>
            <w:vAlign w:val="center"/>
          </w:tcPr>
          <w:p w14:paraId="3C5CA7A3" w14:textId="2CD4375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double" w:sz="4" w:space="0" w:color="4F81BD" w:themeColor="accent1"/>
              <w:bottom w:val="single" w:sz="4" w:space="0" w:color="4F81BD" w:themeColor="accent1"/>
              <w:right w:val="single" w:sz="4" w:space="0" w:color="4F81BD" w:themeColor="accent1"/>
            </w:tcBorders>
            <w:vAlign w:val="center"/>
          </w:tcPr>
          <w:p w14:paraId="4997F9FF" w14:textId="645BD2E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r>
      <w:tr w:rsidR="009D0FBF" w:rsidRPr="005045BF" w14:paraId="1F3E3902"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536FC847"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Viceministros</w:t>
            </w:r>
          </w:p>
        </w:tc>
        <w:tc>
          <w:tcPr>
            <w:tcW w:w="709" w:type="dxa"/>
            <w:tcBorders>
              <w:top w:val="single" w:sz="4" w:space="0" w:color="4F81BD" w:themeColor="accent1"/>
              <w:bottom w:val="single" w:sz="4" w:space="0" w:color="4F81BD" w:themeColor="accent1"/>
            </w:tcBorders>
            <w:noWrap/>
            <w:vAlign w:val="bottom"/>
          </w:tcPr>
          <w:p w14:paraId="02631B5F" w14:textId="46D1936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567" w:type="dxa"/>
            <w:tcBorders>
              <w:top w:val="single" w:sz="4" w:space="0" w:color="4F81BD" w:themeColor="accent1"/>
              <w:bottom w:val="single" w:sz="4" w:space="0" w:color="4F81BD" w:themeColor="accent1"/>
            </w:tcBorders>
            <w:noWrap/>
            <w:vAlign w:val="center"/>
          </w:tcPr>
          <w:p w14:paraId="2F1DBB3E" w14:textId="7111750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709" w:type="dxa"/>
            <w:tcBorders>
              <w:top w:val="single" w:sz="4" w:space="0" w:color="4F81BD" w:themeColor="accent1"/>
              <w:bottom w:val="single" w:sz="4" w:space="0" w:color="4F81BD" w:themeColor="accent1"/>
            </w:tcBorders>
            <w:noWrap/>
            <w:vAlign w:val="bottom"/>
          </w:tcPr>
          <w:p w14:paraId="22A5080E" w14:textId="45C3120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709" w:type="dxa"/>
            <w:tcBorders>
              <w:top w:val="single" w:sz="4" w:space="0" w:color="4F81BD" w:themeColor="accent1"/>
              <w:bottom w:val="single" w:sz="4" w:space="0" w:color="4F81BD" w:themeColor="accent1"/>
            </w:tcBorders>
            <w:noWrap/>
            <w:vAlign w:val="center"/>
          </w:tcPr>
          <w:p w14:paraId="3032B2FD" w14:textId="1598102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567" w:type="dxa"/>
            <w:tcBorders>
              <w:top w:val="single" w:sz="4" w:space="0" w:color="4F81BD" w:themeColor="accent1"/>
              <w:bottom w:val="single" w:sz="4" w:space="0" w:color="4F81BD" w:themeColor="accent1"/>
            </w:tcBorders>
            <w:noWrap/>
            <w:vAlign w:val="center"/>
          </w:tcPr>
          <w:p w14:paraId="24096CB4" w14:textId="05B0895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567" w:type="dxa"/>
            <w:tcBorders>
              <w:top w:val="single" w:sz="4" w:space="0" w:color="4F81BD" w:themeColor="accent1"/>
              <w:bottom w:val="single" w:sz="4" w:space="0" w:color="4F81BD" w:themeColor="accent1"/>
            </w:tcBorders>
            <w:noWrap/>
            <w:vAlign w:val="center"/>
          </w:tcPr>
          <w:p w14:paraId="189BF23C" w14:textId="60920BB9"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567" w:type="dxa"/>
            <w:tcBorders>
              <w:top w:val="single" w:sz="4" w:space="0" w:color="4F81BD" w:themeColor="accent1"/>
              <w:bottom w:val="single" w:sz="4" w:space="0" w:color="4F81BD" w:themeColor="accent1"/>
            </w:tcBorders>
            <w:noWrap/>
            <w:vAlign w:val="center"/>
          </w:tcPr>
          <w:p w14:paraId="31A8AE28" w14:textId="31B6E10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tcBorders>
            <w:vAlign w:val="center"/>
          </w:tcPr>
          <w:p w14:paraId="2F2DFD83" w14:textId="4FE2AB3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12636149" w14:textId="45CF649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vAlign w:val="center"/>
          </w:tcPr>
          <w:p w14:paraId="0997E711" w14:textId="405338F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vAlign w:val="center"/>
          </w:tcPr>
          <w:p w14:paraId="23883DD6" w14:textId="53BC5CF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3CB8F93C" w14:textId="7C46C99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r>
      <w:tr w:rsidR="009D0FBF" w:rsidRPr="005045BF" w14:paraId="3A58771E"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311DBCC5"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Secretario General</w:t>
            </w:r>
          </w:p>
        </w:tc>
        <w:tc>
          <w:tcPr>
            <w:tcW w:w="709" w:type="dxa"/>
            <w:tcBorders>
              <w:top w:val="single" w:sz="4" w:space="0" w:color="4F81BD" w:themeColor="accent1"/>
              <w:bottom w:val="single" w:sz="4" w:space="0" w:color="4F81BD" w:themeColor="accent1"/>
            </w:tcBorders>
            <w:noWrap/>
            <w:vAlign w:val="bottom"/>
          </w:tcPr>
          <w:p w14:paraId="5CDFB080" w14:textId="6797DF9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0C82FDAA" w14:textId="4868F15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709" w:type="dxa"/>
            <w:tcBorders>
              <w:top w:val="single" w:sz="4" w:space="0" w:color="4F81BD" w:themeColor="accent1"/>
              <w:bottom w:val="single" w:sz="4" w:space="0" w:color="4F81BD" w:themeColor="accent1"/>
            </w:tcBorders>
            <w:noWrap/>
            <w:vAlign w:val="bottom"/>
          </w:tcPr>
          <w:p w14:paraId="184A0A19" w14:textId="7CFFF98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709" w:type="dxa"/>
            <w:tcBorders>
              <w:top w:val="single" w:sz="4" w:space="0" w:color="4F81BD" w:themeColor="accent1"/>
              <w:bottom w:val="single" w:sz="4" w:space="0" w:color="4F81BD" w:themeColor="accent1"/>
            </w:tcBorders>
            <w:noWrap/>
            <w:vAlign w:val="center"/>
          </w:tcPr>
          <w:p w14:paraId="6B72226B" w14:textId="5DD8A3B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149F4BB3" w14:textId="5B0E098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3E27CA00" w14:textId="448FB27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177D2FC7" w14:textId="42B0949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tcBorders>
            <w:vAlign w:val="center"/>
          </w:tcPr>
          <w:p w14:paraId="389EAD99" w14:textId="0B419D6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3A76AB49" w14:textId="6F4060D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vAlign w:val="center"/>
          </w:tcPr>
          <w:p w14:paraId="7595EE27" w14:textId="13D1066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vAlign w:val="center"/>
          </w:tcPr>
          <w:p w14:paraId="13DE37D2" w14:textId="54F0857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4F102B43" w14:textId="2A3C5E4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r>
      <w:tr w:rsidR="009D0FBF" w:rsidRPr="005045BF" w14:paraId="467AA485"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6EDE8234"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Directores</w:t>
            </w:r>
          </w:p>
        </w:tc>
        <w:tc>
          <w:tcPr>
            <w:tcW w:w="709" w:type="dxa"/>
            <w:tcBorders>
              <w:top w:val="single" w:sz="4" w:space="0" w:color="4F81BD" w:themeColor="accent1"/>
              <w:bottom w:val="single" w:sz="4" w:space="0" w:color="4F81BD" w:themeColor="accent1"/>
            </w:tcBorders>
            <w:noWrap/>
            <w:vAlign w:val="bottom"/>
          </w:tcPr>
          <w:p w14:paraId="6935E998" w14:textId="0315EA6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567" w:type="dxa"/>
            <w:tcBorders>
              <w:top w:val="single" w:sz="4" w:space="0" w:color="4F81BD" w:themeColor="accent1"/>
              <w:bottom w:val="single" w:sz="4" w:space="0" w:color="4F81BD" w:themeColor="accent1"/>
            </w:tcBorders>
            <w:noWrap/>
            <w:vAlign w:val="center"/>
          </w:tcPr>
          <w:p w14:paraId="544F4ADA" w14:textId="7ACEF44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709" w:type="dxa"/>
            <w:tcBorders>
              <w:top w:val="single" w:sz="4" w:space="0" w:color="4F81BD" w:themeColor="accent1"/>
              <w:bottom w:val="single" w:sz="4" w:space="0" w:color="4F81BD" w:themeColor="accent1"/>
            </w:tcBorders>
            <w:noWrap/>
            <w:vAlign w:val="bottom"/>
          </w:tcPr>
          <w:p w14:paraId="00F776D9" w14:textId="707ED0E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709" w:type="dxa"/>
            <w:tcBorders>
              <w:top w:val="single" w:sz="4" w:space="0" w:color="4F81BD" w:themeColor="accent1"/>
              <w:bottom w:val="single" w:sz="4" w:space="0" w:color="4F81BD" w:themeColor="accent1"/>
            </w:tcBorders>
            <w:noWrap/>
            <w:vAlign w:val="center"/>
          </w:tcPr>
          <w:p w14:paraId="30971AA8" w14:textId="57BF65B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567" w:type="dxa"/>
            <w:tcBorders>
              <w:top w:val="single" w:sz="4" w:space="0" w:color="4F81BD" w:themeColor="accent1"/>
              <w:bottom w:val="single" w:sz="4" w:space="0" w:color="4F81BD" w:themeColor="accent1"/>
            </w:tcBorders>
            <w:noWrap/>
            <w:vAlign w:val="center"/>
          </w:tcPr>
          <w:p w14:paraId="2FE65EDF" w14:textId="64ACE99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567" w:type="dxa"/>
            <w:tcBorders>
              <w:top w:val="single" w:sz="4" w:space="0" w:color="4F81BD" w:themeColor="accent1"/>
              <w:bottom w:val="single" w:sz="4" w:space="0" w:color="4F81BD" w:themeColor="accent1"/>
            </w:tcBorders>
            <w:noWrap/>
            <w:vAlign w:val="center"/>
          </w:tcPr>
          <w:p w14:paraId="33D26D10" w14:textId="5889A80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8</w:t>
            </w:r>
          </w:p>
        </w:tc>
        <w:tc>
          <w:tcPr>
            <w:tcW w:w="567" w:type="dxa"/>
            <w:tcBorders>
              <w:top w:val="single" w:sz="4" w:space="0" w:color="4F81BD" w:themeColor="accent1"/>
              <w:bottom w:val="single" w:sz="4" w:space="0" w:color="4F81BD" w:themeColor="accent1"/>
            </w:tcBorders>
            <w:noWrap/>
            <w:vAlign w:val="center"/>
          </w:tcPr>
          <w:p w14:paraId="2AAECB0E" w14:textId="68FA7B6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tcBorders>
            <w:vAlign w:val="center"/>
          </w:tcPr>
          <w:p w14:paraId="0EB097D1" w14:textId="6C5DDB1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27BCDFD7" w14:textId="67A9E62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vAlign w:val="center"/>
          </w:tcPr>
          <w:p w14:paraId="13E41210" w14:textId="7BF045C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vAlign w:val="center"/>
          </w:tcPr>
          <w:p w14:paraId="2F95AE91" w14:textId="4BB2DA89"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1C56BC18" w14:textId="2776866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r>
      <w:tr w:rsidR="009D0FBF" w:rsidRPr="005045BF" w14:paraId="77E9DAED"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6A06628F"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Subdirectores</w:t>
            </w:r>
          </w:p>
        </w:tc>
        <w:tc>
          <w:tcPr>
            <w:tcW w:w="709" w:type="dxa"/>
            <w:tcBorders>
              <w:top w:val="single" w:sz="4" w:space="0" w:color="4F81BD" w:themeColor="accent1"/>
              <w:bottom w:val="single" w:sz="4" w:space="0" w:color="4F81BD" w:themeColor="accent1"/>
            </w:tcBorders>
            <w:noWrap/>
            <w:vAlign w:val="bottom"/>
          </w:tcPr>
          <w:p w14:paraId="12000130" w14:textId="4C209E1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23</w:t>
            </w:r>
          </w:p>
        </w:tc>
        <w:tc>
          <w:tcPr>
            <w:tcW w:w="567" w:type="dxa"/>
            <w:tcBorders>
              <w:top w:val="single" w:sz="4" w:space="0" w:color="4F81BD" w:themeColor="accent1"/>
              <w:bottom w:val="single" w:sz="4" w:space="0" w:color="4F81BD" w:themeColor="accent1"/>
            </w:tcBorders>
            <w:noWrap/>
            <w:vAlign w:val="center"/>
          </w:tcPr>
          <w:p w14:paraId="253A3DDE" w14:textId="1A5E659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24</w:t>
            </w:r>
          </w:p>
        </w:tc>
        <w:tc>
          <w:tcPr>
            <w:tcW w:w="709" w:type="dxa"/>
            <w:tcBorders>
              <w:top w:val="single" w:sz="4" w:space="0" w:color="4F81BD" w:themeColor="accent1"/>
              <w:bottom w:val="single" w:sz="4" w:space="0" w:color="4F81BD" w:themeColor="accent1"/>
            </w:tcBorders>
            <w:noWrap/>
            <w:vAlign w:val="bottom"/>
          </w:tcPr>
          <w:p w14:paraId="466446AA" w14:textId="326B843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24</w:t>
            </w:r>
          </w:p>
        </w:tc>
        <w:tc>
          <w:tcPr>
            <w:tcW w:w="709" w:type="dxa"/>
            <w:tcBorders>
              <w:top w:val="single" w:sz="4" w:space="0" w:color="4F81BD" w:themeColor="accent1"/>
              <w:bottom w:val="single" w:sz="4" w:space="0" w:color="4F81BD" w:themeColor="accent1"/>
            </w:tcBorders>
            <w:noWrap/>
            <w:vAlign w:val="center"/>
          </w:tcPr>
          <w:p w14:paraId="0FF7B982" w14:textId="34002FD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2D946A39" w14:textId="0639463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31BBD6D0" w14:textId="5E48964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21</w:t>
            </w:r>
          </w:p>
        </w:tc>
        <w:tc>
          <w:tcPr>
            <w:tcW w:w="567" w:type="dxa"/>
            <w:tcBorders>
              <w:top w:val="single" w:sz="4" w:space="0" w:color="4F81BD" w:themeColor="accent1"/>
              <w:bottom w:val="single" w:sz="4" w:space="0" w:color="4F81BD" w:themeColor="accent1"/>
            </w:tcBorders>
            <w:noWrap/>
            <w:vAlign w:val="center"/>
          </w:tcPr>
          <w:p w14:paraId="0E2CB5B1" w14:textId="090FB01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850" w:type="dxa"/>
            <w:tcBorders>
              <w:top w:val="single" w:sz="4" w:space="0" w:color="4F81BD" w:themeColor="accent1"/>
              <w:bottom w:val="single" w:sz="4" w:space="0" w:color="4F81BD" w:themeColor="accent1"/>
            </w:tcBorders>
            <w:vAlign w:val="center"/>
          </w:tcPr>
          <w:p w14:paraId="64430FC1" w14:textId="39E3D19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w:t>
            </w:r>
          </w:p>
        </w:tc>
        <w:tc>
          <w:tcPr>
            <w:tcW w:w="567" w:type="dxa"/>
            <w:tcBorders>
              <w:top w:val="single" w:sz="4" w:space="0" w:color="4F81BD" w:themeColor="accent1"/>
              <w:bottom w:val="single" w:sz="4" w:space="0" w:color="4F81BD" w:themeColor="accent1"/>
            </w:tcBorders>
            <w:noWrap/>
            <w:vAlign w:val="center"/>
          </w:tcPr>
          <w:p w14:paraId="7BC051C0" w14:textId="73ECD9F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709" w:type="dxa"/>
            <w:tcBorders>
              <w:top w:val="single" w:sz="4" w:space="0" w:color="4F81BD" w:themeColor="accent1"/>
              <w:bottom w:val="single" w:sz="4" w:space="0" w:color="4F81BD" w:themeColor="accent1"/>
            </w:tcBorders>
            <w:vAlign w:val="center"/>
          </w:tcPr>
          <w:p w14:paraId="1C0D2F82" w14:textId="6072841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vAlign w:val="center"/>
          </w:tcPr>
          <w:p w14:paraId="40E45256" w14:textId="24432CF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12378B5B" w14:textId="4020F72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14%</w:t>
            </w:r>
          </w:p>
        </w:tc>
      </w:tr>
      <w:tr w:rsidR="009D0FBF" w:rsidRPr="005045BF" w14:paraId="0E44BC0A"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6180B121"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Jefes de Oficina</w:t>
            </w:r>
          </w:p>
        </w:tc>
        <w:tc>
          <w:tcPr>
            <w:tcW w:w="709" w:type="dxa"/>
            <w:tcBorders>
              <w:top w:val="single" w:sz="4" w:space="0" w:color="4F81BD" w:themeColor="accent1"/>
              <w:bottom w:val="single" w:sz="4" w:space="0" w:color="4F81BD" w:themeColor="accent1"/>
            </w:tcBorders>
            <w:noWrap/>
            <w:vAlign w:val="bottom"/>
          </w:tcPr>
          <w:p w14:paraId="211822B8" w14:textId="61BC9E6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35F8BD9E" w14:textId="1C14CC0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709" w:type="dxa"/>
            <w:tcBorders>
              <w:top w:val="single" w:sz="4" w:space="0" w:color="4F81BD" w:themeColor="accent1"/>
              <w:bottom w:val="single" w:sz="4" w:space="0" w:color="4F81BD" w:themeColor="accent1"/>
            </w:tcBorders>
            <w:noWrap/>
            <w:vAlign w:val="bottom"/>
          </w:tcPr>
          <w:p w14:paraId="228F28E6" w14:textId="64E2F0E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709" w:type="dxa"/>
            <w:tcBorders>
              <w:top w:val="single" w:sz="4" w:space="0" w:color="4F81BD" w:themeColor="accent1"/>
              <w:bottom w:val="single" w:sz="4" w:space="0" w:color="4F81BD" w:themeColor="accent1"/>
            </w:tcBorders>
            <w:noWrap/>
            <w:vAlign w:val="center"/>
          </w:tcPr>
          <w:p w14:paraId="6920B281" w14:textId="21B944B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266CEC7C" w14:textId="5B8EA33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3BB920EC" w14:textId="0A1809F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4830C956" w14:textId="4BB6F4A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tcBorders>
            <w:vAlign w:val="center"/>
          </w:tcPr>
          <w:p w14:paraId="12A8CCA6" w14:textId="44D38D5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70BFBF10" w14:textId="02E14B8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vAlign w:val="center"/>
          </w:tcPr>
          <w:p w14:paraId="0711C2F3" w14:textId="181BFBA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vAlign w:val="center"/>
          </w:tcPr>
          <w:p w14:paraId="4F709AC0" w14:textId="0491D53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2DED939D" w14:textId="69AD7B8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r>
      <w:tr w:rsidR="009D0FBF" w:rsidRPr="005045BF" w14:paraId="5559FD87" w14:textId="77777777" w:rsidTr="007B19CD">
        <w:trPr>
          <w:cnfStyle w:val="100000000000" w:firstRow="1" w:lastRow="0" w:firstColumn="0" w:lastColumn="0" w:oddVBand="0" w:evenVBand="0" w:oddHBand="0" w:evenHBand="0" w:firstRowFirstColumn="0" w:firstRowLastColumn="0" w:lastRowFirstColumn="0" w:lastRowLastColumn="0"/>
          <w:cantSplit/>
          <w:trHeight w:val="277"/>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7DEE827A"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Asesores</w:t>
            </w:r>
          </w:p>
        </w:tc>
        <w:tc>
          <w:tcPr>
            <w:tcW w:w="709" w:type="dxa"/>
            <w:tcBorders>
              <w:top w:val="single" w:sz="4" w:space="0" w:color="4F81BD" w:themeColor="accent1"/>
              <w:bottom w:val="single" w:sz="4" w:space="0" w:color="4F81BD" w:themeColor="accent1"/>
            </w:tcBorders>
            <w:noWrap/>
            <w:vAlign w:val="bottom"/>
          </w:tcPr>
          <w:p w14:paraId="42108106" w14:textId="7140534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297</w:t>
            </w:r>
          </w:p>
        </w:tc>
        <w:tc>
          <w:tcPr>
            <w:tcW w:w="567" w:type="dxa"/>
            <w:tcBorders>
              <w:top w:val="single" w:sz="4" w:space="0" w:color="4F81BD" w:themeColor="accent1"/>
              <w:bottom w:val="single" w:sz="4" w:space="0" w:color="4F81BD" w:themeColor="accent1"/>
            </w:tcBorders>
            <w:noWrap/>
            <w:vAlign w:val="center"/>
          </w:tcPr>
          <w:p w14:paraId="0E32A304" w14:textId="4BC900E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295</w:t>
            </w:r>
          </w:p>
        </w:tc>
        <w:tc>
          <w:tcPr>
            <w:tcW w:w="709" w:type="dxa"/>
            <w:tcBorders>
              <w:top w:val="single" w:sz="4" w:space="0" w:color="4F81BD" w:themeColor="accent1"/>
              <w:bottom w:val="single" w:sz="4" w:space="0" w:color="4F81BD" w:themeColor="accent1"/>
            </w:tcBorders>
            <w:noWrap/>
            <w:vAlign w:val="bottom"/>
          </w:tcPr>
          <w:p w14:paraId="47A49024" w14:textId="7934537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296</w:t>
            </w:r>
          </w:p>
        </w:tc>
        <w:tc>
          <w:tcPr>
            <w:tcW w:w="709" w:type="dxa"/>
            <w:tcBorders>
              <w:top w:val="single" w:sz="4" w:space="0" w:color="4F81BD" w:themeColor="accent1"/>
              <w:bottom w:val="single" w:sz="4" w:space="0" w:color="4F81BD" w:themeColor="accent1"/>
            </w:tcBorders>
            <w:noWrap/>
            <w:vAlign w:val="center"/>
          </w:tcPr>
          <w:p w14:paraId="0F3A9E0E" w14:textId="5742F6C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285</w:t>
            </w:r>
          </w:p>
        </w:tc>
        <w:tc>
          <w:tcPr>
            <w:tcW w:w="567" w:type="dxa"/>
            <w:tcBorders>
              <w:top w:val="single" w:sz="4" w:space="0" w:color="4F81BD" w:themeColor="accent1"/>
              <w:bottom w:val="single" w:sz="4" w:space="0" w:color="4F81BD" w:themeColor="accent1"/>
            </w:tcBorders>
            <w:noWrap/>
            <w:vAlign w:val="center"/>
          </w:tcPr>
          <w:p w14:paraId="56CE44EB" w14:textId="3F03583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283</w:t>
            </w:r>
          </w:p>
        </w:tc>
        <w:tc>
          <w:tcPr>
            <w:tcW w:w="567" w:type="dxa"/>
            <w:tcBorders>
              <w:top w:val="single" w:sz="4" w:space="0" w:color="4F81BD" w:themeColor="accent1"/>
              <w:bottom w:val="single" w:sz="4" w:space="0" w:color="4F81BD" w:themeColor="accent1"/>
            </w:tcBorders>
            <w:noWrap/>
            <w:vAlign w:val="center"/>
          </w:tcPr>
          <w:p w14:paraId="4236D04D" w14:textId="7E5CEB5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285</w:t>
            </w:r>
          </w:p>
        </w:tc>
        <w:tc>
          <w:tcPr>
            <w:tcW w:w="567" w:type="dxa"/>
            <w:tcBorders>
              <w:top w:val="single" w:sz="4" w:space="0" w:color="4F81BD" w:themeColor="accent1"/>
              <w:bottom w:val="single" w:sz="4" w:space="0" w:color="4F81BD" w:themeColor="accent1"/>
            </w:tcBorders>
            <w:noWrap/>
            <w:vAlign w:val="center"/>
          </w:tcPr>
          <w:p w14:paraId="4BE1E726" w14:textId="3F685D4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12</w:t>
            </w:r>
          </w:p>
        </w:tc>
        <w:tc>
          <w:tcPr>
            <w:tcW w:w="850" w:type="dxa"/>
            <w:tcBorders>
              <w:top w:val="single" w:sz="4" w:space="0" w:color="4F81BD" w:themeColor="accent1"/>
              <w:bottom w:val="single" w:sz="4" w:space="0" w:color="4F81BD" w:themeColor="accent1"/>
            </w:tcBorders>
            <w:vAlign w:val="center"/>
          </w:tcPr>
          <w:p w14:paraId="346D7A17" w14:textId="21D057D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66F1A3AA" w14:textId="50C5EF0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12</w:t>
            </w:r>
          </w:p>
        </w:tc>
        <w:tc>
          <w:tcPr>
            <w:tcW w:w="709" w:type="dxa"/>
            <w:tcBorders>
              <w:top w:val="single" w:sz="4" w:space="0" w:color="4F81BD" w:themeColor="accent1"/>
              <w:bottom w:val="single" w:sz="4" w:space="0" w:color="4F81BD" w:themeColor="accent1"/>
            </w:tcBorders>
            <w:vAlign w:val="center"/>
          </w:tcPr>
          <w:p w14:paraId="5F208C65" w14:textId="546EB96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vAlign w:val="center"/>
          </w:tcPr>
          <w:p w14:paraId="7EB6DE26" w14:textId="36CC700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11</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48754161" w14:textId="5BF37A5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r>
      <w:tr w:rsidR="009D0FBF" w:rsidRPr="005045BF" w14:paraId="4E7CF8FD"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78601555"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Profesionales</w:t>
            </w:r>
          </w:p>
        </w:tc>
        <w:tc>
          <w:tcPr>
            <w:tcW w:w="709" w:type="dxa"/>
            <w:tcBorders>
              <w:top w:val="single" w:sz="4" w:space="0" w:color="4F81BD" w:themeColor="accent1"/>
              <w:bottom w:val="single" w:sz="4" w:space="0" w:color="4F81BD" w:themeColor="accent1"/>
            </w:tcBorders>
            <w:noWrap/>
            <w:vAlign w:val="bottom"/>
          </w:tcPr>
          <w:p w14:paraId="191F504C" w14:textId="6773DDB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161</w:t>
            </w:r>
          </w:p>
        </w:tc>
        <w:tc>
          <w:tcPr>
            <w:tcW w:w="567" w:type="dxa"/>
            <w:tcBorders>
              <w:top w:val="single" w:sz="4" w:space="0" w:color="4F81BD" w:themeColor="accent1"/>
              <w:bottom w:val="single" w:sz="4" w:space="0" w:color="4F81BD" w:themeColor="accent1"/>
            </w:tcBorders>
            <w:noWrap/>
            <w:vAlign w:val="center"/>
          </w:tcPr>
          <w:p w14:paraId="6158352C" w14:textId="630E9B4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159</w:t>
            </w:r>
          </w:p>
        </w:tc>
        <w:tc>
          <w:tcPr>
            <w:tcW w:w="709" w:type="dxa"/>
            <w:tcBorders>
              <w:top w:val="single" w:sz="4" w:space="0" w:color="4F81BD" w:themeColor="accent1"/>
              <w:bottom w:val="single" w:sz="4" w:space="0" w:color="4F81BD" w:themeColor="accent1"/>
            </w:tcBorders>
            <w:noWrap/>
            <w:vAlign w:val="bottom"/>
          </w:tcPr>
          <w:p w14:paraId="0FFCB05B" w14:textId="42673FF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159</w:t>
            </w:r>
          </w:p>
        </w:tc>
        <w:tc>
          <w:tcPr>
            <w:tcW w:w="709" w:type="dxa"/>
            <w:tcBorders>
              <w:top w:val="single" w:sz="4" w:space="0" w:color="4F81BD" w:themeColor="accent1"/>
              <w:bottom w:val="single" w:sz="4" w:space="0" w:color="4F81BD" w:themeColor="accent1"/>
            </w:tcBorders>
            <w:noWrap/>
            <w:vAlign w:val="center"/>
          </w:tcPr>
          <w:p w14:paraId="6C063E97" w14:textId="4DBE0209"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155</w:t>
            </w:r>
          </w:p>
        </w:tc>
        <w:tc>
          <w:tcPr>
            <w:tcW w:w="567" w:type="dxa"/>
            <w:tcBorders>
              <w:top w:val="single" w:sz="4" w:space="0" w:color="4F81BD" w:themeColor="accent1"/>
              <w:bottom w:val="single" w:sz="4" w:space="0" w:color="4F81BD" w:themeColor="accent1"/>
            </w:tcBorders>
            <w:noWrap/>
            <w:vAlign w:val="center"/>
          </w:tcPr>
          <w:p w14:paraId="469C1526" w14:textId="0D60F66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157</w:t>
            </w:r>
          </w:p>
        </w:tc>
        <w:tc>
          <w:tcPr>
            <w:tcW w:w="567" w:type="dxa"/>
            <w:tcBorders>
              <w:top w:val="single" w:sz="4" w:space="0" w:color="4F81BD" w:themeColor="accent1"/>
              <w:bottom w:val="single" w:sz="4" w:space="0" w:color="4F81BD" w:themeColor="accent1"/>
            </w:tcBorders>
            <w:noWrap/>
            <w:vAlign w:val="center"/>
          </w:tcPr>
          <w:p w14:paraId="6CE43B07" w14:textId="5BD98CC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156</w:t>
            </w:r>
          </w:p>
        </w:tc>
        <w:tc>
          <w:tcPr>
            <w:tcW w:w="567" w:type="dxa"/>
            <w:tcBorders>
              <w:top w:val="single" w:sz="4" w:space="0" w:color="4F81BD" w:themeColor="accent1"/>
              <w:bottom w:val="single" w:sz="4" w:space="0" w:color="4F81BD" w:themeColor="accent1"/>
            </w:tcBorders>
            <w:noWrap/>
            <w:vAlign w:val="center"/>
          </w:tcPr>
          <w:p w14:paraId="0AB96EC9" w14:textId="26A835D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w:t>
            </w:r>
          </w:p>
        </w:tc>
        <w:tc>
          <w:tcPr>
            <w:tcW w:w="850" w:type="dxa"/>
            <w:tcBorders>
              <w:top w:val="single" w:sz="4" w:space="0" w:color="4F81BD" w:themeColor="accent1"/>
              <w:bottom w:val="single" w:sz="4" w:space="0" w:color="4F81BD" w:themeColor="accent1"/>
            </w:tcBorders>
            <w:vAlign w:val="center"/>
          </w:tcPr>
          <w:p w14:paraId="06DBD696" w14:textId="1E27413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567" w:type="dxa"/>
            <w:tcBorders>
              <w:top w:val="single" w:sz="4" w:space="0" w:color="4F81BD" w:themeColor="accent1"/>
              <w:bottom w:val="single" w:sz="4" w:space="0" w:color="4F81BD" w:themeColor="accent1"/>
            </w:tcBorders>
            <w:noWrap/>
            <w:vAlign w:val="center"/>
          </w:tcPr>
          <w:p w14:paraId="3AC3E97F" w14:textId="62FDC45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709" w:type="dxa"/>
            <w:tcBorders>
              <w:top w:val="single" w:sz="4" w:space="0" w:color="4F81BD" w:themeColor="accent1"/>
              <w:bottom w:val="single" w:sz="4" w:space="0" w:color="4F81BD" w:themeColor="accent1"/>
            </w:tcBorders>
            <w:vAlign w:val="center"/>
          </w:tcPr>
          <w:p w14:paraId="08E17F09" w14:textId="3C61B33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vAlign w:val="center"/>
          </w:tcPr>
          <w:p w14:paraId="4DD34433" w14:textId="0B242F2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3CEC40C1" w14:textId="0630ADA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r>
      <w:tr w:rsidR="009D0FBF" w:rsidRPr="005045BF" w14:paraId="7184B4ED"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2B68E9B0"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Técnicos</w:t>
            </w:r>
          </w:p>
        </w:tc>
        <w:tc>
          <w:tcPr>
            <w:tcW w:w="709" w:type="dxa"/>
            <w:tcBorders>
              <w:top w:val="single" w:sz="4" w:space="0" w:color="4F81BD" w:themeColor="accent1"/>
              <w:bottom w:val="single" w:sz="4" w:space="0" w:color="4F81BD" w:themeColor="accent1"/>
            </w:tcBorders>
            <w:noWrap/>
            <w:vAlign w:val="bottom"/>
          </w:tcPr>
          <w:p w14:paraId="72D9CE5D" w14:textId="0E0EC74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54</w:t>
            </w:r>
          </w:p>
        </w:tc>
        <w:tc>
          <w:tcPr>
            <w:tcW w:w="567" w:type="dxa"/>
            <w:tcBorders>
              <w:top w:val="single" w:sz="4" w:space="0" w:color="4F81BD" w:themeColor="accent1"/>
              <w:bottom w:val="single" w:sz="4" w:space="0" w:color="4F81BD" w:themeColor="accent1"/>
            </w:tcBorders>
            <w:noWrap/>
            <w:vAlign w:val="center"/>
          </w:tcPr>
          <w:p w14:paraId="28CEC64A" w14:textId="67FF6D4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53</w:t>
            </w:r>
          </w:p>
        </w:tc>
        <w:tc>
          <w:tcPr>
            <w:tcW w:w="709" w:type="dxa"/>
            <w:tcBorders>
              <w:top w:val="single" w:sz="4" w:space="0" w:color="4F81BD" w:themeColor="accent1"/>
              <w:bottom w:val="single" w:sz="4" w:space="0" w:color="4F81BD" w:themeColor="accent1"/>
            </w:tcBorders>
            <w:noWrap/>
            <w:vAlign w:val="bottom"/>
          </w:tcPr>
          <w:p w14:paraId="1F99CC24" w14:textId="4D10BE2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53</w:t>
            </w:r>
          </w:p>
        </w:tc>
        <w:tc>
          <w:tcPr>
            <w:tcW w:w="709" w:type="dxa"/>
            <w:tcBorders>
              <w:top w:val="single" w:sz="4" w:space="0" w:color="4F81BD" w:themeColor="accent1"/>
              <w:bottom w:val="single" w:sz="4" w:space="0" w:color="4F81BD" w:themeColor="accent1"/>
            </w:tcBorders>
            <w:noWrap/>
            <w:vAlign w:val="center"/>
          </w:tcPr>
          <w:p w14:paraId="6A3950F3" w14:textId="43FBAE4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48</w:t>
            </w:r>
          </w:p>
        </w:tc>
        <w:tc>
          <w:tcPr>
            <w:tcW w:w="567" w:type="dxa"/>
            <w:tcBorders>
              <w:top w:val="single" w:sz="4" w:space="0" w:color="4F81BD" w:themeColor="accent1"/>
              <w:bottom w:val="single" w:sz="4" w:space="0" w:color="4F81BD" w:themeColor="accent1"/>
            </w:tcBorders>
            <w:noWrap/>
            <w:vAlign w:val="center"/>
          </w:tcPr>
          <w:p w14:paraId="33E36C3F" w14:textId="295A964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50</w:t>
            </w:r>
          </w:p>
        </w:tc>
        <w:tc>
          <w:tcPr>
            <w:tcW w:w="567" w:type="dxa"/>
            <w:tcBorders>
              <w:top w:val="single" w:sz="4" w:space="0" w:color="4F81BD" w:themeColor="accent1"/>
              <w:bottom w:val="single" w:sz="4" w:space="0" w:color="4F81BD" w:themeColor="accent1"/>
            </w:tcBorders>
            <w:noWrap/>
            <w:vAlign w:val="center"/>
          </w:tcPr>
          <w:p w14:paraId="36BC6AEE" w14:textId="13447851"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50</w:t>
            </w:r>
          </w:p>
        </w:tc>
        <w:tc>
          <w:tcPr>
            <w:tcW w:w="567" w:type="dxa"/>
            <w:tcBorders>
              <w:top w:val="single" w:sz="4" w:space="0" w:color="4F81BD" w:themeColor="accent1"/>
              <w:bottom w:val="single" w:sz="4" w:space="0" w:color="4F81BD" w:themeColor="accent1"/>
            </w:tcBorders>
            <w:noWrap/>
            <w:vAlign w:val="center"/>
          </w:tcPr>
          <w:p w14:paraId="755EEF38" w14:textId="1483918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w:t>
            </w:r>
          </w:p>
        </w:tc>
        <w:tc>
          <w:tcPr>
            <w:tcW w:w="850" w:type="dxa"/>
            <w:tcBorders>
              <w:top w:val="single" w:sz="4" w:space="0" w:color="4F81BD" w:themeColor="accent1"/>
              <w:bottom w:val="single" w:sz="4" w:space="0" w:color="4F81BD" w:themeColor="accent1"/>
            </w:tcBorders>
            <w:vAlign w:val="center"/>
          </w:tcPr>
          <w:p w14:paraId="560C317A" w14:textId="1672AD0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13%</w:t>
            </w:r>
          </w:p>
        </w:tc>
        <w:tc>
          <w:tcPr>
            <w:tcW w:w="567" w:type="dxa"/>
            <w:tcBorders>
              <w:top w:val="single" w:sz="4" w:space="0" w:color="4F81BD" w:themeColor="accent1"/>
              <w:bottom w:val="single" w:sz="4" w:space="0" w:color="4F81BD" w:themeColor="accent1"/>
            </w:tcBorders>
            <w:noWrap/>
            <w:vAlign w:val="center"/>
          </w:tcPr>
          <w:p w14:paraId="2CD2F228" w14:textId="4865B0BA"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709" w:type="dxa"/>
            <w:tcBorders>
              <w:top w:val="single" w:sz="4" w:space="0" w:color="4F81BD" w:themeColor="accent1"/>
              <w:bottom w:val="single" w:sz="4" w:space="0" w:color="4F81BD" w:themeColor="accent1"/>
            </w:tcBorders>
            <w:vAlign w:val="center"/>
          </w:tcPr>
          <w:p w14:paraId="33A0C465" w14:textId="0039A3B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w:t>
            </w:r>
          </w:p>
        </w:tc>
        <w:tc>
          <w:tcPr>
            <w:tcW w:w="567" w:type="dxa"/>
            <w:tcBorders>
              <w:top w:val="single" w:sz="4" w:space="0" w:color="4F81BD" w:themeColor="accent1"/>
              <w:bottom w:val="single" w:sz="4" w:space="0" w:color="4F81BD" w:themeColor="accent1"/>
            </w:tcBorders>
            <w:vAlign w:val="center"/>
          </w:tcPr>
          <w:p w14:paraId="399B24B1" w14:textId="3E4A7CA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0FDB7784" w14:textId="4A9CA5A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w:t>
            </w:r>
          </w:p>
        </w:tc>
      </w:tr>
      <w:tr w:rsidR="009D0FBF" w:rsidRPr="005045BF" w14:paraId="64CBC8A4"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0B1DEE39"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Auxiliares</w:t>
            </w:r>
          </w:p>
        </w:tc>
        <w:tc>
          <w:tcPr>
            <w:tcW w:w="709" w:type="dxa"/>
            <w:tcBorders>
              <w:top w:val="single" w:sz="4" w:space="0" w:color="4F81BD" w:themeColor="accent1"/>
              <w:bottom w:val="single" w:sz="4" w:space="0" w:color="4F81BD" w:themeColor="accent1"/>
            </w:tcBorders>
            <w:noWrap/>
            <w:vAlign w:val="bottom"/>
          </w:tcPr>
          <w:p w14:paraId="1648B995" w14:textId="165C755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53</w:t>
            </w:r>
          </w:p>
        </w:tc>
        <w:tc>
          <w:tcPr>
            <w:tcW w:w="567" w:type="dxa"/>
            <w:tcBorders>
              <w:top w:val="single" w:sz="4" w:space="0" w:color="4F81BD" w:themeColor="accent1"/>
              <w:bottom w:val="single" w:sz="4" w:space="0" w:color="4F81BD" w:themeColor="accent1"/>
            </w:tcBorders>
            <w:noWrap/>
            <w:vAlign w:val="center"/>
          </w:tcPr>
          <w:p w14:paraId="7F04376E" w14:textId="740ECF9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52</w:t>
            </w:r>
          </w:p>
        </w:tc>
        <w:tc>
          <w:tcPr>
            <w:tcW w:w="709" w:type="dxa"/>
            <w:tcBorders>
              <w:top w:val="single" w:sz="4" w:space="0" w:color="4F81BD" w:themeColor="accent1"/>
              <w:bottom w:val="single" w:sz="4" w:space="0" w:color="4F81BD" w:themeColor="accent1"/>
            </w:tcBorders>
            <w:noWrap/>
            <w:vAlign w:val="bottom"/>
          </w:tcPr>
          <w:p w14:paraId="5FCF80E7" w14:textId="773EC22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52</w:t>
            </w:r>
          </w:p>
        </w:tc>
        <w:tc>
          <w:tcPr>
            <w:tcW w:w="709" w:type="dxa"/>
            <w:tcBorders>
              <w:top w:val="single" w:sz="4" w:space="0" w:color="4F81BD" w:themeColor="accent1"/>
              <w:bottom w:val="single" w:sz="4" w:space="0" w:color="4F81BD" w:themeColor="accent1"/>
            </w:tcBorders>
            <w:noWrap/>
            <w:vAlign w:val="center"/>
          </w:tcPr>
          <w:p w14:paraId="36910731" w14:textId="44C8705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57</w:t>
            </w:r>
          </w:p>
        </w:tc>
        <w:tc>
          <w:tcPr>
            <w:tcW w:w="567" w:type="dxa"/>
            <w:tcBorders>
              <w:top w:val="single" w:sz="4" w:space="0" w:color="4F81BD" w:themeColor="accent1"/>
              <w:bottom w:val="single" w:sz="4" w:space="0" w:color="4F81BD" w:themeColor="accent1"/>
            </w:tcBorders>
            <w:noWrap/>
            <w:vAlign w:val="center"/>
          </w:tcPr>
          <w:p w14:paraId="74CDC481" w14:textId="588A032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56</w:t>
            </w:r>
          </w:p>
        </w:tc>
        <w:tc>
          <w:tcPr>
            <w:tcW w:w="567" w:type="dxa"/>
            <w:tcBorders>
              <w:top w:val="single" w:sz="4" w:space="0" w:color="4F81BD" w:themeColor="accent1"/>
              <w:bottom w:val="single" w:sz="4" w:space="0" w:color="4F81BD" w:themeColor="accent1"/>
            </w:tcBorders>
            <w:noWrap/>
            <w:vAlign w:val="center"/>
          </w:tcPr>
          <w:p w14:paraId="14F883AC" w14:textId="41A7072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56</w:t>
            </w:r>
          </w:p>
        </w:tc>
        <w:tc>
          <w:tcPr>
            <w:tcW w:w="567" w:type="dxa"/>
            <w:tcBorders>
              <w:top w:val="single" w:sz="4" w:space="0" w:color="4F81BD" w:themeColor="accent1"/>
              <w:bottom w:val="single" w:sz="4" w:space="0" w:color="4F81BD" w:themeColor="accent1"/>
            </w:tcBorders>
            <w:noWrap/>
            <w:vAlign w:val="center"/>
          </w:tcPr>
          <w:p w14:paraId="1CE02C3D" w14:textId="768AD1A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850" w:type="dxa"/>
            <w:tcBorders>
              <w:top w:val="single" w:sz="4" w:space="0" w:color="4F81BD" w:themeColor="accent1"/>
              <w:bottom w:val="single" w:sz="4" w:space="0" w:color="4F81BD" w:themeColor="accent1"/>
            </w:tcBorders>
            <w:vAlign w:val="center"/>
          </w:tcPr>
          <w:p w14:paraId="5F0DCFF6" w14:textId="4698D38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-7%</w:t>
            </w:r>
          </w:p>
        </w:tc>
        <w:tc>
          <w:tcPr>
            <w:tcW w:w="567" w:type="dxa"/>
            <w:tcBorders>
              <w:top w:val="single" w:sz="4" w:space="0" w:color="4F81BD" w:themeColor="accent1"/>
              <w:bottom w:val="single" w:sz="4" w:space="0" w:color="4F81BD" w:themeColor="accent1"/>
            </w:tcBorders>
            <w:noWrap/>
            <w:vAlign w:val="center"/>
          </w:tcPr>
          <w:p w14:paraId="2FF00C3A" w14:textId="6FF8756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709" w:type="dxa"/>
            <w:tcBorders>
              <w:top w:val="single" w:sz="4" w:space="0" w:color="4F81BD" w:themeColor="accent1"/>
              <w:bottom w:val="single" w:sz="4" w:space="0" w:color="4F81BD" w:themeColor="accent1"/>
            </w:tcBorders>
            <w:vAlign w:val="center"/>
          </w:tcPr>
          <w:p w14:paraId="2711CA37" w14:textId="29BCDE9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-7%</w:t>
            </w:r>
          </w:p>
        </w:tc>
        <w:tc>
          <w:tcPr>
            <w:tcW w:w="567" w:type="dxa"/>
            <w:tcBorders>
              <w:top w:val="single" w:sz="4" w:space="0" w:color="4F81BD" w:themeColor="accent1"/>
              <w:bottom w:val="single" w:sz="4" w:space="0" w:color="4F81BD" w:themeColor="accent1"/>
            </w:tcBorders>
            <w:vAlign w:val="center"/>
          </w:tcPr>
          <w:p w14:paraId="70875BD8" w14:textId="4DB314C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13DB72B2" w14:textId="6A2FECC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-7%</w:t>
            </w:r>
          </w:p>
        </w:tc>
      </w:tr>
      <w:tr w:rsidR="009D0FBF" w:rsidRPr="005045BF" w14:paraId="5999AB5F"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78DD1B55"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Secretarios</w:t>
            </w:r>
          </w:p>
        </w:tc>
        <w:tc>
          <w:tcPr>
            <w:tcW w:w="709" w:type="dxa"/>
            <w:tcBorders>
              <w:top w:val="single" w:sz="4" w:space="0" w:color="4F81BD" w:themeColor="accent1"/>
              <w:bottom w:val="single" w:sz="4" w:space="0" w:color="4F81BD" w:themeColor="accent1"/>
            </w:tcBorders>
            <w:noWrap/>
            <w:vAlign w:val="bottom"/>
          </w:tcPr>
          <w:p w14:paraId="556E9153" w14:textId="3DAB1408"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67</w:t>
            </w:r>
          </w:p>
        </w:tc>
        <w:tc>
          <w:tcPr>
            <w:tcW w:w="567" w:type="dxa"/>
            <w:tcBorders>
              <w:top w:val="single" w:sz="4" w:space="0" w:color="4F81BD" w:themeColor="accent1"/>
              <w:bottom w:val="single" w:sz="4" w:space="0" w:color="4F81BD" w:themeColor="accent1"/>
            </w:tcBorders>
            <w:noWrap/>
            <w:vAlign w:val="center"/>
          </w:tcPr>
          <w:p w14:paraId="0DCA0A54" w14:textId="672C43D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68</w:t>
            </w:r>
          </w:p>
        </w:tc>
        <w:tc>
          <w:tcPr>
            <w:tcW w:w="709" w:type="dxa"/>
            <w:tcBorders>
              <w:top w:val="single" w:sz="4" w:space="0" w:color="4F81BD" w:themeColor="accent1"/>
              <w:bottom w:val="single" w:sz="4" w:space="0" w:color="4F81BD" w:themeColor="accent1"/>
            </w:tcBorders>
            <w:noWrap/>
            <w:vAlign w:val="bottom"/>
          </w:tcPr>
          <w:p w14:paraId="1AFADE95" w14:textId="2834174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70</w:t>
            </w:r>
          </w:p>
        </w:tc>
        <w:tc>
          <w:tcPr>
            <w:tcW w:w="709" w:type="dxa"/>
            <w:tcBorders>
              <w:top w:val="single" w:sz="4" w:space="0" w:color="4F81BD" w:themeColor="accent1"/>
              <w:bottom w:val="single" w:sz="4" w:space="0" w:color="4F81BD" w:themeColor="accent1"/>
            </w:tcBorders>
            <w:noWrap/>
            <w:vAlign w:val="center"/>
          </w:tcPr>
          <w:p w14:paraId="2539B819" w14:textId="3FCAD1F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68</w:t>
            </w:r>
          </w:p>
        </w:tc>
        <w:tc>
          <w:tcPr>
            <w:tcW w:w="567" w:type="dxa"/>
            <w:tcBorders>
              <w:top w:val="single" w:sz="4" w:space="0" w:color="4F81BD" w:themeColor="accent1"/>
              <w:bottom w:val="single" w:sz="4" w:space="0" w:color="4F81BD" w:themeColor="accent1"/>
            </w:tcBorders>
            <w:noWrap/>
            <w:vAlign w:val="center"/>
          </w:tcPr>
          <w:p w14:paraId="325852E0" w14:textId="62E5C64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66</w:t>
            </w:r>
          </w:p>
        </w:tc>
        <w:tc>
          <w:tcPr>
            <w:tcW w:w="567" w:type="dxa"/>
            <w:tcBorders>
              <w:top w:val="single" w:sz="4" w:space="0" w:color="4F81BD" w:themeColor="accent1"/>
              <w:bottom w:val="single" w:sz="4" w:space="0" w:color="4F81BD" w:themeColor="accent1"/>
            </w:tcBorders>
            <w:noWrap/>
            <w:vAlign w:val="center"/>
          </w:tcPr>
          <w:p w14:paraId="01703345" w14:textId="23F53C1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67</w:t>
            </w:r>
          </w:p>
        </w:tc>
        <w:tc>
          <w:tcPr>
            <w:tcW w:w="567" w:type="dxa"/>
            <w:tcBorders>
              <w:top w:val="single" w:sz="4" w:space="0" w:color="4F81BD" w:themeColor="accent1"/>
              <w:bottom w:val="single" w:sz="4" w:space="0" w:color="4F81BD" w:themeColor="accent1"/>
            </w:tcBorders>
            <w:noWrap/>
            <w:vAlign w:val="center"/>
          </w:tcPr>
          <w:p w14:paraId="486B9404" w14:textId="4B9C799F"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850" w:type="dxa"/>
            <w:tcBorders>
              <w:top w:val="single" w:sz="4" w:space="0" w:color="4F81BD" w:themeColor="accent1"/>
              <w:bottom w:val="single" w:sz="4" w:space="0" w:color="4F81BD" w:themeColor="accent1"/>
            </w:tcBorders>
            <w:vAlign w:val="center"/>
          </w:tcPr>
          <w:p w14:paraId="621A2EE6" w14:textId="4CF299F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218623DE" w14:textId="120A2E7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w:t>
            </w:r>
          </w:p>
        </w:tc>
        <w:tc>
          <w:tcPr>
            <w:tcW w:w="709" w:type="dxa"/>
            <w:tcBorders>
              <w:top w:val="single" w:sz="4" w:space="0" w:color="4F81BD" w:themeColor="accent1"/>
              <w:bottom w:val="single" w:sz="4" w:space="0" w:color="4F81BD" w:themeColor="accent1"/>
            </w:tcBorders>
            <w:vAlign w:val="center"/>
          </w:tcPr>
          <w:p w14:paraId="321ACE38" w14:textId="2BA6585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567" w:type="dxa"/>
            <w:tcBorders>
              <w:top w:val="single" w:sz="4" w:space="0" w:color="4F81BD" w:themeColor="accent1"/>
              <w:bottom w:val="single" w:sz="4" w:space="0" w:color="4F81BD" w:themeColor="accent1"/>
            </w:tcBorders>
            <w:vAlign w:val="center"/>
          </w:tcPr>
          <w:p w14:paraId="49661AA0" w14:textId="2798B14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3</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6D18559F" w14:textId="27D644F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4%</w:t>
            </w:r>
          </w:p>
        </w:tc>
      </w:tr>
      <w:tr w:rsidR="009D0FBF" w:rsidRPr="005045BF" w14:paraId="14630A15"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77504A07"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Analista de Sistemas</w:t>
            </w:r>
          </w:p>
        </w:tc>
        <w:tc>
          <w:tcPr>
            <w:tcW w:w="709" w:type="dxa"/>
            <w:tcBorders>
              <w:top w:val="single" w:sz="4" w:space="0" w:color="4F81BD" w:themeColor="accent1"/>
              <w:bottom w:val="single" w:sz="4" w:space="0" w:color="4F81BD" w:themeColor="accent1"/>
            </w:tcBorders>
            <w:noWrap/>
            <w:vAlign w:val="bottom"/>
          </w:tcPr>
          <w:p w14:paraId="5E34EBAC" w14:textId="716ED0A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2F420C83" w14:textId="4347247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noWrap/>
            <w:vAlign w:val="bottom"/>
          </w:tcPr>
          <w:p w14:paraId="13E6CE11" w14:textId="1B4E602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noWrap/>
            <w:vAlign w:val="center"/>
          </w:tcPr>
          <w:p w14:paraId="187C18CD" w14:textId="120ECFB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6BD033E8" w14:textId="5D4464E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2D643767" w14:textId="23DF79DD"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567" w:type="dxa"/>
            <w:tcBorders>
              <w:top w:val="single" w:sz="4" w:space="0" w:color="4F81BD" w:themeColor="accent1"/>
              <w:bottom w:val="single" w:sz="4" w:space="0" w:color="4F81BD" w:themeColor="accent1"/>
            </w:tcBorders>
            <w:noWrap/>
            <w:vAlign w:val="center"/>
          </w:tcPr>
          <w:p w14:paraId="78AE4873" w14:textId="6221875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850" w:type="dxa"/>
            <w:tcBorders>
              <w:top w:val="single" w:sz="4" w:space="0" w:color="4F81BD" w:themeColor="accent1"/>
              <w:bottom w:val="single" w:sz="4" w:space="0" w:color="4F81BD" w:themeColor="accent1"/>
            </w:tcBorders>
            <w:vAlign w:val="center"/>
          </w:tcPr>
          <w:p w14:paraId="511E6268" w14:textId="3B51B78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-100%</w:t>
            </w:r>
          </w:p>
        </w:tc>
        <w:tc>
          <w:tcPr>
            <w:tcW w:w="567" w:type="dxa"/>
            <w:tcBorders>
              <w:top w:val="single" w:sz="4" w:space="0" w:color="4F81BD" w:themeColor="accent1"/>
              <w:bottom w:val="single" w:sz="4" w:space="0" w:color="4F81BD" w:themeColor="accent1"/>
            </w:tcBorders>
            <w:noWrap/>
            <w:vAlign w:val="center"/>
          </w:tcPr>
          <w:p w14:paraId="15B208B9" w14:textId="48FA5BE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709" w:type="dxa"/>
            <w:tcBorders>
              <w:top w:val="single" w:sz="4" w:space="0" w:color="4F81BD" w:themeColor="accent1"/>
              <w:bottom w:val="single" w:sz="4" w:space="0" w:color="4F81BD" w:themeColor="accent1"/>
            </w:tcBorders>
            <w:vAlign w:val="center"/>
          </w:tcPr>
          <w:p w14:paraId="6A056BFC" w14:textId="47A3BC8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-100%</w:t>
            </w:r>
          </w:p>
        </w:tc>
        <w:tc>
          <w:tcPr>
            <w:tcW w:w="567" w:type="dxa"/>
            <w:tcBorders>
              <w:top w:val="single" w:sz="4" w:space="0" w:color="4F81BD" w:themeColor="accent1"/>
              <w:bottom w:val="single" w:sz="4" w:space="0" w:color="4F81BD" w:themeColor="accent1"/>
            </w:tcBorders>
            <w:vAlign w:val="center"/>
          </w:tcPr>
          <w:p w14:paraId="6D0C8706" w14:textId="6F844F32"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14A4E146" w14:textId="41DF2E4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-100%</w:t>
            </w:r>
          </w:p>
        </w:tc>
      </w:tr>
      <w:tr w:rsidR="009D0FBF" w:rsidRPr="005045BF" w14:paraId="4977011E"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left w:val="single" w:sz="4" w:space="0" w:color="4F81BD" w:themeColor="accent1"/>
              <w:bottom w:val="single" w:sz="4" w:space="0" w:color="4F81BD" w:themeColor="accent1"/>
            </w:tcBorders>
            <w:noWrap/>
            <w:vAlign w:val="center"/>
            <w:hideMark/>
          </w:tcPr>
          <w:p w14:paraId="36867E54" w14:textId="77777777" w:rsidR="009D0FBF" w:rsidRPr="005045BF" w:rsidRDefault="009D0FBF" w:rsidP="00115E70">
            <w:pPr>
              <w:widowControl w:val="0"/>
              <w:spacing w:before="80" w:after="80"/>
              <w:jc w:val="center"/>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Conductores</w:t>
            </w:r>
          </w:p>
        </w:tc>
        <w:tc>
          <w:tcPr>
            <w:tcW w:w="709" w:type="dxa"/>
            <w:tcBorders>
              <w:top w:val="single" w:sz="4" w:space="0" w:color="4F81BD" w:themeColor="accent1"/>
              <w:bottom w:val="single" w:sz="4" w:space="0" w:color="4F81BD" w:themeColor="accent1"/>
            </w:tcBorders>
            <w:noWrap/>
            <w:vAlign w:val="bottom"/>
          </w:tcPr>
          <w:p w14:paraId="60A926EB" w14:textId="28CC05EC"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5446ED5F" w14:textId="360C0055"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709" w:type="dxa"/>
            <w:tcBorders>
              <w:top w:val="single" w:sz="4" w:space="0" w:color="4F81BD" w:themeColor="accent1"/>
              <w:bottom w:val="single" w:sz="4" w:space="0" w:color="4F81BD" w:themeColor="accent1"/>
            </w:tcBorders>
            <w:noWrap/>
            <w:vAlign w:val="bottom"/>
          </w:tcPr>
          <w:p w14:paraId="400D33D9" w14:textId="05758F4E"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19</w:t>
            </w:r>
          </w:p>
        </w:tc>
        <w:tc>
          <w:tcPr>
            <w:tcW w:w="709" w:type="dxa"/>
            <w:tcBorders>
              <w:top w:val="single" w:sz="4" w:space="0" w:color="4F81BD" w:themeColor="accent1"/>
              <w:bottom w:val="single" w:sz="4" w:space="0" w:color="4F81BD" w:themeColor="accent1"/>
            </w:tcBorders>
            <w:noWrap/>
            <w:vAlign w:val="center"/>
          </w:tcPr>
          <w:p w14:paraId="558AD99B" w14:textId="4F52D080"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4ACAFDFA" w14:textId="3715A7B3"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687E4486" w14:textId="54CF58C4"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20</w:t>
            </w:r>
          </w:p>
        </w:tc>
        <w:tc>
          <w:tcPr>
            <w:tcW w:w="567" w:type="dxa"/>
            <w:tcBorders>
              <w:top w:val="single" w:sz="4" w:space="0" w:color="4F81BD" w:themeColor="accent1"/>
              <w:bottom w:val="single" w:sz="4" w:space="0" w:color="4F81BD" w:themeColor="accent1"/>
            </w:tcBorders>
            <w:noWrap/>
            <w:vAlign w:val="center"/>
          </w:tcPr>
          <w:p w14:paraId="4F17A750" w14:textId="29FFDA46"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850" w:type="dxa"/>
            <w:tcBorders>
              <w:top w:val="single" w:sz="4" w:space="0" w:color="4F81BD" w:themeColor="accent1"/>
              <w:bottom w:val="single" w:sz="4" w:space="0" w:color="4F81BD" w:themeColor="accent1"/>
            </w:tcBorders>
            <w:vAlign w:val="center"/>
          </w:tcPr>
          <w:p w14:paraId="597A91B6" w14:textId="57657FE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noWrap/>
            <w:vAlign w:val="center"/>
          </w:tcPr>
          <w:p w14:paraId="4E34D14D" w14:textId="6BE89DE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709" w:type="dxa"/>
            <w:tcBorders>
              <w:top w:val="single" w:sz="4" w:space="0" w:color="4F81BD" w:themeColor="accent1"/>
              <w:bottom w:val="single" w:sz="4" w:space="0" w:color="4F81BD" w:themeColor="accent1"/>
            </w:tcBorders>
            <w:vAlign w:val="center"/>
          </w:tcPr>
          <w:p w14:paraId="5B4E5D2C" w14:textId="55FE90B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0%</w:t>
            </w:r>
          </w:p>
        </w:tc>
        <w:tc>
          <w:tcPr>
            <w:tcW w:w="567" w:type="dxa"/>
            <w:tcBorders>
              <w:top w:val="single" w:sz="4" w:space="0" w:color="4F81BD" w:themeColor="accent1"/>
              <w:bottom w:val="single" w:sz="4" w:space="0" w:color="4F81BD" w:themeColor="accent1"/>
            </w:tcBorders>
            <w:vAlign w:val="center"/>
          </w:tcPr>
          <w:p w14:paraId="685957E5" w14:textId="2202A89B"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-1</w:t>
            </w:r>
          </w:p>
        </w:tc>
        <w:tc>
          <w:tcPr>
            <w:tcW w:w="850" w:type="dxa"/>
            <w:tcBorders>
              <w:top w:val="single" w:sz="4" w:space="0" w:color="4F81BD" w:themeColor="accent1"/>
              <w:bottom w:val="single" w:sz="4" w:space="0" w:color="4F81BD" w:themeColor="accent1"/>
              <w:right w:val="single" w:sz="4" w:space="0" w:color="4F81BD" w:themeColor="accent1"/>
            </w:tcBorders>
            <w:vAlign w:val="center"/>
          </w:tcPr>
          <w:p w14:paraId="468DD025" w14:textId="5B0AF9E7" w:rsidR="009D0FBF" w:rsidRPr="005045BF" w:rsidRDefault="009D0FBF" w:rsidP="00115E70">
            <w:pPr>
              <w:widowControl w:val="0"/>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-5%</w:t>
            </w:r>
          </w:p>
        </w:tc>
      </w:tr>
      <w:tr w:rsidR="009D0FBF" w:rsidRPr="005045BF" w14:paraId="72353997" w14:textId="77777777" w:rsidTr="008775ED">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tcBorders>
            <w:shd w:val="clear" w:color="auto" w:fill="4F81BD" w:themeFill="accent1"/>
            <w:noWrap/>
            <w:vAlign w:val="center"/>
            <w:hideMark/>
          </w:tcPr>
          <w:p w14:paraId="7572C864" w14:textId="77777777" w:rsidR="009D0FBF" w:rsidRPr="005045BF" w:rsidRDefault="009D0FBF" w:rsidP="00CF75D7">
            <w:pPr>
              <w:widowControl w:val="0"/>
              <w:spacing w:before="60" w:after="60"/>
              <w:jc w:val="center"/>
              <w:rPr>
                <w:rFonts w:ascii="Arial" w:hAnsi="Arial" w:cs="Arial"/>
                <w:color w:val="FFFFFF" w:themeColor="background1"/>
                <w:sz w:val="18"/>
                <w:szCs w:val="18"/>
              </w:rPr>
            </w:pPr>
            <w:r w:rsidRPr="005045BF">
              <w:rPr>
                <w:rFonts w:ascii="Arial" w:hAnsi="Arial" w:cs="Arial"/>
                <w:color w:val="FFFFFF" w:themeColor="background1"/>
                <w:sz w:val="18"/>
                <w:szCs w:val="18"/>
              </w:rPr>
              <w:t>Total</w:t>
            </w:r>
          </w:p>
        </w:tc>
        <w:tc>
          <w:tcPr>
            <w:tcW w:w="709" w:type="dxa"/>
            <w:tcBorders>
              <w:top w:val="single" w:sz="4" w:space="0" w:color="4F81BD" w:themeColor="accent1"/>
            </w:tcBorders>
            <w:shd w:val="clear" w:color="auto" w:fill="4F81BD" w:themeFill="accent1"/>
            <w:noWrap/>
            <w:vAlign w:val="center"/>
          </w:tcPr>
          <w:p w14:paraId="4F7EA521" w14:textId="0A074F53"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691</w:t>
            </w:r>
          </w:p>
        </w:tc>
        <w:tc>
          <w:tcPr>
            <w:tcW w:w="567" w:type="dxa"/>
            <w:tcBorders>
              <w:top w:val="single" w:sz="4" w:space="0" w:color="4F81BD" w:themeColor="accent1"/>
            </w:tcBorders>
            <w:shd w:val="clear" w:color="auto" w:fill="4F81BD" w:themeFill="accent1"/>
            <w:noWrap/>
            <w:vAlign w:val="center"/>
          </w:tcPr>
          <w:p w14:paraId="4891C61E" w14:textId="557AC82A"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687</w:t>
            </w:r>
          </w:p>
        </w:tc>
        <w:tc>
          <w:tcPr>
            <w:tcW w:w="709" w:type="dxa"/>
            <w:tcBorders>
              <w:top w:val="single" w:sz="4" w:space="0" w:color="4F81BD" w:themeColor="accent1"/>
            </w:tcBorders>
            <w:shd w:val="clear" w:color="auto" w:fill="4F81BD" w:themeFill="accent1"/>
            <w:noWrap/>
            <w:vAlign w:val="center"/>
          </w:tcPr>
          <w:p w14:paraId="1B6A52A7" w14:textId="625DE91E"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689</w:t>
            </w:r>
          </w:p>
        </w:tc>
        <w:tc>
          <w:tcPr>
            <w:tcW w:w="709" w:type="dxa"/>
            <w:tcBorders>
              <w:top w:val="single" w:sz="4" w:space="0" w:color="4F81BD" w:themeColor="accent1"/>
            </w:tcBorders>
            <w:shd w:val="clear" w:color="auto" w:fill="4F81BD" w:themeFill="accent1"/>
            <w:noWrap/>
            <w:vAlign w:val="center"/>
          </w:tcPr>
          <w:p w14:paraId="58F19DC5" w14:textId="318D2FC5"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670</w:t>
            </w:r>
          </w:p>
        </w:tc>
        <w:tc>
          <w:tcPr>
            <w:tcW w:w="567" w:type="dxa"/>
            <w:tcBorders>
              <w:top w:val="single" w:sz="4" w:space="0" w:color="4F81BD" w:themeColor="accent1"/>
            </w:tcBorders>
            <w:shd w:val="clear" w:color="auto" w:fill="4F81BD" w:themeFill="accent1"/>
            <w:noWrap/>
            <w:vAlign w:val="center"/>
          </w:tcPr>
          <w:p w14:paraId="483E64E2" w14:textId="106E66DF"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669</w:t>
            </w:r>
          </w:p>
        </w:tc>
        <w:tc>
          <w:tcPr>
            <w:tcW w:w="567" w:type="dxa"/>
            <w:tcBorders>
              <w:top w:val="single" w:sz="4" w:space="0" w:color="4F81BD" w:themeColor="accent1"/>
            </w:tcBorders>
            <w:shd w:val="clear" w:color="auto" w:fill="4F81BD" w:themeFill="accent1"/>
            <w:noWrap/>
            <w:vAlign w:val="center"/>
          </w:tcPr>
          <w:p w14:paraId="1CB11589" w14:textId="766D255E"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672</w:t>
            </w:r>
          </w:p>
        </w:tc>
        <w:tc>
          <w:tcPr>
            <w:tcW w:w="567" w:type="dxa"/>
            <w:tcBorders>
              <w:top w:val="single" w:sz="4" w:space="0" w:color="4F81BD" w:themeColor="accent1"/>
            </w:tcBorders>
            <w:shd w:val="clear" w:color="auto" w:fill="4F81BD" w:themeFill="accent1"/>
            <w:noWrap/>
            <w:vAlign w:val="center"/>
          </w:tcPr>
          <w:p w14:paraId="5093DDAB" w14:textId="4F220A94"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21</w:t>
            </w:r>
          </w:p>
        </w:tc>
        <w:tc>
          <w:tcPr>
            <w:tcW w:w="850" w:type="dxa"/>
            <w:tcBorders>
              <w:top w:val="single" w:sz="4" w:space="0" w:color="4F81BD" w:themeColor="accent1"/>
            </w:tcBorders>
            <w:shd w:val="clear" w:color="auto" w:fill="4F81BD" w:themeFill="accent1"/>
            <w:noWrap/>
            <w:vAlign w:val="center"/>
          </w:tcPr>
          <w:p w14:paraId="53ABCC1A" w14:textId="6D0E273F"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3</w:t>
            </w:r>
            <w:r w:rsidR="00C40EC3" w:rsidRPr="005045BF">
              <w:rPr>
                <w:rFonts w:ascii="Arial" w:hAnsi="Arial" w:cs="Arial"/>
                <w:color w:val="FFFFFF" w:themeColor="background1"/>
                <w:sz w:val="18"/>
                <w:szCs w:val="18"/>
              </w:rPr>
              <w:t>,1</w:t>
            </w:r>
            <w:r w:rsidRPr="005045BF">
              <w:rPr>
                <w:rFonts w:ascii="Arial" w:hAnsi="Arial" w:cs="Arial"/>
                <w:color w:val="FFFFFF" w:themeColor="background1"/>
                <w:sz w:val="18"/>
                <w:szCs w:val="18"/>
              </w:rPr>
              <w:t>%</w:t>
            </w:r>
          </w:p>
        </w:tc>
        <w:tc>
          <w:tcPr>
            <w:tcW w:w="567" w:type="dxa"/>
            <w:tcBorders>
              <w:top w:val="single" w:sz="4" w:space="0" w:color="4F81BD" w:themeColor="accent1"/>
            </w:tcBorders>
            <w:shd w:val="clear" w:color="auto" w:fill="4F81BD" w:themeFill="accent1"/>
            <w:noWrap/>
            <w:vAlign w:val="center"/>
          </w:tcPr>
          <w:p w14:paraId="00C1D944" w14:textId="63794BAD"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18</w:t>
            </w:r>
          </w:p>
        </w:tc>
        <w:tc>
          <w:tcPr>
            <w:tcW w:w="709" w:type="dxa"/>
            <w:tcBorders>
              <w:top w:val="single" w:sz="4" w:space="0" w:color="4F81BD" w:themeColor="accent1"/>
            </w:tcBorders>
            <w:shd w:val="clear" w:color="auto" w:fill="4F81BD" w:themeFill="accent1"/>
            <w:noWrap/>
            <w:vAlign w:val="center"/>
          </w:tcPr>
          <w:p w14:paraId="27B8B4AF" w14:textId="001AFAC9" w:rsidR="009D0FBF" w:rsidRPr="005045BF" w:rsidRDefault="00C40EC3"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2,7</w:t>
            </w:r>
            <w:r w:rsidR="009D0FBF" w:rsidRPr="005045BF">
              <w:rPr>
                <w:rFonts w:ascii="Arial" w:hAnsi="Arial" w:cs="Arial"/>
                <w:color w:val="FFFFFF" w:themeColor="background1"/>
                <w:sz w:val="18"/>
                <w:szCs w:val="18"/>
              </w:rPr>
              <w:t>%</w:t>
            </w:r>
          </w:p>
        </w:tc>
        <w:tc>
          <w:tcPr>
            <w:tcW w:w="567" w:type="dxa"/>
            <w:tcBorders>
              <w:top w:val="single" w:sz="4" w:space="0" w:color="4F81BD" w:themeColor="accent1"/>
            </w:tcBorders>
            <w:shd w:val="clear" w:color="auto" w:fill="4F81BD" w:themeFill="accent1"/>
            <w:noWrap/>
            <w:vAlign w:val="center"/>
          </w:tcPr>
          <w:p w14:paraId="73F87324" w14:textId="58977BF1"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17</w:t>
            </w:r>
          </w:p>
        </w:tc>
        <w:tc>
          <w:tcPr>
            <w:tcW w:w="850" w:type="dxa"/>
            <w:tcBorders>
              <w:top w:val="single" w:sz="4" w:space="0" w:color="4F81BD" w:themeColor="accent1"/>
            </w:tcBorders>
            <w:shd w:val="clear" w:color="auto" w:fill="4F81BD" w:themeFill="accent1"/>
            <w:noWrap/>
            <w:vAlign w:val="center"/>
          </w:tcPr>
          <w:p w14:paraId="1D66220E" w14:textId="1054C8C2" w:rsidR="009D0FBF" w:rsidRPr="005045BF" w:rsidRDefault="009D0FBF" w:rsidP="00CF75D7">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2,5%</w:t>
            </w:r>
          </w:p>
        </w:tc>
      </w:tr>
    </w:tbl>
    <w:p w14:paraId="7EEF5322" w14:textId="77777777" w:rsidR="009801CD" w:rsidRPr="005045BF" w:rsidRDefault="009801CD" w:rsidP="00CA1AFC">
      <w:pPr>
        <w:pStyle w:val="Prrafodelista"/>
        <w:ind w:left="0"/>
        <w:contextualSpacing w:val="0"/>
        <w:rPr>
          <w:rFonts w:ascii="Arial" w:hAnsi="Arial" w:cs="Arial"/>
          <w:sz w:val="22"/>
          <w:szCs w:val="22"/>
          <w:highlight w:val="yellow"/>
        </w:rPr>
      </w:pPr>
    </w:p>
    <w:p w14:paraId="47254CCF" w14:textId="335AFD27" w:rsidR="00515757" w:rsidRPr="009F0FD5" w:rsidRDefault="00E07651" w:rsidP="00484891">
      <w:pPr>
        <w:jc w:val="both"/>
        <w:rPr>
          <w:rFonts w:ascii="Arial" w:hAnsi="Arial" w:cs="Arial"/>
          <w:color w:val="000000" w:themeColor="text1"/>
          <w:sz w:val="22"/>
          <w:szCs w:val="22"/>
        </w:rPr>
      </w:pPr>
      <w:r w:rsidRPr="009F0FD5">
        <w:rPr>
          <w:rFonts w:ascii="Arial" w:hAnsi="Arial" w:cs="Arial"/>
          <w:color w:val="000000" w:themeColor="text1"/>
          <w:sz w:val="22"/>
          <w:szCs w:val="22"/>
        </w:rPr>
        <w:t xml:space="preserve">Según los resultados presentados en la tabla anterior, se observó que para </w:t>
      </w:r>
      <w:r w:rsidR="00753D41" w:rsidRPr="009F0FD5">
        <w:rPr>
          <w:rFonts w:ascii="Arial" w:hAnsi="Arial" w:cs="Arial"/>
          <w:color w:val="000000" w:themeColor="text1"/>
          <w:sz w:val="22"/>
          <w:szCs w:val="22"/>
        </w:rPr>
        <w:t xml:space="preserve">los tres meses analizados se </w:t>
      </w:r>
      <w:r w:rsidR="00115E70" w:rsidRPr="009F0FD5">
        <w:rPr>
          <w:rFonts w:ascii="Arial" w:hAnsi="Arial" w:cs="Arial"/>
          <w:color w:val="000000" w:themeColor="text1"/>
          <w:sz w:val="22"/>
          <w:szCs w:val="22"/>
        </w:rPr>
        <w:t xml:space="preserve">presentaron </w:t>
      </w:r>
      <w:r w:rsidR="00592B63" w:rsidRPr="009F0FD5">
        <w:rPr>
          <w:rFonts w:ascii="Arial" w:hAnsi="Arial" w:cs="Arial"/>
          <w:b/>
          <w:bCs/>
          <w:color w:val="000000" w:themeColor="text1"/>
          <w:sz w:val="22"/>
          <w:szCs w:val="22"/>
        </w:rPr>
        <w:t>incrementos</w:t>
      </w:r>
      <w:r w:rsidR="00592B63" w:rsidRPr="009F0FD5">
        <w:rPr>
          <w:rFonts w:ascii="Arial" w:hAnsi="Arial" w:cs="Arial"/>
          <w:color w:val="000000" w:themeColor="text1"/>
          <w:sz w:val="22"/>
          <w:szCs w:val="22"/>
        </w:rPr>
        <w:t xml:space="preserve"> en la planta de personal </w:t>
      </w:r>
      <w:r w:rsidR="00B10697" w:rsidRPr="009F0FD5">
        <w:rPr>
          <w:rFonts w:ascii="Arial" w:hAnsi="Arial" w:cs="Arial"/>
          <w:color w:val="000000" w:themeColor="text1"/>
          <w:sz w:val="22"/>
          <w:szCs w:val="22"/>
        </w:rPr>
        <w:t>[</w:t>
      </w:r>
      <w:r w:rsidR="00261495" w:rsidRPr="009F0FD5">
        <w:rPr>
          <w:rFonts w:ascii="Arial" w:hAnsi="Arial" w:cs="Arial"/>
          <w:color w:val="000000" w:themeColor="text1"/>
          <w:sz w:val="22"/>
          <w:szCs w:val="22"/>
        </w:rPr>
        <w:t>enero 3,1</w:t>
      </w:r>
      <w:r w:rsidR="00B10697" w:rsidRPr="009F0FD5">
        <w:rPr>
          <w:rFonts w:ascii="Arial" w:hAnsi="Arial" w:cs="Arial"/>
          <w:color w:val="000000" w:themeColor="text1"/>
          <w:sz w:val="22"/>
          <w:szCs w:val="22"/>
        </w:rPr>
        <w:t xml:space="preserve">%, </w:t>
      </w:r>
      <w:r w:rsidR="00261495" w:rsidRPr="009F0FD5">
        <w:rPr>
          <w:rFonts w:ascii="Arial" w:hAnsi="Arial" w:cs="Arial"/>
          <w:color w:val="000000" w:themeColor="text1"/>
          <w:sz w:val="22"/>
          <w:szCs w:val="22"/>
        </w:rPr>
        <w:t>febrero 2,7%</w:t>
      </w:r>
      <w:r w:rsidR="00B10697" w:rsidRPr="009F0FD5">
        <w:rPr>
          <w:rFonts w:ascii="Arial" w:hAnsi="Arial" w:cs="Arial"/>
          <w:color w:val="000000" w:themeColor="text1"/>
          <w:sz w:val="22"/>
          <w:szCs w:val="22"/>
        </w:rPr>
        <w:t xml:space="preserve"> y </w:t>
      </w:r>
      <w:r w:rsidR="00261495" w:rsidRPr="009F0FD5">
        <w:rPr>
          <w:rFonts w:ascii="Arial" w:hAnsi="Arial" w:cs="Arial"/>
          <w:color w:val="000000" w:themeColor="text1"/>
          <w:sz w:val="22"/>
          <w:szCs w:val="22"/>
        </w:rPr>
        <w:t>marzo 2,5%</w:t>
      </w:r>
      <w:r w:rsidR="00B10697" w:rsidRPr="009F0FD5">
        <w:rPr>
          <w:rFonts w:ascii="Arial" w:hAnsi="Arial" w:cs="Arial"/>
          <w:color w:val="000000" w:themeColor="text1"/>
          <w:sz w:val="22"/>
          <w:szCs w:val="22"/>
        </w:rPr>
        <w:t>]</w:t>
      </w:r>
      <w:r w:rsidR="00753D41" w:rsidRPr="009F0FD5">
        <w:rPr>
          <w:rFonts w:ascii="Arial" w:hAnsi="Arial" w:cs="Arial"/>
          <w:color w:val="000000" w:themeColor="text1"/>
          <w:sz w:val="22"/>
          <w:szCs w:val="22"/>
        </w:rPr>
        <w:t>.</w:t>
      </w:r>
      <w:r w:rsidR="00B10697" w:rsidRPr="009F0FD5">
        <w:rPr>
          <w:rFonts w:ascii="Arial" w:hAnsi="Arial" w:cs="Arial"/>
          <w:color w:val="000000" w:themeColor="text1"/>
          <w:sz w:val="22"/>
          <w:szCs w:val="22"/>
        </w:rPr>
        <w:t xml:space="preserve"> </w:t>
      </w:r>
      <w:r w:rsidR="008C3732" w:rsidRPr="009F0FD5">
        <w:rPr>
          <w:rFonts w:ascii="Arial" w:hAnsi="Arial" w:cs="Arial"/>
          <w:color w:val="000000" w:themeColor="text1"/>
          <w:sz w:val="22"/>
          <w:szCs w:val="22"/>
        </w:rPr>
        <w:t>Al respecto, s</w:t>
      </w:r>
      <w:r w:rsidR="00B837BC" w:rsidRPr="009F0FD5">
        <w:rPr>
          <w:rFonts w:ascii="Arial" w:hAnsi="Arial" w:cs="Arial"/>
          <w:color w:val="000000" w:themeColor="text1"/>
          <w:sz w:val="22"/>
          <w:szCs w:val="22"/>
        </w:rPr>
        <w:t xml:space="preserve">e </w:t>
      </w:r>
      <w:r w:rsidR="00753D41" w:rsidRPr="009F0FD5">
        <w:rPr>
          <w:rFonts w:ascii="Arial" w:hAnsi="Arial" w:cs="Arial"/>
          <w:color w:val="000000" w:themeColor="text1"/>
          <w:sz w:val="22"/>
          <w:szCs w:val="22"/>
        </w:rPr>
        <w:t>identificó que el</w:t>
      </w:r>
      <w:r w:rsidR="00B837BC" w:rsidRPr="009F0FD5">
        <w:rPr>
          <w:rFonts w:ascii="Arial" w:hAnsi="Arial" w:cs="Arial"/>
          <w:color w:val="000000" w:themeColor="text1"/>
          <w:sz w:val="22"/>
          <w:szCs w:val="22"/>
        </w:rPr>
        <w:t xml:space="preserve"> </w:t>
      </w:r>
      <w:r w:rsidR="00515757" w:rsidRPr="009F0FD5">
        <w:rPr>
          <w:rFonts w:ascii="Arial" w:hAnsi="Arial" w:cs="Arial"/>
          <w:color w:val="000000" w:themeColor="text1"/>
          <w:sz w:val="22"/>
          <w:szCs w:val="22"/>
        </w:rPr>
        <w:t xml:space="preserve">cargo </w:t>
      </w:r>
      <w:r w:rsidR="00803D48" w:rsidRPr="009F0FD5">
        <w:rPr>
          <w:rFonts w:ascii="Arial" w:hAnsi="Arial" w:cs="Arial"/>
          <w:color w:val="000000" w:themeColor="text1"/>
          <w:sz w:val="22"/>
          <w:szCs w:val="22"/>
        </w:rPr>
        <w:t xml:space="preserve">de </w:t>
      </w:r>
      <w:r w:rsidR="0058574F" w:rsidRPr="009F0FD5">
        <w:rPr>
          <w:rFonts w:ascii="Arial" w:hAnsi="Arial" w:cs="Arial"/>
          <w:color w:val="000000" w:themeColor="text1"/>
          <w:sz w:val="22"/>
          <w:szCs w:val="22"/>
        </w:rPr>
        <w:t>subdirector</w:t>
      </w:r>
      <w:r w:rsidR="00515757" w:rsidRPr="009F0FD5">
        <w:rPr>
          <w:rFonts w:ascii="Arial" w:hAnsi="Arial" w:cs="Arial"/>
          <w:color w:val="000000" w:themeColor="text1"/>
          <w:sz w:val="22"/>
          <w:szCs w:val="22"/>
        </w:rPr>
        <w:t xml:space="preserve"> </w:t>
      </w:r>
      <w:r w:rsidR="00B10697" w:rsidRPr="009F0FD5">
        <w:rPr>
          <w:rFonts w:ascii="Arial" w:hAnsi="Arial" w:cs="Arial"/>
          <w:color w:val="000000" w:themeColor="text1"/>
          <w:sz w:val="22"/>
          <w:szCs w:val="22"/>
        </w:rPr>
        <w:t xml:space="preserve">presentó </w:t>
      </w:r>
      <w:r w:rsidR="00DD4972" w:rsidRPr="009F0FD5">
        <w:rPr>
          <w:rFonts w:ascii="Arial" w:hAnsi="Arial" w:cs="Arial"/>
          <w:color w:val="000000" w:themeColor="text1"/>
          <w:sz w:val="22"/>
          <w:szCs w:val="22"/>
        </w:rPr>
        <w:t xml:space="preserve">la mayor </w:t>
      </w:r>
      <w:r w:rsidR="00B10697" w:rsidRPr="009F0FD5">
        <w:rPr>
          <w:rFonts w:ascii="Arial" w:hAnsi="Arial" w:cs="Arial"/>
          <w:color w:val="000000" w:themeColor="text1"/>
          <w:sz w:val="22"/>
          <w:szCs w:val="22"/>
        </w:rPr>
        <w:t>variaci</w:t>
      </w:r>
      <w:r w:rsidR="00DD4972" w:rsidRPr="009F0FD5">
        <w:rPr>
          <w:rFonts w:ascii="Arial" w:hAnsi="Arial" w:cs="Arial"/>
          <w:color w:val="000000" w:themeColor="text1"/>
          <w:sz w:val="22"/>
          <w:szCs w:val="22"/>
        </w:rPr>
        <w:t xml:space="preserve">ón </w:t>
      </w:r>
      <w:r w:rsidR="00F156A8" w:rsidRPr="009F0FD5">
        <w:rPr>
          <w:rFonts w:ascii="Arial" w:hAnsi="Arial" w:cs="Arial"/>
          <w:color w:val="000000" w:themeColor="text1"/>
          <w:sz w:val="22"/>
          <w:szCs w:val="22"/>
        </w:rPr>
        <w:t>relativa,</w:t>
      </w:r>
      <w:r w:rsidR="003F2819" w:rsidRPr="009F0FD5">
        <w:rPr>
          <w:rFonts w:ascii="Arial" w:hAnsi="Arial" w:cs="Arial"/>
          <w:color w:val="000000" w:themeColor="text1"/>
          <w:sz w:val="22"/>
          <w:szCs w:val="22"/>
        </w:rPr>
        <w:t xml:space="preserve"> </w:t>
      </w:r>
      <w:r w:rsidR="00B837BC" w:rsidRPr="009F0FD5">
        <w:rPr>
          <w:rFonts w:ascii="Arial" w:hAnsi="Arial" w:cs="Arial"/>
          <w:color w:val="000000" w:themeColor="text1"/>
          <w:sz w:val="22"/>
          <w:szCs w:val="22"/>
        </w:rPr>
        <w:t xml:space="preserve">durante los tres meses correspondiente al </w:t>
      </w:r>
      <w:r w:rsidR="00CA65F0" w:rsidRPr="009F0FD5">
        <w:rPr>
          <w:rFonts w:ascii="Arial" w:hAnsi="Arial" w:cs="Arial"/>
          <w:color w:val="000000" w:themeColor="text1"/>
          <w:sz w:val="22"/>
          <w:szCs w:val="22"/>
        </w:rPr>
        <w:t xml:space="preserve">primer </w:t>
      </w:r>
      <w:r w:rsidR="00B837BC" w:rsidRPr="009F0FD5">
        <w:rPr>
          <w:rFonts w:ascii="Arial" w:hAnsi="Arial" w:cs="Arial"/>
          <w:color w:val="000000" w:themeColor="text1"/>
          <w:sz w:val="22"/>
          <w:szCs w:val="22"/>
        </w:rPr>
        <w:t xml:space="preserve">trimestre </w:t>
      </w:r>
      <w:r w:rsidR="00BB019C" w:rsidRPr="009F0FD5">
        <w:rPr>
          <w:rFonts w:ascii="Arial" w:hAnsi="Arial" w:cs="Arial"/>
          <w:color w:val="000000" w:themeColor="text1"/>
          <w:sz w:val="22"/>
          <w:szCs w:val="22"/>
        </w:rPr>
        <w:t>20</w:t>
      </w:r>
      <w:r w:rsidR="00CA65F0" w:rsidRPr="009F0FD5">
        <w:rPr>
          <w:rFonts w:ascii="Arial" w:hAnsi="Arial" w:cs="Arial"/>
          <w:color w:val="000000" w:themeColor="text1"/>
          <w:sz w:val="22"/>
          <w:szCs w:val="22"/>
        </w:rPr>
        <w:t>20</w:t>
      </w:r>
      <w:r w:rsidR="00BB019C" w:rsidRPr="009F0FD5">
        <w:rPr>
          <w:rFonts w:ascii="Arial" w:hAnsi="Arial" w:cs="Arial"/>
          <w:color w:val="000000" w:themeColor="text1"/>
          <w:sz w:val="22"/>
          <w:szCs w:val="22"/>
        </w:rPr>
        <w:t>-201</w:t>
      </w:r>
      <w:r w:rsidR="00CA65F0" w:rsidRPr="009F0FD5">
        <w:rPr>
          <w:rFonts w:ascii="Arial" w:hAnsi="Arial" w:cs="Arial"/>
          <w:color w:val="000000" w:themeColor="text1"/>
          <w:sz w:val="22"/>
          <w:szCs w:val="22"/>
        </w:rPr>
        <w:t>9</w:t>
      </w:r>
      <w:r w:rsidR="00BB019C" w:rsidRPr="009F0FD5">
        <w:rPr>
          <w:rFonts w:ascii="Arial" w:hAnsi="Arial" w:cs="Arial"/>
          <w:color w:val="000000" w:themeColor="text1"/>
          <w:sz w:val="22"/>
          <w:szCs w:val="22"/>
        </w:rPr>
        <w:t>.</w:t>
      </w:r>
      <w:r w:rsidR="002D2746" w:rsidRPr="009F0FD5">
        <w:rPr>
          <w:rFonts w:ascii="Arial" w:hAnsi="Arial" w:cs="Arial"/>
          <w:color w:val="000000" w:themeColor="text1"/>
          <w:sz w:val="22"/>
          <w:szCs w:val="22"/>
        </w:rPr>
        <w:t xml:space="preserve"> </w:t>
      </w:r>
      <w:r w:rsidR="00E64022" w:rsidRPr="009F0FD5">
        <w:rPr>
          <w:rFonts w:ascii="Arial" w:hAnsi="Arial" w:cs="Arial"/>
          <w:color w:val="000000" w:themeColor="text1"/>
          <w:sz w:val="22"/>
          <w:szCs w:val="22"/>
        </w:rPr>
        <w:t>F</w:t>
      </w:r>
      <w:r w:rsidR="00E3161B" w:rsidRPr="009F0FD5">
        <w:rPr>
          <w:rFonts w:ascii="Arial" w:hAnsi="Arial" w:cs="Arial"/>
          <w:color w:val="000000" w:themeColor="text1"/>
          <w:sz w:val="22"/>
          <w:szCs w:val="22"/>
        </w:rPr>
        <w:t>rente a la cantidad</w:t>
      </w:r>
      <w:r w:rsidR="00DE016E" w:rsidRPr="009F0FD5">
        <w:rPr>
          <w:rFonts w:ascii="Arial" w:hAnsi="Arial" w:cs="Arial"/>
          <w:color w:val="000000" w:themeColor="text1"/>
          <w:sz w:val="22"/>
          <w:szCs w:val="22"/>
        </w:rPr>
        <w:t xml:space="preserve"> de funcionarios, </w:t>
      </w:r>
      <w:r w:rsidR="002D2746" w:rsidRPr="009F0FD5">
        <w:rPr>
          <w:rFonts w:ascii="Arial" w:hAnsi="Arial" w:cs="Arial"/>
          <w:color w:val="000000" w:themeColor="text1"/>
          <w:sz w:val="22"/>
          <w:szCs w:val="22"/>
        </w:rPr>
        <w:t>el cargo de asesor</w:t>
      </w:r>
      <w:r w:rsidR="007039A4" w:rsidRPr="009F0FD5">
        <w:rPr>
          <w:rFonts w:ascii="Arial" w:hAnsi="Arial" w:cs="Arial"/>
          <w:color w:val="000000" w:themeColor="text1"/>
          <w:sz w:val="22"/>
          <w:szCs w:val="22"/>
        </w:rPr>
        <w:t xml:space="preserve"> </w:t>
      </w:r>
      <w:r w:rsidR="002D2746" w:rsidRPr="009F0FD5">
        <w:rPr>
          <w:rFonts w:ascii="Arial" w:hAnsi="Arial" w:cs="Arial"/>
          <w:color w:val="000000" w:themeColor="text1"/>
          <w:sz w:val="22"/>
          <w:szCs w:val="22"/>
        </w:rPr>
        <w:t>presentó</w:t>
      </w:r>
      <w:r w:rsidR="00115E70" w:rsidRPr="009F0FD5">
        <w:rPr>
          <w:rFonts w:ascii="Arial" w:hAnsi="Arial" w:cs="Arial"/>
          <w:color w:val="000000" w:themeColor="text1"/>
          <w:sz w:val="22"/>
          <w:szCs w:val="22"/>
        </w:rPr>
        <w:t xml:space="preserve"> aumentos</w:t>
      </w:r>
      <w:r w:rsidR="00DE016E" w:rsidRPr="009F0FD5">
        <w:rPr>
          <w:rFonts w:ascii="Arial" w:hAnsi="Arial" w:cs="Arial"/>
          <w:color w:val="000000" w:themeColor="text1"/>
          <w:sz w:val="22"/>
          <w:szCs w:val="22"/>
        </w:rPr>
        <w:t>,</w:t>
      </w:r>
      <w:r w:rsidR="002D2746" w:rsidRPr="009F0FD5">
        <w:rPr>
          <w:rFonts w:ascii="Arial" w:hAnsi="Arial" w:cs="Arial"/>
          <w:color w:val="000000" w:themeColor="text1"/>
          <w:sz w:val="22"/>
          <w:szCs w:val="22"/>
        </w:rPr>
        <w:t xml:space="preserve"> así: </w:t>
      </w:r>
      <w:r w:rsidR="00CA65F0" w:rsidRPr="009F0FD5">
        <w:rPr>
          <w:rFonts w:ascii="Arial" w:hAnsi="Arial" w:cs="Arial"/>
          <w:color w:val="000000" w:themeColor="text1"/>
          <w:sz w:val="22"/>
          <w:szCs w:val="22"/>
        </w:rPr>
        <w:t xml:space="preserve">enero </w:t>
      </w:r>
      <w:r w:rsidR="002D2746" w:rsidRPr="009F0FD5">
        <w:rPr>
          <w:rFonts w:ascii="Arial" w:hAnsi="Arial" w:cs="Arial"/>
          <w:color w:val="000000" w:themeColor="text1"/>
          <w:sz w:val="22"/>
          <w:szCs w:val="22"/>
        </w:rPr>
        <w:t>[</w:t>
      </w:r>
      <w:r w:rsidR="00515757" w:rsidRPr="009F0FD5">
        <w:rPr>
          <w:rFonts w:ascii="Arial" w:hAnsi="Arial" w:cs="Arial"/>
          <w:color w:val="000000" w:themeColor="text1"/>
          <w:sz w:val="22"/>
          <w:szCs w:val="22"/>
        </w:rPr>
        <w:t>1</w:t>
      </w:r>
      <w:r w:rsidR="00CA65F0" w:rsidRPr="009F0FD5">
        <w:rPr>
          <w:rFonts w:ascii="Arial" w:hAnsi="Arial" w:cs="Arial"/>
          <w:color w:val="000000" w:themeColor="text1"/>
          <w:sz w:val="22"/>
          <w:szCs w:val="22"/>
        </w:rPr>
        <w:t>2</w:t>
      </w:r>
      <w:r w:rsidR="002D2746" w:rsidRPr="009F0FD5">
        <w:rPr>
          <w:rFonts w:ascii="Arial" w:hAnsi="Arial" w:cs="Arial"/>
          <w:color w:val="000000" w:themeColor="text1"/>
          <w:sz w:val="22"/>
          <w:szCs w:val="22"/>
        </w:rPr>
        <w:t xml:space="preserve">], </w:t>
      </w:r>
      <w:r w:rsidR="00CA65F0" w:rsidRPr="009F0FD5">
        <w:rPr>
          <w:rFonts w:ascii="Arial" w:hAnsi="Arial" w:cs="Arial"/>
          <w:color w:val="000000" w:themeColor="text1"/>
          <w:sz w:val="22"/>
          <w:szCs w:val="22"/>
        </w:rPr>
        <w:t xml:space="preserve">febrero </w:t>
      </w:r>
      <w:r w:rsidR="002D2746" w:rsidRPr="009F0FD5">
        <w:rPr>
          <w:rFonts w:ascii="Arial" w:hAnsi="Arial" w:cs="Arial"/>
          <w:color w:val="000000" w:themeColor="text1"/>
          <w:sz w:val="22"/>
          <w:szCs w:val="22"/>
        </w:rPr>
        <w:t>[</w:t>
      </w:r>
      <w:r w:rsidR="00515757" w:rsidRPr="009F0FD5">
        <w:rPr>
          <w:rFonts w:ascii="Arial" w:hAnsi="Arial" w:cs="Arial"/>
          <w:color w:val="000000" w:themeColor="text1"/>
          <w:sz w:val="22"/>
          <w:szCs w:val="22"/>
        </w:rPr>
        <w:t>1</w:t>
      </w:r>
      <w:r w:rsidR="00CA65F0" w:rsidRPr="009F0FD5">
        <w:rPr>
          <w:rFonts w:ascii="Arial" w:hAnsi="Arial" w:cs="Arial"/>
          <w:color w:val="000000" w:themeColor="text1"/>
          <w:sz w:val="22"/>
          <w:szCs w:val="22"/>
        </w:rPr>
        <w:t>2</w:t>
      </w:r>
      <w:r w:rsidR="002D2746" w:rsidRPr="009F0FD5">
        <w:rPr>
          <w:rFonts w:ascii="Arial" w:hAnsi="Arial" w:cs="Arial"/>
          <w:color w:val="000000" w:themeColor="text1"/>
          <w:sz w:val="22"/>
          <w:szCs w:val="22"/>
        </w:rPr>
        <w:t>]</w:t>
      </w:r>
      <w:r w:rsidR="00CA65F0" w:rsidRPr="009F0FD5">
        <w:rPr>
          <w:rFonts w:ascii="Arial" w:hAnsi="Arial" w:cs="Arial"/>
          <w:color w:val="000000" w:themeColor="text1"/>
          <w:sz w:val="22"/>
          <w:szCs w:val="22"/>
        </w:rPr>
        <w:t xml:space="preserve"> y marzo </w:t>
      </w:r>
      <w:r w:rsidR="002D2746" w:rsidRPr="009F0FD5">
        <w:rPr>
          <w:rFonts w:ascii="Arial" w:hAnsi="Arial" w:cs="Arial"/>
          <w:color w:val="000000" w:themeColor="text1"/>
          <w:sz w:val="22"/>
          <w:szCs w:val="22"/>
        </w:rPr>
        <w:t>[1</w:t>
      </w:r>
      <w:r w:rsidR="00CA65F0" w:rsidRPr="009F0FD5">
        <w:rPr>
          <w:rFonts w:ascii="Arial" w:hAnsi="Arial" w:cs="Arial"/>
          <w:color w:val="000000" w:themeColor="text1"/>
          <w:sz w:val="22"/>
          <w:szCs w:val="22"/>
        </w:rPr>
        <w:t>1</w:t>
      </w:r>
      <w:r w:rsidR="002D2746" w:rsidRPr="009F0FD5">
        <w:rPr>
          <w:rFonts w:ascii="Arial" w:hAnsi="Arial" w:cs="Arial"/>
          <w:color w:val="000000" w:themeColor="text1"/>
          <w:sz w:val="22"/>
          <w:szCs w:val="22"/>
        </w:rPr>
        <w:t xml:space="preserve">]. </w:t>
      </w:r>
    </w:p>
    <w:p w14:paraId="77C91ADC" w14:textId="77777777" w:rsidR="00515757" w:rsidRPr="009F0FD5" w:rsidRDefault="00515757" w:rsidP="00484891">
      <w:pPr>
        <w:jc w:val="both"/>
        <w:rPr>
          <w:rFonts w:ascii="Arial" w:hAnsi="Arial" w:cs="Arial"/>
          <w:color w:val="000000" w:themeColor="text1"/>
          <w:sz w:val="22"/>
          <w:szCs w:val="22"/>
          <w:highlight w:val="yellow"/>
        </w:rPr>
      </w:pPr>
    </w:p>
    <w:p w14:paraId="38DC11F0" w14:textId="11FA84E5" w:rsidR="00484891" w:rsidRPr="009F0FD5" w:rsidRDefault="00BE138E" w:rsidP="00484891">
      <w:pPr>
        <w:jc w:val="both"/>
        <w:rPr>
          <w:rFonts w:ascii="Arial" w:hAnsi="Arial" w:cs="Arial"/>
          <w:color w:val="000000" w:themeColor="text1"/>
          <w:sz w:val="22"/>
          <w:szCs w:val="22"/>
        </w:rPr>
      </w:pPr>
      <w:r w:rsidRPr="009F0FD5">
        <w:rPr>
          <w:rFonts w:ascii="Arial" w:hAnsi="Arial" w:cs="Arial"/>
          <w:color w:val="000000" w:themeColor="text1"/>
          <w:sz w:val="22"/>
          <w:szCs w:val="22"/>
        </w:rPr>
        <w:t xml:space="preserve">Frente a la situación antes descrita, la Subdirección de Gestión de Talento Humano informó que </w:t>
      </w:r>
      <w:r w:rsidR="00265DD3" w:rsidRPr="009F0FD5">
        <w:rPr>
          <w:rFonts w:ascii="Arial" w:hAnsi="Arial" w:cs="Arial"/>
          <w:color w:val="000000" w:themeColor="text1"/>
          <w:sz w:val="22"/>
          <w:szCs w:val="22"/>
        </w:rPr>
        <w:t xml:space="preserve">las </w:t>
      </w:r>
      <w:r w:rsidR="00515757" w:rsidRPr="009F0FD5">
        <w:rPr>
          <w:rFonts w:ascii="Arial" w:hAnsi="Arial" w:cs="Arial"/>
          <w:color w:val="000000" w:themeColor="text1"/>
          <w:sz w:val="22"/>
          <w:szCs w:val="22"/>
        </w:rPr>
        <w:t>variaciones</w:t>
      </w:r>
      <w:r w:rsidR="00265DD3" w:rsidRPr="009F0FD5">
        <w:rPr>
          <w:rFonts w:ascii="Arial" w:hAnsi="Arial" w:cs="Arial"/>
          <w:color w:val="000000" w:themeColor="text1"/>
          <w:sz w:val="22"/>
          <w:szCs w:val="22"/>
        </w:rPr>
        <w:t xml:space="preserve"> </w:t>
      </w:r>
      <w:r w:rsidR="005361BE" w:rsidRPr="009F0FD5">
        <w:rPr>
          <w:rFonts w:ascii="Arial" w:hAnsi="Arial" w:cs="Arial"/>
          <w:color w:val="000000" w:themeColor="text1"/>
          <w:sz w:val="22"/>
          <w:szCs w:val="22"/>
        </w:rPr>
        <w:t>relativa</w:t>
      </w:r>
      <w:r w:rsidRPr="009F0FD5">
        <w:rPr>
          <w:rFonts w:ascii="Arial" w:hAnsi="Arial" w:cs="Arial"/>
          <w:color w:val="000000" w:themeColor="text1"/>
          <w:sz w:val="22"/>
          <w:szCs w:val="22"/>
        </w:rPr>
        <w:t>s</w:t>
      </w:r>
      <w:r w:rsidR="005361BE" w:rsidRPr="009F0FD5">
        <w:rPr>
          <w:rFonts w:ascii="Arial" w:hAnsi="Arial" w:cs="Arial"/>
          <w:color w:val="000000" w:themeColor="text1"/>
          <w:sz w:val="22"/>
          <w:szCs w:val="22"/>
        </w:rPr>
        <w:t xml:space="preserve"> [%] </w:t>
      </w:r>
      <w:r w:rsidR="00265DD3" w:rsidRPr="009F0FD5">
        <w:rPr>
          <w:rFonts w:ascii="Arial" w:hAnsi="Arial" w:cs="Arial"/>
          <w:color w:val="000000" w:themeColor="text1"/>
          <w:sz w:val="22"/>
          <w:szCs w:val="22"/>
        </w:rPr>
        <w:t xml:space="preserve">y </w:t>
      </w:r>
      <w:r w:rsidRPr="009F0FD5">
        <w:rPr>
          <w:rFonts w:ascii="Arial" w:hAnsi="Arial" w:cs="Arial"/>
          <w:color w:val="000000" w:themeColor="text1"/>
          <w:sz w:val="22"/>
          <w:szCs w:val="22"/>
        </w:rPr>
        <w:t>las variaciones absolutas [</w:t>
      </w:r>
      <w:r w:rsidR="00265DD3" w:rsidRPr="009F0FD5">
        <w:rPr>
          <w:rFonts w:ascii="Arial" w:hAnsi="Arial" w:cs="Arial"/>
          <w:color w:val="000000" w:themeColor="text1"/>
          <w:sz w:val="22"/>
          <w:szCs w:val="22"/>
        </w:rPr>
        <w:t>cantidad</w:t>
      </w:r>
      <w:r w:rsidRPr="009F0FD5">
        <w:rPr>
          <w:rFonts w:ascii="Arial" w:hAnsi="Arial" w:cs="Arial"/>
          <w:color w:val="000000" w:themeColor="text1"/>
          <w:sz w:val="22"/>
          <w:szCs w:val="22"/>
        </w:rPr>
        <w:t>] presentada</w:t>
      </w:r>
      <w:r w:rsidR="009F0FD5" w:rsidRPr="009F0FD5">
        <w:rPr>
          <w:rFonts w:ascii="Arial" w:hAnsi="Arial" w:cs="Arial"/>
          <w:color w:val="000000" w:themeColor="text1"/>
          <w:sz w:val="22"/>
          <w:szCs w:val="22"/>
        </w:rPr>
        <w:t>s</w:t>
      </w:r>
      <w:r w:rsidRPr="009F0FD5">
        <w:rPr>
          <w:rFonts w:ascii="Arial" w:hAnsi="Arial" w:cs="Arial"/>
          <w:color w:val="000000" w:themeColor="text1"/>
          <w:sz w:val="22"/>
          <w:szCs w:val="22"/>
        </w:rPr>
        <w:t xml:space="preserve"> para los cargos de asesores y profesionales obedecieron en parte </w:t>
      </w:r>
      <w:r w:rsidR="00484891" w:rsidRPr="009F0FD5">
        <w:rPr>
          <w:rFonts w:ascii="Arial" w:hAnsi="Arial" w:cs="Arial"/>
          <w:color w:val="000000" w:themeColor="text1"/>
          <w:sz w:val="22"/>
          <w:szCs w:val="22"/>
        </w:rPr>
        <w:t xml:space="preserve">a que </w:t>
      </w:r>
      <w:r w:rsidRPr="009F0FD5">
        <w:rPr>
          <w:rFonts w:ascii="Arial" w:hAnsi="Arial" w:cs="Arial"/>
          <w:color w:val="000000" w:themeColor="text1"/>
          <w:sz w:val="22"/>
          <w:szCs w:val="22"/>
        </w:rPr>
        <w:t xml:space="preserve">al finalizar la </w:t>
      </w:r>
      <w:r w:rsidR="00A2504B" w:rsidRPr="009F0FD5">
        <w:rPr>
          <w:rFonts w:ascii="Arial" w:hAnsi="Arial" w:cs="Arial"/>
          <w:color w:val="000000" w:themeColor="text1"/>
          <w:sz w:val="22"/>
          <w:szCs w:val="22"/>
        </w:rPr>
        <w:t xml:space="preserve">vigencia 2019 </w:t>
      </w:r>
      <w:r w:rsidR="00F156A8" w:rsidRPr="009F0FD5">
        <w:rPr>
          <w:rFonts w:ascii="Arial" w:hAnsi="Arial" w:cs="Arial"/>
          <w:color w:val="000000" w:themeColor="text1"/>
          <w:sz w:val="22"/>
          <w:szCs w:val="22"/>
        </w:rPr>
        <w:t xml:space="preserve">se </w:t>
      </w:r>
      <w:r w:rsidR="00E93A1C" w:rsidRPr="009F0FD5">
        <w:rPr>
          <w:rFonts w:ascii="Arial" w:hAnsi="Arial" w:cs="Arial"/>
          <w:color w:val="000000" w:themeColor="text1"/>
          <w:sz w:val="22"/>
          <w:szCs w:val="22"/>
        </w:rPr>
        <w:t>aprovisionaron</w:t>
      </w:r>
      <w:r w:rsidR="00F156A8" w:rsidRPr="009F0FD5">
        <w:rPr>
          <w:rFonts w:ascii="Arial" w:hAnsi="Arial" w:cs="Arial"/>
          <w:color w:val="000000" w:themeColor="text1"/>
          <w:sz w:val="22"/>
          <w:szCs w:val="22"/>
        </w:rPr>
        <w:t xml:space="preserve"> cargos</w:t>
      </w:r>
      <w:r w:rsidR="00484891" w:rsidRPr="009F0FD5">
        <w:rPr>
          <w:rFonts w:ascii="Arial" w:hAnsi="Arial" w:cs="Arial"/>
          <w:color w:val="000000" w:themeColor="text1"/>
          <w:sz w:val="22"/>
          <w:szCs w:val="22"/>
        </w:rPr>
        <w:t xml:space="preserve"> de </w:t>
      </w:r>
      <w:r w:rsidRPr="009F0FD5">
        <w:rPr>
          <w:rFonts w:ascii="Arial" w:hAnsi="Arial" w:cs="Arial"/>
          <w:color w:val="000000" w:themeColor="text1"/>
          <w:sz w:val="22"/>
          <w:szCs w:val="22"/>
        </w:rPr>
        <w:t xml:space="preserve">dicha denominación, los cuales </w:t>
      </w:r>
      <w:r w:rsidR="00C15548" w:rsidRPr="009F0FD5">
        <w:rPr>
          <w:rFonts w:ascii="Arial" w:hAnsi="Arial" w:cs="Arial"/>
          <w:color w:val="000000" w:themeColor="text1"/>
          <w:sz w:val="22"/>
          <w:szCs w:val="22"/>
        </w:rPr>
        <w:t xml:space="preserve">se encontraban </w:t>
      </w:r>
      <w:r w:rsidR="00484891" w:rsidRPr="009F0FD5">
        <w:rPr>
          <w:rFonts w:ascii="Arial" w:hAnsi="Arial" w:cs="Arial"/>
          <w:color w:val="000000" w:themeColor="text1"/>
          <w:sz w:val="22"/>
          <w:szCs w:val="22"/>
        </w:rPr>
        <w:t>vacantes</w:t>
      </w:r>
      <w:r w:rsidRPr="009F0FD5">
        <w:rPr>
          <w:rFonts w:ascii="Arial" w:hAnsi="Arial" w:cs="Arial"/>
          <w:color w:val="000000" w:themeColor="text1"/>
          <w:sz w:val="22"/>
          <w:szCs w:val="22"/>
        </w:rPr>
        <w:t>.</w:t>
      </w:r>
      <w:r w:rsidR="005D58D7" w:rsidRPr="009F0FD5">
        <w:rPr>
          <w:rFonts w:ascii="Arial" w:hAnsi="Arial" w:cs="Arial"/>
          <w:color w:val="000000" w:themeColor="text1"/>
          <w:sz w:val="22"/>
          <w:szCs w:val="22"/>
        </w:rPr>
        <w:t xml:space="preserve"> </w:t>
      </w:r>
      <w:r w:rsidR="00B84EB6">
        <w:rPr>
          <w:rFonts w:ascii="Arial" w:hAnsi="Arial" w:cs="Arial"/>
          <w:color w:val="000000" w:themeColor="text1"/>
          <w:sz w:val="22"/>
          <w:szCs w:val="22"/>
        </w:rPr>
        <w:t>A</w:t>
      </w:r>
      <w:r w:rsidR="00484891" w:rsidRPr="009F0FD5">
        <w:rPr>
          <w:rFonts w:ascii="Arial" w:hAnsi="Arial" w:cs="Arial"/>
          <w:color w:val="000000" w:themeColor="text1"/>
          <w:sz w:val="22"/>
          <w:szCs w:val="22"/>
        </w:rPr>
        <w:t>dicionalmente</w:t>
      </w:r>
      <w:r w:rsidR="0045514F" w:rsidRPr="009F0FD5">
        <w:rPr>
          <w:rFonts w:ascii="Arial" w:hAnsi="Arial" w:cs="Arial"/>
          <w:color w:val="000000" w:themeColor="text1"/>
          <w:sz w:val="22"/>
          <w:szCs w:val="22"/>
        </w:rPr>
        <w:t>,</w:t>
      </w:r>
      <w:r w:rsidR="00484891" w:rsidRPr="009F0FD5">
        <w:rPr>
          <w:rFonts w:ascii="Arial" w:hAnsi="Arial" w:cs="Arial"/>
          <w:color w:val="000000" w:themeColor="text1"/>
          <w:sz w:val="22"/>
          <w:szCs w:val="22"/>
        </w:rPr>
        <w:t xml:space="preserve"> fueron creados dos cargos de </w:t>
      </w:r>
      <w:r w:rsidR="002039F0" w:rsidRPr="009F0FD5">
        <w:rPr>
          <w:rFonts w:ascii="Arial" w:hAnsi="Arial" w:cs="Arial"/>
          <w:color w:val="000000" w:themeColor="text1"/>
          <w:sz w:val="22"/>
          <w:szCs w:val="22"/>
        </w:rPr>
        <w:t>subdirectores</w:t>
      </w:r>
      <w:r w:rsidR="007D7F3A" w:rsidRPr="009F0FD5">
        <w:rPr>
          <w:rFonts w:ascii="Arial" w:hAnsi="Arial" w:cs="Arial"/>
          <w:color w:val="000000" w:themeColor="text1"/>
          <w:sz w:val="22"/>
          <w:szCs w:val="22"/>
        </w:rPr>
        <w:t xml:space="preserve"> </w:t>
      </w:r>
      <w:r w:rsidR="00F156A8" w:rsidRPr="009F0FD5">
        <w:rPr>
          <w:rFonts w:ascii="Arial" w:hAnsi="Arial" w:cs="Arial"/>
          <w:color w:val="000000" w:themeColor="text1"/>
          <w:sz w:val="22"/>
          <w:szCs w:val="22"/>
        </w:rPr>
        <w:t xml:space="preserve">en </w:t>
      </w:r>
      <w:r w:rsidR="00484891" w:rsidRPr="009F0FD5">
        <w:rPr>
          <w:rFonts w:ascii="Arial" w:hAnsi="Arial" w:cs="Arial"/>
          <w:color w:val="000000" w:themeColor="text1"/>
          <w:sz w:val="22"/>
          <w:szCs w:val="22"/>
        </w:rPr>
        <w:t>la Dirección General de Política Macroeconómica.</w:t>
      </w:r>
      <w:r w:rsidR="00DD4972" w:rsidRPr="009F0FD5">
        <w:rPr>
          <w:rFonts w:ascii="Arial" w:hAnsi="Arial" w:cs="Arial"/>
          <w:color w:val="000000" w:themeColor="text1"/>
          <w:sz w:val="22"/>
          <w:szCs w:val="22"/>
        </w:rPr>
        <w:t xml:space="preserve"> </w:t>
      </w:r>
    </w:p>
    <w:p w14:paraId="2AFDD1AA" w14:textId="2C2BFB0F" w:rsidR="00484891" w:rsidRPr="009F0FD5" w:rsidRDefault="00484891" w:rsidP="00B45C8A">
      <w:pPr>
        <w:jc w:val="both"/>
        <w:rPr>
          <w:rFonts w:ascii="Arial" w:hAnsi="Arial" w:cs="Arial"/>
          <w:color w:val="000000" w:themeColor="text1"/>
          <w:sz w:val="22"/>
          <w:szCs w:val="22"/>
        </w:rPr>
      </w:pPr>
    </w:p>
    <w:p w14:paraId="741FB7E2" w14:textId="77777777" w:rsidR="00CD6FC5" w:rsidRPr="009F0FD5" w:rsidRDefault="00CD6FC5" w:rsidP="00CD6FC5">
      <w:pPr>
        <w:jc w:val="both"/>
        <w:rPr>
          <w:rFonts w:ascii="Arial" w:hAnsi="Arial" w:cs="Arial"/>
          <w:color w:val="000000" w:themeColor="text1"/>
          <w:sz w:val="22"/>
          <w:szCs w:val="22"/>
        </w:rPr>
      </w:pPr>
      <w:r w:rsidRPr="009F0FD5">
        <w:rPr>
          <w:rFonts w:ascii="Arial" w:hAnsi="Arial" w:cs="Arial"/>
          <w:color w:val="000000" w:themeColor="text1"/>
          <w:sz w:val="22"/>
          <w:szCs w:val="22"/>
        </w:rPr>
        <w:t xml:space="preserve">Es de mencionar que, durante el primer trimestre de 2020 la planta de personal no presentó variaciones significativas. Con corte a 31 de marzo de cada vigencia objeto de análisis (2020-2019), se observó una </w:t>
      </w:r>
      <w:r w:rsidRPr="009F0FD5">
        <w:rPr>
          <w:rFonts w:ascii="Arial" w:hAnsi="Arial" w:cs="Arial"/>
          <w:b/>
          <w:bCs/>
          <w:color w:val="000000" w:themeColor="text1"/>
          <w:sz w:val="22"/>
          <w:szCs w:val="22"/>
        </w:rPr>
        <w:t xml:space="preserve">variación positiva </w:t>
      </w:r>
      <w:r w:rsidRPr="009F0FD5">
        <w:rPr>
          <w:rFonts w:ascii="Arial" w:hAnsi="Arial" w:cs="Arial"/>
          <w:color w:val="000000" w:themeColor="text1"/>
          <w:sz w:val="22"/>
          <w:szCs w:val="22"/>
        </w:rPr>
        <w:t xml:space="preserve">correspondiente a un incremento del 2,5%. </w:t>
      </w:r>
    </w:p>
    <w:p w14:paraId="517BBCF1" w14:textId="77777777" w:rsidR="00057C88" w:rsidRPr="009F0FD5" w:rsidRDefault="00057C88" w:rsidP="00A46840">
      <w:pPr>
        <w:jc w:val="both"/>
        <w:rPr>
          <w:rFonts w:ascii="Arial" w:hAnsi="Arial" w:cs="Arial"/>
          <w:color w:val="000000" w:themeColor="text1"/>
          <w:sz w:val="22"/>
          <w:szCs w:val="22"/>
          <w:highlight w:val="yellow"/>
        </w:rPr>
      </w:pPr>
    </w:p>
    <w:tbl>
      <w:tblPr>
        <w:tblStyle w:val="Tablaconcuadrcula1clara-nfasis1"/>
        <w:tblW w:w="5217" w:type="dxa"/>
        <w:jc w:val="center"/>
        <w:tblLook w:val="04A0" w:firstRow="1" w:lastRow="0" w:firstColumn="1" w:lastColumn="0" w:noHBand="0" w:noVBand="1"/>
      </w:tblPr>
      <w:tblGrid>
        <w:gridCol w:w="3975"/>
        <w:gridCol w:w="1242"/>
      </w:tblGrid>
      <w:tr w:rsidR="00D61216" w:rsidRPr="005045BF" w14:paraId="435C9D2B" w14:textId="77777777" w:rsidTr="00767F01">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3975" w:type="dxa"/>
            <w:shd w:val="clear" w:color="auto" w:fill="4F81BD" w:themeFill="accent1"/>
            <w:vAlign w:val="center"/>
            <w:hideMark/>
          </w:tcPr>
          <w:p w14:paraId="5FF2C9C3" w14:textId="77777777" w:rsidR="00D61216" w:rsidRPr="005045BF" w:rsidRDefault="00D61216" w:rsidP="00767F01">
            <w:pPr>
              <w:spacing w:before="10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lastRenderedPageBreak/>
              <w:t xml:space="preserve">Periodo </w:t>
            </w:r>
          </w:p>
        </w:tc>
        <w:tc>
          <w:tcPr>
            <w:tcW w:w="1242" w:type="dxa"/>
            <w:shd w:val="clear" w:color="auto" w:fill="4F81BD" w:themeFill="accent1"/>
            <w:vAlign w:val="center"/>
            <w:hideMark/>
          </w:tcPr>
          <w:p w14:paraId="00331942" w14:textId="77777777" w:rsidR="00D61216" w:rsidRPr="005045BF" w:rsidRDefault="00D61216" w:rsidP="00767F01">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Planta de Personal </w:t>
            </w:r>
          </w:p>
        </w:tc>
      </w:tr>
      <w:tr w:rsidR="00D61216" w:rsidRPr="005045BF" w14:paraId="02AB37AD"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vAlign w:val="center"/>
            <w:hideMark/>
          </w:tcPr>
          <w:p w14:paraId="53064A32" w14:textId="2E993033" w:rsidR="00D61216" w:rsidRPr="005045BF" w:rsidRDefault="00D61216" w:rsidP="00767F01">
            <w:pPr>
              <w:spacing w:before="100" w:after="100"/>
              <w:rPr>
                <w:rFonts w:ascii="Arial" w:hAnsi="Arial" w:cs="Arial"/>
                <w:b w:val="0"/>
                <w:color w:val="000000"/>
                <w:sz w:val="20"/>
                <w:szCs w:val="20"/>
              </w:rPr>
            </w:pPr>
            <w:r w:rsidRPr="005045BF">
              <w:rPr>
                <w:rFonts w:ascii="Arial" w:hAnsi="Arial" w:cs="Arial"/>
                <w:b w:val="0"/>
                <w:color w:val="000000"/>
                <w:sz w:val="20"/>
                <w:szCs w:val="20"/>
              </w:rPr>
              <w:t xml:space="preserve">Corte a 31 de </w:t>
            </w:r>
            <w:r w:rsidR="009B69E8" w:rsidRPr="005045BF">
              <w:rPr>
                <w:rFonts w:ascii="Arial" w:hAnsi="Arial" w:cs="Arial"/>
                <w:b w:val="0"/>
                <w:color w:val="000000"/>
                <w:sz w:val="20"/>
                <w:szCs w:val="20"/>
              </w:rPr>
              <w:t xml:space="preserve">marzo </w:t>
            </w:r>
            <w:r w:rsidRPr="005045BF">
              <w:rPr>
                <w:rFonts w:ascii="Arial" w:hAnsi="Arial" w:cs="Arial"/>
                <w:b w:val="0"/>
                <w:color w:val="000000"/>
                <w:sz w:val="20"/>
                <w:szCs w:val="20"/>
              </w:rPr>
              <w:t>de 20</w:t>
            </w:r>
            <w:r w:rsidR="009B69E8" w:rsidRPr="005045BF">
              <w:rPr>
                <w:rFonts w:ascii="Arial" w:hAnsi="Arial" w:cs="Arial"/>
                <w:b w:val="0"/>
                <w:color w:val="000000"/>
                <w:sz w:val="20"/>
                <w:szCs w:val="20"/>
              </w:rPr>
              <w:t>20</w:t>
            </w:r>
          </w:p>
        </w:tc>
        <w:tc>
          <w:tcPr>
            <w:tcW w:w="1242" w:type="dxa"/>
            <w:vAlign w:val="center"/>
            <w:hideMark/>
          </w:tcPr>
          <w:p w14:paraId="335944A5" w14:textId="07A84884" w:rsidR="00D61216" w:rsidRPr="005045BF" w:rsidRDefault="00D61216" w:rsidP="00767F0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68</w:t>
            </w:r>
            <w:r w:rsidR="009B69E8" w:rsidRPr="005045BF">
              <w:rPr>
                <w:rFonts w:ascii="Arial" w:hAnsi="Arial" w:cs="Arial"/>
                <w:color w:val="000000"/>
                <w:sz w:val="20"/>
                <w:szCs w:val="20"/>
              </w:rPr>
              <w:t>9</w:t>
            </w:r>
          </w:p>
        </w:tc>
      </w:tr>
      <w:tr w:rsidR="009B69E8" w:rsidRPr="005045BF" w14:paraId="785A9DFD" w14:textId="77777777" w:rsidTr="00767F01">
        <w:trPr>
          <w:cantSplit/>
          <w:trHeight w:val="253"/>
          <w:jc w:val="center"/>
        </w:trPr>
        <w:tc>
          <w:tcPr>
            <w:cnfStyle w:val="001000000000" w:firstRow="0" w:lastRow="0" w:firstColumn="1" w:lastColumn="0" w:oddVBand="0" w:evenVBand="0" w:oddHBand="0" w:evenHBand="0" w:firstRowFirstColumn="0" w:firstRowLastColumn="0" w:lastRowFirstColumn="0" w:lastRowLastColumn="0"/>
            <w:tcW w:w="3975" w:type="dxa"/>
            <w:tcBorders>
              <w:bottom w:val="double" w:sz="4" w:space="0" w:color="4F81BD" w:themeColor="accent1"/>
            </w:tcBorders>
            <w:vAlign w:val="center"/>
            <w:hideMark/>
          </w:tcPr>
          <w:p w14:paraId="7D839121" w14:textId="74C73A1D" w:rsidR="009B69E8" w:rsidRPr="005045BF" w:rsidRDefault="009B69E8" w:rsidP="00767F01">
            <w:pPr>
              <w:spacing w:before="100" w:after="100"/>
              <w:rPr>
                <w:rFonts w:ascii="Arial" w:hAnsi="Arial" w:cs="Arial"/>
                <w:b w:val="0"/>
                <w:color w:val="000000"/>
                <w:sz w:val="20"/>
                <w:szCs w:val="20"/>
              </w:rPr>
            </w:pPr>
            <w:r w:rsidRPr="005045BF">
              <w:rPr>
                <w:rFonts w:ascii="Arial" w:hAnsi="Arial" w:cs="Arial"/>
                <w:b w:val="0"/>
                <w:color w:val="000000"/>
                <w:sz w:val="20"/>
                <w:szCs w:val="20"/>
              </w:rPr>
              <w:t>Corte a 31 de marzo de 20</w:t>
            </w:r>
            <w:r w:rsidR="005A78E3" w:rsidRPr="005045BF">
              <w:rPr>
                <w:rFonts w:ascii="Arial" w:hAnsi="Arial" w:cs="Arial"/>
                <w:b w:val="0"/>
                <w:color w:val="000000"/>
                <w:sz w:val="20"/>
                <w:szCs w:val="20"/>
              </w:rPr>
              <w:t>19</w:t>
            </w:r>
          </w:p>
        </w:tc>
        <w:tc>
          <w:tcPr>
            <w:tcW w:w="1242" w:type="dxa"/>
            <w:tcBorders>
              <w:bottom w:val="double" w:sz="4" w:space="0" w:color="4F81BD" w:themeColor="accent1"/>
            </w:tcBorders>
            <w:vAlign w:val="center"/>
            <w:hideMark/>
          </w:tcPr>
          <w:p w14:paraId="3B63A26A" w14:textId="153FFDB8" w:rsidR="009B69E8" w:rsidRPr="005045BF" w:rsidRDefault="009B69E8" w:rsidP="00767F0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67</w:t>
            </w:r>
            <w:r w:rsidR="00A23786" w:rsidRPr="005045BF">
              <w:rPr>
                <w:rFonts w:ascii="Arial" w:hAnsi="Arial" w:cs="Arial"/>
                <w:color w:val="000000"/>
                <w:sz w:val="20"/>
                <w:szCs w:val="20"/>
              </w:rPr>
              <w:t>2</w:t>
            </w:r>
          </w:p>
        </w:tc>
      </w:tr>
      <w:tr w:rsidR="009B69E8" w:rsidRPr="005045BF" w14:paraId="5D2AA805"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76BD8D0" w14:textId="77777777" w:rsidR="009B69E8" w:rsidRPr="005045BF" w:rsidRDefault="009B69E8" w:rsidP="00767F01">
            <w:pPr>
              <w:spacing w:before="100" w:after="100"/>
              <w:jc w:val="center"/>
              <w:rPr>
                <w:rFonts w:ascii="Arial" w:hAnsi="Arial" w:cs="Arial"/>
                <w:color w:val="000000"/>
                <w:sz w:val="20"/>
                <w:szCs w:val="20"/>
              </w:rPr>
            </w:pPr>
            <w:r w:rsidRPr="005045BF">
              <w:rPr>
                <w:rFonts w:ascii="Arial" w:hAnsi="Arial" w:cs="Arial"/>
                <w:color w:val="000000"/>
                <w:sz w:val="20"/>
                <w:szCs w:val="20"/>
              </w:rPr>
              <w:t>Variación #</w:t>
            </w:r>
          </w:p>
        </w:tc>
        <w:tc>
          <w:tcPr>
            <w:tcW w:w="1242" w:type="dxa"/>
            <w:tcBorders>
              <w:top w:val="double" w:sz="4" w:space="0" w:color="4F81BD" w:themeColor="accent1"/>
              <w:bottom w:val="double" w:sz="4" w:space="0" w:color="4F81BD" w:themeColor="accent1"/>
            </w:tcBorders>
            <w:vAlign w:val="center"/>
            <w:hideMark/>
          </w:tcPr>
          <w:p w14:paraId="0F697E9B" w14:textId="24F3F9A4" w:rsidR="009B69E8" w:rsidRPr="005045BF" w:rsidRDefault="009B69E8" w:rsidP="00767F0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1</w:t>
            </w:r>
            <w:r w:rsidR="00A23786" w:rsidRPr="005045BF">
              <w:rPr>
                <w:rFonts w:ascii="Arial" w:hAnsi="Arial" w:cs="Arial"/>
                <w:b/>
                <w:bCs/>
                <w:color w:val="000000"/>
                <w:sz w:val="20"/>
                <w:szCs w:val="20"/>
              </w:rPr>
              <w:t>7</w:t>
            </w:r>
          </w:p>
        </w:tc>
      </w:tr>
      <w:tr w:rsidR="009B69E8" w:rsidRPr="005045BF" w14:paraId="195596B2" w14:textId="77777777" w:rsidTr="00767F01">
        <w:trPr>
          <w:cantSplit/>
          <w:jc w:val="center"/>
        </w:trPr>
        <w:tc>
          <w:tcPr>
            <w:cnfStyle w:val="001000000000" w:firstRow="0" w:lastRow="0" w:firstColumn="1" w:lastColumn="0" w:oddVBand="0" w:evenVBand="0" w:oddHBand="0" w:evenHBand="0" w:firstRowFirstColumn="0" w:firstRowLastColumn="0" w:lastRowFirstColumn="0" w:lastRowLastColumn="0"/>
            <w:tcW w:w="3975" w:type="dxa"/>
            <w:tcBorders>
              <w:top w:val="double" w:sz="4" w:space="0" w:color="4F81BD" w:themeColor="accent1"/>
              <w:bottom w:val="double" w:sz="4" w:space="0" w:color="4F81BD" w:themeColor="accent1"/>
            </w:tcBorders>
            <w:vAlign w:val="center"/>
            <w:hideMark/>
          </w:tcPr>
          <w:p w14:paraId="487CABFF" w14:textId="77777777" w:rsidR="009B69E8" w:rsidRPr="005045BF" w:rsidRDefault="009B69E8" w:rsidP="00767F01">
            <w:pPr>
              <w:spacing w:before="100" w:after="100"/>
              <w:jc w:val="center"/>
              <w:rPr>
                <w:rFonts w:ascii="Arial" w:hAnsi="Arial" w:cs="Arial"/>
                <w:color w:val="000000"/>
                <w:sz w:val="20"/>
                <w:szCs w:val="20"/>
              </w:rPr>
            </w:pPr>
            <w:r w:rsidRPr="005045BF">
              <w:rPr>
                <w:rFonts w:ascii="Arial" w:hAnsi="Arial" w:cs="Arial"/>
                <w:color w:val="000000"/>
                <w:sz w:val="20"/>
                <w:szCs w:val="20"/>
              </w:rPr>
              <w:t xml:space="preserve">Variación % </w:t>
            </w:r>
          </w:p>
        </w:tc>
        <w:tc>
          <w:tcPr>
            <w:tcW w:w="1242" w:type="dxa"/>
            <w:tcBorders>
              <w:top w:val="double" w:sz="4" w:space="0" w:color="4F81BD" w:themeColor="accent1"/>
              <w:bottom w:val="double" w:sz="4" w:space="0" w:color="4F81BD" w:themeColor="accent1"/>
            </w:tcBorders>
            <w:vAlign w:val="center"/>
            <w:hideMark/>
          </w:tcPr>
          <w:p w14:paraId="71DF29DA" w14:textId="6D83A8D8" w:rsidR="009B69E8" w:rsidRPr="005045BF" w:rsidRDefault="009B69E8" w:rsidP="00767F01">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2</w:t>
            </w:r>
            <w:r w:rsidR="00A23786" w:rsidRPr="005045BF">
              <w:rPr>
                <w:rFonts w:ascii="Arial" w:hAnsi="Arial" w:cs="Arial"/>
                <w:b/>
                <w:bCs/>
                <w:color w:val="000000"/>
                <w:sz w:val="20"/>
                <w:szCs w:val="20"/>
              </w:rPr>
              <w:t>,5</w:t>
            </w:r>
            <w:r w:rsidRPr="005045BF">
              <w:rPr>
                <w:rFonts w:ascii="Arial" w:hAnsi="Arial" w:cs="Arial"/>
                <w:b/>
                <w:bCs/>
                <w:color w:val="000000"/>
                <w:sz w:val="20"/>
                <w:szCs w:val="20"/>
              </w:rPr>
              <w:t>%</w:t>
            </w:r>
          </w:p>
        </w:tc>
      </w:tr>
    </w:tbl>
    <w:p w14:paraId="7408A4F1" w14:textId="77777777" w:rsidR="002D3C83" w:rsidRPr="005045BF" w:rsidRDefault="002D3C83" w:rsidP="00ED2669">
      <w:pPr>
        <w:jc w:val="both"/>
        <w:rPr>
          <w:rFonts w:ascii="Arial" w:hAnsi="Arial" w:cs="Arial"/>
          <w:sz w:val="22"/>
          <w:szCs w:val="22"/>
          <w:highlight w:val="yellow"/>
        </w:rPr>
      </w:pPr>
    </w:p>
    <w:p w14:paraId="5DD75589" w14:textId="77777777" w:rsidR="009F0FD5" w:rsidRDefault="009F0FD5" w:rsidP="00767F01">
      <w:pPr>
        <w:jc w:val="both"/>
        <w:rPr>
          <w:rFonts w:ascii="Arial" w:hAnsi="Arial" w:cs="Arial"/>
          <w:sz w:val="22"/>
          <w:szCs w:val="22"/>
        </w:rPr>
      </w:pPr>
    </w:p>
    <w:p w14:paraId="6D0BC3D1" w14:textId="28F93F63" w:rsidR="00FE09AA" w:rsidRPr="0040393D" w:rsidRDefault="00FE09AA" w:rsidP="00767F01">
      <w:pPr>
        <w:jc w:val="both"/>
        <w:rPr>
          <w:rFonts w:ascii="Arial" w:hAnsi="Arial" w:cs="Arial"/>
          <w:color w:val="000000" w:themeColor="text1"/>
          <w:sz w:val="22"/>
          <w:szCs w:val="22"/>
        </w:rPr>
      </w:pPr>
      <w:r w:rsidRPr="0040393D">
        <w:rPr>
          <w:rFonts w:ascii="Arial" w:hAnsi="Arial" w:cs="Arial"/>
          <w:color w:val="000000" w:themeColor="text1"/>
          <w:sz w:val="22"/>
          <w:szCs w:val="22"/>
        </w:rPr>
        <w:t xml:space="preserve">De igual forma, se comparó la planta de </w:t>
      </w:r>
      <w:r w:rsidR="004473D8" w:rsidRPr="0040393D">
        <w:rPr>
          <w:rFonts w:ascii="Arial" w:hAnsi="Arial" w:cs="Arial"/>
          <w:color w:val="000000" w:themeColor="text1"/>
          <w:sz w:val="22"/>
          <w:szCs w:val="22"/>
        </w:rPr>
        <w:t>personal con</w:t>
      </w:r>
      <w:r w:rsidR="00020C39" w:rsidRPr="0040393D">
        <w:rPr>
          <w:rFonts w:ascii="Arial" w:hAnsi="Arial" w:cs="Arial"/>
          <w:color w:val="000000" w:themeColor="text1"/>
          <w:sz w:val="22"/>
          <w:szCs w:val="22"/>
        </w:rPr>
        <w:t xml:space="preserve"> </w:t>
      </w:r>
      <w:r w:rsidRPr="0040393D">
        <w:rPr>
          <w:rFonts w:ascii="Arial" w:hAnsi="Arial" w:cs="Arial"/>
          <w:color w:val="000000" w:themeColor="text1"/>
          <w:sz w:val="22"/>
          <w:szCs w:val="22"/>
        </w:rPr>
        <w:t xml:space="preserve">corte </w:t>
      </w:r>
      <w:r w:rsidR="00750A7E" w:rsidRPr="0040393D">
        <w:rPr>
          <w:rFonts w:ascii="Arial" w:hAnsi="Arial" w:cs="Arial"/>
          <w:color w:val="000000" w:themeColor="text1"/>
          <w:sz w:val="22"/>
          <w:szCs w:val="22"/>
        </w:rPr>
        <w:t xml:space="preserve">al </w:t>
      </w:r>
      <w:r w:rsidR="00020C39" w:rsidRPr="0040393D">
        <w:rPr>
          <w:rFonts w:ascii="Arial" w:hAnsi="Arial" w:cs="Arial"/>
          <w:color w:val="000000" w:themeColor="text1"/>
          <w:sz w:val="22"/>
          <w:szCs w:val="22"/>
        </w:rPr>
        <w:t>31 de marzo de 2020 [689 funcionarios] frente al corte de 31 de diciembre de 2019 [684 funcionarios]</w:t>
      </w:r>
      <w:r w:rsidR="004473D8" w:rsidRPr="0040393D">
        <w:rPr>
          <w:rFonts w:ascii="Arial" w:hAnsi="Arial" w:cs="Arial"/>
          <w:color w:val="000000" w:themeColor="text1"/>
          <w:sz w:val="22"/>
          <w:szCs w:val="22"/>
        </w:rPr>
        <w:t xml:space="preserve">, </w:t>
      </w:r>
      <w:r w:rsidRPr="0040393D">
        <w:rPr>
          <w:rFonts w:ascii="Arial" w:hAnsi="Arial" w:cs="Arial"/>
          <w:color w:val="000000" w:themeColor="text1"/>
          <w:sz w:val="22"/>
          <w:szCs w:val="22"/>
        </w:rPr>
        <w:t xml:space="preserve">encontrando que </w:t>
      </w:r>
      <w:r w:rsidR="00DC5C6F" w:rsidRPr="0040393D">
        <w:rPr>
          <w:rFonts w:ascii="Arial" w:hAnsi="Arial" w:cs="Arial"/>
          <w:color w:val="000000" w:themeColor="text1"/>
          <w:sz w:val="22"/>
          <w:szCs w:val="22"/>
        </w:rPr>
        <w:t>la variación de u</w:t>
      </w:r>
      <w:r w:rsidR="00843CE4" w:rsidRPr="0040393D">
        <w:rPr>
          <w:rFonts w:ascii="Arial" w:hAnsi="Arial" w:cs="Arial"/>
          <w:color w:val="000000" w:themeColor="text1"/>
          <w:sz w:val="22"/>
          <w:szCs w:val="22"/>
        </w:rPr>
        <w:t xml:space="preserve">n </w:t>
      </w:r>
      <w:r w:rsidR="004473D8" w:rsidRPr="0040393D">
        <w:rPr>
          <w:rFonts w:ascii="Arial" w:hAnsi="Arial" w:cs="Arial"/>
          <w:color w:val="000000" w:themeColor="text1"/>
          <w:sz w:val="22"/>
          <w:szCs w:val="22"/>
        </w:rPr>
        <w:t xml:space="preserve">periodo a </w:t>
      </w:r>
      <w:r w:rsidR="00843CE4" w:rsidRPr="0040393D">
        <w:rPr>
          <w:rFonts w:ascii="Arial" w:hAnsi="Arial" w:cs="Arial"/>
          <w:color w:val="000000" w:themeColor="text1"/>
          <w:sz w:val="22"/>
          <w:szCs w:val="22"/>
        </w:rPr>
        <w:t xml:space="preserve">otro correspondió a </w:t>
      </w:r>
      <w:r w:rsidR="00DC5C6F" w:rsidRPr="0040393D">
        <w:rPr>
          <w:rFonts w:ascii="Arial" w:hAnsi="Arial" w:cs="Arial"/>
          <w:color w:val="000000" w:themeColor="text1"/>
          <w:sz w:val="22"/>
          <w:szCs w:val="22"/>
        </w:rPr>
        <w:t>5</w:t>
      </w:r>
      <w:r w:rsidR="00360CC6" w:rsidRPr="0040393D">
        <w:rPr>
          <w:rFonts w:ascii="Arial" w:hAnsi="Arial" w:cs="Arial"/>
          <w:color w:val="000000" w:themeColor="text1"/>
          <w:sz w:val="22"/>
          <w:szCs w:val="22"/>
        </w:rPr>
        <w:t xml:space="preserve"> funcionarios. </w:t>
      </w:r>
      <w:r w:rsidRPr="0040393D">
        <w:rPr>
          <w:rFonts w:ascii="Arial" w:hAnsi="Arial" w:cs="Arial"/>
          <w:color w:val="000000" w:themeColor="text1"/>
          <w:sz w:val="22"/>
          <w:szCs w:val="22"/>
        </w:rPr>
        <w:t xml:space="preserve">En términos generales, se concluye que la planta de personal </w:t>
      </w:r>
      <w:r w:rsidR="00914390" w:rsidRPr="0040393D">
        <w:rPr>
          <w:rFonts w:ascii="Arial" w:hAnsi="Arial" w:cs="Arial"/>
          <w:color w:val="000000" w:themeColor="text1"/>
          <w:sz w:val="22"/>
          <w:szCs w:val="22"/>
        </w:rPr>
        <w:t>con corte al</w:t>
      </w:r>
      <w:r w:rsidR="00020C39" w:rsidRPr="0040393D">
        <w:rPr>
          <w:rFonts w:ascii="Arial" w:hAnsi="Arial" w:cs="Arial"/>
          <w:color w:val="000000" w:themeColor="text1"/>
          <w:sz w:val="22"/>
          <w:szCs w:val="22"/>
        </w:rPr>
        <w:t xml:space="preserve"> primer trimestre de </w:t>
      </w:r>
      <w:r w:rsidR="00694AD3" w:rsidRPr="0040393D">
        <w:rPr>
          <w:rFonts w:ascii="Arial" w:hAnsi="Arial" w:cs="Arial"/>
          <w:color w:val="000000" w:themeColor="text1"/>
          <w:sz w:val="22"/>
          <w:szCs w:val="22"/>
        </w:rPr>
        <w:t>la vigencia 20</w:t>
      </w:r>
      <w:r w:rsidR="00020C39" w:rsidRPr="0040393D">
        <w:rPr>
          <w:rFonts w:ascii="Arial" w:hAnsi="Arial" w:cs="Arial"/>
          <w:color w:val="000000" w:themeColor="text1"/>
          <w:sz w:val="22"/>
          <w:szCs w:val="22"/>
        </w:rPr>
        <w:t>20</w:t>
      </w:r>
      <w:r w:rsidR="00694AD3" w:rsidRPr="0040393D">
        <w:rPr>
          <w:rFonts w:ascii="Arial" w:hAnsi="Arial" w:cs="Arial"/>
          <w:color w:val="000000" w:themeColor="text1"/>
          <w:sz w:val="22"/>
          <w:szCs w:val="22"/>
        </w:rPr>
        <w:t xml:space="preserve"> </w:t>
      </w:r>
      <w:r w:rsidR="00914390" w:rsidRPr="0040393D">
        <w:rPr>
          <w:rFonts w:ascii="Arial" w:hAnsi="Arial" w:cs="Arial"/>
          <w:color w:val="000000" w:themeColor="text1"/>
          <w:sz w:val="22"/>
          <w:szCs w:val="22"/>
        </w:rPr>
        <w:t xml:space="preserve">comparado con el corte del trimestre inmediatamente anterior, </w:t>
      </w:r>
      <w:r w:rsidRPr="0040393D">
        <w:rPr>
          <w:rFonts w:ascii="Arial" w:hAnsi="Arial" w:cs="Arial"/>
          <w:color w:val="000000" w:themeColor="text1"/>
          <w:sz w:val="22"/>
          <w:szCs w:val="22"/>
        </w:rPr>
        <w:t xml:space="preserve">se </w:t>
      </w:r>
      <w:r w:rsidR="001957B4" w:rsidRPr="0040393D">
        <w:rPr>
          <w:rFonts w:ascii="Arial" w:hAnsi="Arial" w:cs="Arial"/>
          <w:color w:val="000000" w:themeColor="text1"/>
          <w:sz w:val="22"/>
          <w:szCs w:val="22"/>
        </w:rPr>
        <w:t xml:space="preserve">mantuvo </w:t>
      </w:r>
      <w:r w:rsidRPr="0040393D">
        <w:rPr>
          <w:rFonts w:ascii="Arial" w:hAnsi="Arial" w:cs="Arial"/>
          <w:color w:val="000000" w:themeColor="text1"/>
          <w:sz w:val="22"/>
          <w:szCs w:val="22"/>
        </w:rPr>
        <w:t>constante</w:t>
      </w:r>
      <w:r w:rsidR="00914390" w:rsidRPr="0040393D">
        <w:rPr>
          <w:rFonts w:ascii="Arial" w:hAnsi="Arial" w:cs="Arial"/>
          <w:color w:val="000000" w:themeColor="text1"/>
          <w:sz w:val="22"/>
          <w:szCs w:val="22"/>
        </w:rPr>
        <w:t xml:space="preserve"> s</w:t>
      </w:r>
      <w:r w:rsidRPr="0040393D">
        <w:rPr>
          <w:rFonts w:ascii="Arial" w:hAnsi="Arial" w:cs="Arial"/>
          <w:color w:val="000000" w:themeColor="text1"/>
          <w:sz w:val="22"/>
          <w:szCs w:val="22"/>
        </w:rPr>
        <w:t>in registrar variaciones significativas</w:t>
      </w:r>
      <w:r w:rsidR="00C616AB" w:rsidRPr="0040393D">
        <w:rPr>
          <w:rFonts w:ascii="Arial" w:hAnsi="Arial" w:cs="Arial"/>
          <w:color w:val="000000" w:themeColor="text1"/>
          <w:sz w:val="22"/>
          <w:szCs w:val="22"/>
        </w:rPr>
        <w:t xml:space="preserve"> [0,7%]. </w:t>
      </w:r>
    </w:p>
    <w:p w14:paraId="54EA326E" w14:textId="062E519B" w:rsidR="005D7AEE" w:rsidRPr="005045BF" w:rsidRDefault="005D7AEE" w:rsidP="00767F01">
      <w:pPr>
        <w:rPr>
          <w:rFonts w:ascii="Arial" w:hAnsi="Arial" w:cs="Arial"/>
          <w:sz w:val="22"/>
          <w:szCs w:val="22"/>
          <w:highlight w:val="yellow"/>
        </w:rPr>
      </w:pPr>
    </w:p>
    <w:p w14:paraId="227273F0" w14:textId="77777777" w:rsidR="00B45C8A" w:rsidRPr="005045BF" w:rsidRDefault="00B45C8A" w:rsidP="00767F01">
      <w:pPr>
        <w:rPr>
          <w:rFonts w:ascii="Arial" w:hAnsi="Arial" w:cs="Arial"/>
          <w:color w:val="000000" w:themeColor="text1"/>
          <w:sz w:val="22"/>
          <w:szCs w:val="22"/>
          <w:highlight w:val="yellow"/>
        </w:rPr>
      </w:pPr>
    </w:p>
    <w:p w14:paraId="379D9A2D" w14:textId="395671AD" w:rsidR="00392D96" w:rsidRPr="005045BF" w:rsidRDefault="00905284" w:rsidP="00F103B2">
      <w:pPr>
        <w:pStyle w:val="Prrafodelista"/>
        <w:numPr>
          <w:ilvl w:val="2"/>
          <w:numId w:val="33"/>
        </w:numPr>
        <w:rPr>
          <w:rFonts w:ascii="Arial" w:hAnsi="Arial" w:cs="Arial"/>
          <w:b/>
          <w:color w:val="000000" w:themeColor="text1"/>
          <w:sz w:val="22"/>
          <w:szCs w:val="22"/>
        </w:rPr>
      </w:pPr>
      <w:r w:rsidRPr="005045BF">
        <w:rPr>
          <w:rFonts w:ascii="Arial" w:hAnsi="Arial" w:cs="Arial"/>
          <w:b/>
          <w:color w:val="000000" w:themeColor="text1"/>
          <w:sz w:val="22"/>
          <w:szCs w:val="22"/>
        </w:rPr>
        <w:t>Obligaciones por concepto de Gastos de Nómina</w:t>
      </w:r>
    </w:p>
    <w:p w14:paraId="34307F9F" w14:textId="77777777" w:rsidR="00392D96" w:rsidRPr="005045BF" w:rsidRDefault="00392D96" w:rsidP="000D6841">
      <w:pPr>
        <w:pStyle w:val="Prrafodelista"/>
        <w:ind w:left="360"/>
        <w:contextualSpacing w:val="0"/>
        <w:jc w:val="left"/>
        <w:rPr>
          <w:rFonts w:ascii="Arial" w:hAnsi="Arial" w:cs="Arial"/>
          <w:b/>
          <w:color w:val="000000" w:themeColor="text1"/>
          <w:sz w:val="22"/>
          <w:szCs w:val="22"/>
        </w:rPr>
      </w:pPr>
    </w:p>
    <w:p w14:paraId="3219B876" w14:textId="77777777" w:rsidR="00767F01" w:rsidRPr="0040393D" w:rsidRDefault="0095156A" w:rsidP="0072314D">
      <w:pPr>
        <w:jc w:val="both"/>
        <w:rPr>
          <w:rFonts w:ascii="Arial" w:hAnsi="Arial" w:cs="Arial"/>
          <w:color w:val="000000" w:themeColor="text1"/>
          <w:sz w:val="22"/>
          <w:szCs w:val="22"/>
        </w:rPr>
      </w:pPr>
      <w:r w:rsidRPr="0040393D">
        <w:rPr>
          <w:rFonts w:ascii="Arial" w:hAnsi="Arial" w:cs="Arial"/>
          <w:color w:val="000000" w:themeColor="text1"/>
          <w:sz w:val="22"/>
          <w:szCs w:val="22"/>
        </w:rPr>
        <w:t xml:space="preserve">En este punto, </w:t>
      </w:r>
      <w:r w:rsidR="003F1CBD" w:rsidRPr="0040393D">
        <w:rPr>
          <w:rFonts w:ascii="Arial" w:hAnsi="Arial" w:cs="Arial"/>
          <w:color w:val="000000" w:themeColor="text1"/>
          <w:sz w:val="22"/>
          <w:szCs w:val="22"/>
        </w:rPr>
        <w:t xml:space="preserve">se presenta </w:t>
      </w:r>
      <w:r w:rsidR="006C1A11" w:rsidRPr="0040393D">
        <w:rPr>
          <w:rFonts w:ascii="Arial" w:hAnsi="Arial" w:cs="Arial"/>
          <w:color w:val="000000" w:themeColor="text1"/>
          <w:sz w:val="22"/>
          <w:szCs w:val="22"/>
        </w:rPr>
        <w:t>la comparación</w:t>
      </w:r>
      <w:r w:rsidR="00B02FB9" w:rsidRPr="0040393D">
        <w:rPr>
          <w:rFonts w:ascii="Arial" w:hAnsi="Arial" w:cs="Arial"/>
          <w:color w:val="000000" w:themeColor="text1"/>
          <w:sz w:val="22"/>
          <w:szCs w:val="22"/>
        </w:rPr>
        <w:t xml:space="preserve"> de los valores obligados por </w:t>
      </w:r>
      <w:r w:rsidR="003F1CBD" w:rsidRPr="0040393D">
        <w:rPr>
          <w:rFonts w:ascii="Arial" w:hAnsi="Arial" w:cs="Arial"/>
          <w:color w:val="000000" w:themeColor="text1"/>
          <w:sz w:val="22"/>
          <w:szCs w:val="22"/>
        </w:rPr>
        <w:t>concepto de Gastos de N</w:t>
      </w:r>
      <w:r w:rsidR="00705F96" w:rsidRPr="0040393D">
        <w:rPr>
          <w:rFonts w:ascii="Arial" w:hAnsi="Arial" w:cs="Arial"/>
          <w:color w:val="000000" w:themeColor="text1"/>
          <w:sz w:val="22"/>
          <w:szCs w:val="22"/>
        </w:rPr>
        <w:t>ómina</w:t>
      </w:r>
      <w:r w:rsidR="007C483E" w:rsidRPr="0040393D">
        <w:rPr>
          <w:rFonts w:ascii="Arial" w:hAnsi="Arial" w:cs="Arial"/>
          <w:color w:val="000000" w:themeColor="text1"/>
          <w:sz w:val="22"/>
          <w:szCs w:val="22"/>
        </w:rPr>
        <w:t xml:space="preserve">, </w:t>
      </w:r>
      <w:r w:rsidR="00B02FB9" w:rsidRPr="0040393D">
        <w:rPr>
          <w:rFonts w:ascii="Arial" w:hAnsi="Arial" w:cs="Arial"/>
          <w:color w:val="000000" w:themeColor="text1"/>
          <w:sz w:val="22"/>
          <w:szCs w:val="22"/>
        </w:rPr>
        <w:t>según</w:t>
      </w:r>
      <w:r w:rsidR="007C483E" w:rsidRPr="0040393D">
        <w:rPr>
          <w:rFonts w:ascii="Arial" w:hAnsi="Arial" w:cs="Arial"/>
          <w:color w:val="000000" w:themeColor="text1"/>
          <w:sz w:val="22"/>
          <w:szCs w:val="22"/>
        </w:rPr>
        <w:t xml:space="preserve"> la información tomada del </w:t>
      </w:r>
      <w:r w:rsidR="00640C7A" w:rsidRPr="0040393D">
        <w:rPr>
          <w:rFonts w:ascii="Arial" w:hAnsi="Arial" w:cs="Arial"/>
          <w:color w:val="000000" w:themeColor="text1"/>
          <w:sz w:val="22"/>
          <w:szCs w:val="22"/>
        </w:rPr>
        <w:t xml:space="preserve">reporte de </w:t>
      </w:r>
      <w:r w:rsidR="00640C7A" w:rsidRPr="0040393D">
        <w:rPr>
          <w:rFonts w:ascii="Arial" w:hAnsi="Arial" w:cs="Arial"/>
          <w:i/>
          <w:iCs/>
          <w:color w:val="000000" w:themeColor="text1"/>
          <w:sz w:val="22"/>
          <w:szCs w:val="22"/>
        </w:rPr>
        <w:t xml:space="preserve">ejecución presupuestal agregada </w:t>
      </w:r>
      <w:r w:rsidR="00640C7A" w:rsidRPr="0040393D">
        <w:rPr>
          <w:rFonts w:ascii="Arial" w:hAnsi="Arial" w:cs="Arial"/>
          <w:color w:val="000000" w:themeColor="text1"/>
          <w:sz w:val="22"/>
          <w:szCs w:val="22"/>
        </w:rPr>
        <w:t xml:space="preserve">del </w:t>
      </w:r>
      <w:r w:rsidR="007C483E" w:rsidRPr="0040393D">
        <w:rPr>
          <w:rFonts w:ascii="Arial" w:hAnsi="Arial" w:cs="Arial"/>
          <w:color w:val="000000" w:themeColor="text1"/>
          <w:sz w:val="22"/>
          <w:szCs w:val="22"/>
        </w:rPr>
        <w:t xml:space="preserve">SIIF </w:t>
      </w:r>
      <w:r w:rsidRPr="0040393D">
        <w:rPr>
          <w:rFonts w:ascii="Arial" w:hAnsi="Arial" w:cs="Arial"/>
          <w:color w:val="000000" w:themeColor="text1"/>
          <w:sz w:val="22"/>
          <w:szCs w:val="22"/>
        </w:rPr>
        <w:t>para los periodos objeto de verificación</w:t>
      </w:r>
      <w:r w:rsidR="00510453" w:rsidRPr="0040393D">
        <w:rPr>
          <w:rFonts w:ascii="Arial" w:hAnsi="Arial" w:cs="Arial"/>
          <w:color w:val="000000" w:themeColor="text1"/>
          <w:sz w:val="22"/>
          <w:szCs w:val="22"/>
        </w:rPr>
        <w:t xml:space="preserve">. </w:t>
      </w:r>
    </w:p>
    <w:p w14:paraId="1802F6BB" w14:textId="77777777" w:rsidR="00767F01" w:rsidRPr="0040393D" w:rsidRDefault="00767F01" w:rsidP="0072314D">
      <w:pPr>
        <w:jc w:val="both"/>
        <w:rPr>
          <w:rFonts w:ascii="Arial" w:hAnsi="Arial" w:cs="Arial"/>
          <w:color w:val="000000" w:themeColor="text1"/>
          <w:sz w:val="22"/>
          <w:szCs w:val="22"/>
        </w:rPr>
      </w:pPr>
    </w:p>
    <w:p w14:paraId="439CD758" w14:textId="1FC65DA3" w:rsidR="00FF1312" w:rsidRPr="0040393D" w:rsidRDefault="00510453" w:rsidP="0072314D">
      <w:pPr>
        <w:jc w:val="both"/>
        <w:rPr>
          <w:rFonts w:ascii="Arial" w:hAnsi="Arial" w:cs="Arial"/>
          <w:color w:val="000000" w:themeColor="text1"/>
          <w:sz w:val="22"/>
          <w:szCs w:val="22"/>
        </w:rPr>
      </w:pPr>
      <w:r w:rsidRPr="0040393D">
        <w:rPr>
          <w:rFonts w:ascii="Arial" w:hAnsi="Arial" w:cs="Arial"/>
          <w:color w:val="000000" w:themeColor="text1"/>
          <w:sz w:val="22"/>
          <w:szCs w:val="22"/>
        </w:rPr>
        <w:t>Es importante mencionar que, debido a los cambios derivados de la implementación del Catálogo de Clasificación Presupuestal – CCP que empezó a regir a partir de la vigencia 2019</w:t>
      </w:r>
      <w:r w:rsidR="001D4FCB" w:rsidRPr="0040393D">
        <w:rPr>
          <w:rFonts w:ascii="Arial" w:hAnsi="Arial" w:cs="Arial"/>
          <w:color w:val="000000" w:themeColor="text1"/>
          <w:sz w:val="22"/>
          <w:szCs w:val="22"/>
        </w:rPr>
        <w:t xml:space="preserve">, </w:t>
      </w:r>
      <w:r w:rsidR="004768E8" w:rsidRPr="0040393D">
        <w:rPr>
          <w:rFonts w:ascii="Arial" w:hAnsi="Arial" w:cs="Arial"/>
          <w:color w:val="000000" w:themeColor="text1"/>
          <w:sz w:val="22"/>
          <w:szCs w:val="22"/>
        </w:rPr>
        <w:t xml:space="preserve">los gastos asociados a la nómina referente a </w:t>
      </w:r>
      <w:r w:rsidR="00BC63AB" w:rsidRPr="0040393D">
        <w:rPr>
          <w:rFonts w:ascii="Arial" w:hAnsi="Arial" w:cs="Arial"/>
          <w:color w:val="000000" w:themeColor="text1"/>
          <w:sz w:val="22"/>
          <w:szCs w:val="22"/>
        </w:rPr>
        <w:t>I</w:t>
      </w:r>
      <w:r w:rsidR="004768E8" w:rsidRPr="0040393D">
        <w:rPr>
          <w:rFonts w:ascii="Arial" w:hAnsi="Arial" w:cs="Arial"/>
          <w:color w:val="000000" w:themeColor="text1"/>
          <w:sz w:val="22"/>
          <w:szCs w:val="22"/>
        </w:rPr>
        <w:t xml:space="preserve">ncapacidades y </w:t>
      </w:r>
      <w:r w:rsidR="00BC63AB" w:rsidRPr="0040393D">
        <w:rPr>
          <w:rFonts w:ascii="Arial" w:hAnsi="Arial" w:cs="Arial"/>
          <w:color w:val="000000" w:themeColor="text1"/>
          <w:sz w:val="22"/>
          <w:szCs w:val="22"/>
        </w:rPr>
        <w:t>L</w:t>
      </w:r>
      <w:r w:rsidR="004768E8" w:rsidRPr="0040393D">
        <w:rPr>
          <w:rFonts w:ascii="Arial" w:hAnsi="Arial" w:cs="Arial"/>
          <w:color w:val="000000" w:themeColor="text1"/>
          <w:sz w:val="22"/>
          <w:szCs w:val="22"/>
        </w:rPr>
        <w:t xml:space="preserve">icencias de </w:t>
      </w:r>
      <w:r w:rsidR="00E62A60" w:rsidRPr="0040393D">
        <w:rPr>
          <w:rFonts w:ascii="Arial" w:hAnsi="Arial" w:cs="Arial"/>
          <w:color w:val="000000" w:themeColor="text1"/>
          <w:sz w:val="22"/>
          <w:szCs w:val="22"/>
        </w:rPr>
        <w:t>M</w:t>
      </w:r>
      <w:r w:rsidR="004768E8" w:rsidRPr="0040393D">
        <w:rPr>
          <w:rFonts w:ascii="Arial" w:hAnsi="Arial" w:cs="Arial"/>
          <w:color w:val="000000" w:themeColor="text1"/>
          <w:sz w:val="22"/>
          <w:szCs w:val="22"/>
        </w:rPr>
        <w:t>aternidad, se efectuar</w:t>
      </w:r>
      <w:r w:rsidR="00E62A60" w:rsidRPr="0040393D">
        <w:rPr>
          <w:rFonts w:ascii="Arial" w:hAnsi="Arial" w:cs="Arial"/>
          <w:color w:val="000000" w:themeColor="text1"/>
          <w:sz w:val="22"/>
          <w:szCs w:val="22"/>
        </w:rPr>
        <w:t>á</w:t>
      </w:r>
      <w:r w:rsidR="004768E8" w:rsidRPr="0040393D">
        <w:rPr>
          <w:rFonts w:ascii="Arial" w:hAnsi="Arial" w:cs="Arial"/>
          <w:color w:val="000000" w:themeColor="text1"/>
          <w:sz w:val="22"/>
          <w:szCs w:val="22"/>
        </w:rPr>
        <w:t xml:space="preserve">n mediante </w:t>
      </w:r>
      <w:r w:rsidR="00157C8A" w:rsidRPr="0040393D">
        <w:rPr>
          <w:rFonts w:ascii="Arial" w:hAnsi="Arial" w:cs="Arial"/>
          <w:color w:val="000000" w:themeColor="text1"/>
          <w:sz w:val="22"/>
          <w:szCs w:val="22"/>
        </w:rPr>
        <w:t xml:space="preserve">los rubros del </w:t>
      </w:r>
      <w:r w:rsidR="004768E8" w:rsidRPr="0040393D">
        <w:rPr>
          <w:rFonts w:ascii="Arial" w:hAnsi="Arial" w:cs="Arial"/>
          <w:color w:val="000000" w:themeColor="text1"/>
          <w:sz w:val="22"/>
          <w:szCs w:val="22"/>
        </w:rPr>
        <w:t>grupo presupuestal</w:t>
      </w:r>
      <w:r w:rsidR="00E62A60" w:rsidRPr="0040393D">
        <w:rPr>
          <w:rFonts w:ascii="Arial" w:hAnsi="Arial" w:cs="Arial"/>
          <w:color w:val="000000" w:themeColor="text1"/>
          <w:sz w:val="22"/>
          <w:szCs w:val="22"/>
        </w:rPr>
        <w:t xml:space="preserve"> </w:t>
      </w:r>
      <w:r w:rsidR="00CF31BC" w:rsidRPr="0040393D">
        <w:rPr>
          <w:rFonts w:ascii="Arial" w:hAnsi="Arial" w:cs="Arial"/>
          <w:color w:val="000000" w:themeColor="text1"/>
          <w:sz w:val="22"/>
          <w:szCs w:val="22"/>
        </w:rPr>
        <w:t xml:space="preserve">de </w:t>
      </w:r>
      <w:r w:rsidR="00157C8A" w:rsidRPr="0040393D">
        <w:rPr>
          <w:rFonts w:ascii="Arial" w:hAnsi="Arial" w:cs="Arial"/>
          <w:i/>
          <w:iCs/>
          <w:color w:val="000000" w:themeColor="text1"/>
          <w:sz w:val="22"/>
          <w:szCs w:val="22"/>
        </w:rPr>
        <w:t>T</w:t>
      </w:r>
      <w:r w:rsidRPr="0040393D">
        <w:rPr>
          <w:rFonts w:ascii="Arial" w:hAnsi="Arial" w:cs="Arial"/>
          <w:i/>
          <w:iCs/>
          <w:color w:val="000000" w:themeColor="text1"/>
          <w:sz w:val="22"/>
          <w:szCs w:val="22"/>
        </w:rPr>
        <w:t>ransferencias</w:t>
      </w:r>
      <w:r w:rsidR="004768E8" w:rsidRPr="0040393D">
        <w:rPr>
          <w:rFonts w:ascii="Arial" w:hAnsi="Arial" w:cs="Arial"/>
          <w:color w:val="000000" w:themeColor="text1"/>
          <w:sz w:val="22"/>
          <w:szCs w:val="22"/>
        </w:rPr>
        <w:t>.</w:t>
      </w:r>
      <w:r w:rsidR="00767F01" w:rsidRPr="0040393D">
        <w:rPr>
          <w:rFonts w:ascii="Arial" w:hAnsi="Arial" w:cs="Arial"/>
          <w:color w:val="000000" w:themeColor="text1"/>
          <w:sz w:val="22"/>
          <w:szCs w:val="22"/>
        </w:rPr>
        <w:t xml:space="preserve"> </w:t>
      </w:r>
      <w:r w:rsidR="004768E8" w:rsidRPr="0040393D">
        <w:rPr>
          <w:rFonts w:ascii="Arial" w:hAnsi="Arial" w:cs="Arial"/>
          <w:color w:val="000000" w:themeColor="text1"/>
          <w:sz w:val="22"/>
          <w:szCs w:val="22"/>
        </w:rPr>
        <w:t xml:space="preserve">Por tal motivo, </w:t>
      </w:r>
      <w:r w:rsidR="009C5A8F" w:rsidRPr="0040393D">
        <w:rPr>
          <w:rFonts w:ascii="Arial" w:hAnsi="Arial" w:cs="Arial"/>
          <w:color w:val="000000" w:themeColor="text1"/>
          <w:sz w:val="22"/>
          <w:szCs w:val="22"/>
        </w:rPr>
        <w:t>se</w:t>
      </w:r>
      <w:r w:rsidRPr="0040393D">
        <w:rPr>
          <w:rFonts w:ascii="Arial" w:hAnsi="Arial" w:cs="Arial"/>
          <w:color w:val="000000" w:themeColor="text1"/>
          <w:sz w:val="22"/>
          <w:szCs w:val="22"/>
        </w:rPr>
        <w:t xml:space="preserve"> tendrán en cuenta los</w:t>
      </w:r>
      <w:r w:rsidR="00042937" w:rsidRPr="0040393D">
        <w:rPr>
          <w:rFonts w:ascii="Arial" w:hAnsi="Arial" w:cs="Arial"/>
          <w:color w:val="000000" w:themeColor="text1"/>
          <w:sz w:val="22"/>
          <w:szCs w:val="22"/>
        </w:rPr>
        <w:t xml:space="preserve"> gastos registrados en </w:t>
      </w:r>
      <w:r w:rsidR="009C5A8F" w:rsidRPr="0040393D">
        <w:rPr>
          <w:rFonts w:ascii="Arial" w:hAnsi="Arial" w:cs="Arial"/>
          <w:color w:val="000000" w:themeColor="text1"/>
          <w:sz w:val="22"/>
          <w:szCs w:val="22"/>
        </w:rPr>
        <w:t>los rubros</w:t>
      </w:r>
      <w:r w:rsidRPr="0040393D">
        <w:rPr>
          <w:rFonts w:ascii="Arial" w:hAnsi="Arial" w:cs="Arial"/>
          <w:color w:val="000000" w:themeColor="text1"/>
          <w:sz w:val="22"/>
          <w:szCs w:val="22"/>
        </w:rPr>
        <w:t xml:space="preserve"> presupuesta</w:t>
      </w:r>
      <w:r w:rsidR="009C5A8F" w:rsidRPr="0040393D">
        <w:rPr>
          <w:rFonts w:ascii="Arial" w:hAnsi="Arial" w:cs="Arial"/>
          <w:color w:val="000000" w:themeColor="text1"/>
          <w:sz w:val="22"/>
          <w:szCs w:val="22"/>
        </w:rPr>
        <w:t>les</w:t>
      </w:r>
      <w:r w:rsidRPr="0040393D">
        <w:rPr>
          <w:rFonts w:ascii="Arial" w:hAnsi="Arial" w:cs="Arial"/>
          <w:color w:val="000000" w:themeColor="text1"/>
          <w:sz w:val="22"/>
          <w:szCs w:val="22"/>
        </w:rPr>
        <w:t xml:space="preserve"> correspondientes a </w:t>
      </w:r>
      <w:r w:rsidRPr="0040393D">
        <w:rPr>
          <w:rFonts w:ascii="Arial" w:hAnsi="Arial" w:cs="Arial"/>
          <w:i/>
          <w:iCs/>
          <w:color w:val="000000" w:themeColor="text1"/>
          <w:sz w:val="22"/>
          <w:szCs w:val="22"/>
        </w:rPr>
        <w:t>Gastos de Personal [</w:t>
      </w:r>
      <w:r w:rsidR="004768E8" w:rsidRPr="0040393D">
        <w:rPr>
          <w:rFonts w:ascii="Arial" w:hAnsi="Arial" w:cs="Arial"/>
          <w:i/>
          <w:iCs/>
          <w:color w:val="000000" w:themeColor="text1"/>
          <w:sz w:val="22"/>
          <w:szCs w:val="22"/>
        </w:rPr>
        <w:t>A-</w:t>
      </w:r>
      <w:r w:rsidR="000F22C8" w:rsidRPr="0040393D">
        <w:rPr>
          <w:rFonts w:ascii="Arial" w:hAnsi="Arial" w:cs="Arial"/>
          <w:i/>
          <w:iCs/>
          <w:color w:val="000000" w:themeColor="text1"/>
          <w:sz w:val="22"/>
          <w:szCs w:val="22"/>
        </w:rPr>
        <w:t>0</w:t>
      </w:r>
      <w:r w:rsidR="004768E8" w:rsidRPr="0040393D">
        <w:rPr>
          <w:rFonts w:ascii="Arial" w:hAnsi="Arial" w:cs="Arial"/>
          <w:i/>
          <w:iCs/>
          <w:color w:val="000000" w:themeColor="text1"/>
          <w:sz w:val="22"/>
          <w:szCs w:val="22"/>
        </w:rPr>
        <w:t>1]</w:t>
      </w:r>
      <w:r w:rsidR="004768E8" w:rsidRPr="0040393D">
        <w:rPr>
          <w:rFonts w:ascii="Arial" w:hAnsi="Arial" w:cs="Arial"/>
          <w:color w:val="000000" w:themeColor="text1"/>
          <w:sz w:val="22"/>
          <w:szCs w:val="22"/>
        </w:rPr>
        <w:t xml:space="preserve"> y los rubros </w:t>
      </w:r>
      <w:r w:rsidR="00042937" w:rsidRPr="0040393D">
        <w:rPr>
          <w:rFonts w:ascii="Arial" w:hAnsi="Arial" w:cs="Arial"/>
          <w:color w:val="000000" w:themeColor="text1"/>
          <w:sz w:val="22"/>
          <w:szCs w:val="22"/>
        </w:rPr>
        <w:t xml:space="preserve">de </w:t>
      </w:r>
      <w:r w:rsidR="00042937" w:rsidRPr="0040393D">
        <w:rPr>
          <w:rFonts w:ascii="Arial" w:hAnsi="Arial" w:cs="Arial"/>
          <w:i/>
          <w:iCs/>
          <w:color w:val="000000" w:themeColor="text1"/>
          <w:sz w:val="22"/>
          <w:szCs w:val="22"/>
        </w:rPr>
        <w:t xml:space="preserve">Prestaciones Sociales relacionadas con el </w:t>
      </w:r>
      <w:r w:rsidR="009C5A8F" w:rsidRPr="0040393D">
        <w:rPr>
          <w:rFonts w:ascii="Arial" w:hAnsi="Arial" w:cs="Arial"/>
          <w:i/>
          <w:iCs/>
          <w:color w:val="000000" w:themeColor="text1"/>
          <w:sz w:val="22"/>
          <w:szCs w:val="22"/>
        </w:rPr>
        <w:t>Empleo [</w:t>
      </w:r>
      <w:r w:rsidR="00042937" w:rsidRPr="0040393D">
        <w:rPr>
          <w:rFonts w:ascii="Arial" w:hAnsi="Arial" w:cs="Arial"/>
          <w:i/>
          <w:iCs/>
          <w:color w:val="000000" w:themeColor="text1"/>
          <w:sz w:val="22"/>
          <w:szCs w:val="22"/>
        </w:rPr>
        <w:t>A-</w:t>
      </w:r>
      <w:r w:rsidR="000F22C8" w:rsidRPr="0040393D">
        <w:rPr>
          <w:rFonts w:ascii="Arial" w:hAnsi="Arial" w:cs="Arial"/>
          <w:i/>
          <w:iCs/>
          <w:color w:val="000000" w:themeColor="text1"/>
          <w:sz w:val="22"/>
          <w:szCs w:val="22"/>
        </w:rPr>
        <w:t>0</w:t>
      </w:r>
      <w:r w:rsidR="00042937" w:rsidRPr="0040393D">
        <w:rPr>
          <w:rFonts w:ascii="Arial" w:hAnsi="Arial" w:cs="Arial"/>
          <w:i/>
          <w:iCs/>
          <w:color w:val="000000" w:themeColor="text1"/>
          <w:sz w:val="22"/>
          <w:szCs w:val="22"/>
        </w:rPr>
        <w:t>3-</w:t>
      </w:r>
      <w:r w:rsidR="000F22C8" w:rsidRPr="0040393D">
        <w:rPr>
          <w:rFonts w:ascii="Arial" w:hAnsi="Arial" w:cs="Arial"/>
          <w:i/>
          <w:iCs/>
          <w:color w:val="000000" w:themeColor="text1"/>
          <w:sz w:val="22"/>
          <w:szCs w:val="22"/>
        </w:rPr>
        <w:t>0</w:t>
      </w:r>
      <w:r w:rsidR="00042937" w:rsidRPr="0040393D">
        <w:rPr>
          <w:rFonts w:ascii="Arial" w:hAnsi="Arial" w:cs="Arial"/>
          <w:i/>
          <w:iCs/>
          <w:color w:val="000000" w:themeColor="text1"/>
          <w:sz w:val="22"/>
          <w:szCs w:val="22"/>
        </w:rPr>
        <w:t>4-02]</w:t>
      </w:r>
      <w:r w:rsidR="00042937" w:rsidRPr="0040393D">
        <w:rPr>
          <w:rFonts w:ascii="Arial" w:hAnsi="Arial" w:cs="Arial"/>
          <w:color w:val="000000" w:themeColor="text1"/>
          <w:sz w:val="22"/>
          <w:szCs w:val="22"/>
        </w:rPr>
        <w:t xml:space="preserve">. </w:t>
      </w:r>
      <w:r w:rsidR="009C5A8F" w:rsidRPr="0040393D">
        <w:rPr>
          <w:rFonts w:ascii="Arial" w:hAnsi="Arial" w:cs="Arial"/>
          <w:color w:val="000000" w:themeColor="text1"/>
          <w:sz w:val="22"/>
          <w:szCs w:val="22"/>
        </w:rPr>
        <w:t xml:space="preserve">A </w:t>
      </w:r>
      <w:r w:rsidR="000F22C8" w:rsidRPr="0040393D">
        <w:rPr>
          <w:rFonts w:ascii="Arial" w:hAnsi="Arial" w:cs="Arial"/>
          <w:color w:val="000000" w:themeColor="text1"/>
          <w:sz w:val="22"/>
          <w:szCs w:val="22"/>
        </w:rPr>
        <w:t>continuación,</w:t>
      </w:r>
      <w:r w:rsidR="009C5A8F" w:rsidRPr="0040393D">
        <w:rPr>
          <w:rFonts w:ascii="Arial" w:hAnsi="Arial" w:cs="Arial"/>
          <w:color w:val="000000" w:themeColor="text1"/>
          <w:sz w:val="22"/>
          <w:szCs w:val="22"/>
        </w:rPr>
        <w:t xml:space="preserve"> se presenta el resultado obtenido: </w:t>
      </w:r>
    </w:p>
    <w:p w14:paraId="025266A4" w14:textId="77777777" w:rsidR="00273F82" w:rsidRPr="0040393D" w:rsidRDefault="00273F82" w:rsidP="0072314D">
      <w:pPr>
        <w:jc w:val="both"/>
        <w:rPr>
          <w:rFonts w:ascii="Arial" w:hAnsi="Arial" w:cs="Arial"/>
          <w:color w:val="000000" w:themeColor="text1"/>
          <w:sz w:val="22"/>
          <w:szCs w:val="22"/>
          <w:highlight w:val="yellow"/>
        </w:rPr>
      </w:pPr>
    </w:p>
    <w:tbl>
      <w:tblPr>
        <w:tblStyle w:val="Tablaconcuadrcula1clara-nfasis1"/>
        <w:tblW w:w="9634" w:type="dxa"/>
        <w:tblLayout w:type="fixed"/>
        <w:tblLook w:val="04A0" w:firstRow="1" w:lastRow="0" w:firstColumn="1" w:lastColumn="0" w:noHBand="0" w:noVBand="1"/>
      </w:tblPr>
      <w:tblGrid>
        <w:gridCol w:w="2040"/>
        <w:gridCol w:w="2917"/>
        <w:gridCol w:w="1559"/>
        <w:gridCol w:w="1559"/>
        <w:gridCol w:w="1559"/>
      </w:tblGrid>
      <w:tr w:rsidR="00051843" w:rsidRPr="005045BF" w14:paraId="56025127" w14:textId="77777777" w:rsidTr="00767F01">
        <w:trPr>
          <w:cnfStyle w:val="100000000000" w:firstRow="1" w:lastRow="0" w:firstColumn="0" w:lastColumn="0" w:oddVBand="0" w:evenVBand="0" w:oddHBand="0" w:evenHBand="0" w:firstRowFirstColumn="0" w:firstRowLastColumn="0" w:lastRowFirstColumn="0" w:lastRowLastColumn="0"/>
          <w:cantSplit/>
          <w:trHeight w:val="604"/>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4F81BD" w:themeFill="accent1"/>
            <w:vAlign w:val="center"/>
            <w:hideMark/>
          </w:tcPr>
          <w:p w14:paraId="2BB83CD4" w14:textId="226A8A52" w:rsidR="000D6C30" w:rsidRPr="005045BF" w:rsidRDefault="000D6C30" w:rsidP="00767F01">
            <w:pPr>
              <w:spacing w:before="120" w:after="120"/>
              <w:jc w:val="center"/>
              <w:rPr>
                <w:rFonts w:ascii="Arial" w:hAnsi="Arial" w:cs="Arial"/>
                <w:color w:val="0F243E" w:themeColor="text2" w:themeShade="80"/>
                <w:sz w:val="20"/>
                <w:szCs w:val="20"/>
              </w:rPr>
            </w:pPr>
            <w:r w:rsidRPr="005045BF">
              <w:rPr>
                <w:rFonts w:ascii="Arial" w:hAnsi="Arial" w:cs="Arial"/>
                <w:color w:val="FFFFFF" w:themeColor="background1"/>
                <w:sz w:val="20"/>
                <w:szCs w:val="20"/>
              </w:rPr>
              <w:t>Gastos Planta de Personal I Trimestre 2020</w:t>
            </w:r>
          </w:p>
        </w:tc>
      </w:tr>
      <w:tr w:rsidR="00051843" w:rsidRPr="005045BF" w14:paraId="27DAF2A8"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shd w:val="clear" w:color="auto" w:fill="DBE5F1" w:themeFill="accent1" w:themeFillTint="33"/>
            <w:vAlign w:val="center"/>
            <w:hideMark/>
          </w:tcPr>
          <w:p w14:paraId="31F03197" w14:textId="57B61B65" w:rsidR="000D6C30" w:rsidRPr="005045BF" w:rsidRDefault="000D6C30" w:rsidP="00767F01">
            <w:pPr>
              <w:spacing w:before="120" w:after="1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Rubro </w:t>
            </w:r>
            <w:r w:rsidR="00430E14" w:rsidRPr="005045BF">
              <w:rPr>
                <w:rFonts w:ascii="Arial" w:hAnsi="Arial" w:cs="Arial"/>
                <w:color w:val="0F243E" w:themeColor="text2" w:themeShade="80"/>
                <w:sz w:val="20"/>
                <w:szCs w:val="20"/>
              </w:rPr>
              <w:t>Presupuestal</w:t>
            </w:r>
          </w:p>
        </w:tc>
        <w:tc>
          <w:tcPr>
            <w:tcW w:w="2917" w:type="dxa"/>
            <w:shd w:val="clear" w:color="auto" w:fill="DBE5F1" w:themeFill="accent1" w:themeFillTint="33"/>
            <w:vAlign w:val="center"/>
            <w:hideMark/>
          </w:tcPr>
          <w:p w14:paraId="66AB4153"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Concepto</w:t>
            </w:r>
          </w:p>
        </w:tc>
        <w:tc>
          <w:tcPr>
            <w:tcW w:w="1559" w:type="dxa"/>
            <w:shd w:val="clear" w:color="auto" w:fill="DBE5F1" w:themeFill="accent1" w:themeFillTint="33"/>
            <w:vAlign w:val="center"/>
            <w:hideMark/>
          </w:tcPr>
          <w:p w14:paraId="52F5F454"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Enero </w:t>
            </w:r>
          </w:p>
        </w:tc>
        <w:tc>
          <w:tcPr>
            <w:tcW w:w="1559" w:type="dxa"/>
            <w:shd w:val="clear" w:color="auto" w:fill="DBE5F1" w:themeFill="accent1" w:themeFillTint="33"/>
            <w:vAlign w:val="center"/>
            <w:hideMark/>
          </w:tcPr>
          <w:p w14:paraId="40AB18ED"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Febrero</w:t>
            </w:r>
          </w:p>
        </w:tc>
        <w:tc>
          <w:tcPr>
            <w:tcW w:w="1559" w:type="dxa"/>
            <w:shd w:val="clear" w:color="auto" w:fill="DBE5F1" w:themeFill="accent1" w:themeFillTint="33"/>
            <w:vAlign w:val="center"/>
            <w:hideMark/>
          </w:tcPr>
          <w:p w14:paraId="7EE810D7"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Marzo</w:t>
            </w:r>
          </w:p>
        </w:tc>
      </w:tr>
      <w:tr w:rsidR="00051843" w:rsidRPr="005045BF" w14:paraId="6A61A135" w14:textId="77777777" w:rsidTr="00CD27D2">
        <w:trPr>
          <w:cantSplit/>
          <w:trHeight w:val="645"/>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159BD5E6" w14:textId="77777777" w:rsidR="000D6C30" w:rsidRPr="005045BF" w:rsidRDefault="000D6C30" w:rsidP="00767F01">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A-01-01-01</w:t>
            </w:r>
          </w:p>
        </w:tc>
        <w:tc>
          <w:tcPr>
            <w:tcW w:w="2917" w:type="dxa"/>
            <w:vAlign w:val="center"/>
            <w:hideMark/>
          </w:tcPr>
          <w:p w14:paraId="16699B3E"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Salarios </w:t>
            </w:r>
          </w:p>
        </w:tc>
        <w:tc>
          <w:tcPr>
            <w:tcW w:w="1559" w:type="dxa"/>
            <w:vAlign w:val="center"/>
            <w:hideMark/>
          </w:tcPr>
          <w:p w14:paraId="6C756653" w14:textId="740C857D" w:rsidR="000D6C30" w:rsidRPr="005045BF" w:rsidRDefault="00051843"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w:t>
            </w:r>
            <w:r w:rsidR="000D6C30" w:rsidRPr="005045BF">
              <w:rPr>
                <w:rFonts w:ascii="Arial" w:hAnsi="Arial" w:cs="Arial"/>
                <w:color w:val="0F243E" w:themeColor="text2" w:themeShade="80"/>
                <w:sz w:val="20"/>
                <w:szCs w:val="20"/>
              </w:rPr>
              <w:t xml:space="preserve">.716.960.312 </w:t>
            </w:r>
          </w:p>
        </w:tc>
        <w:tc>
          <w:tcPr>
            <w:tcW w:w="1559" w:type="dxa"/>
            <w:vAlign w:val="center"/>
            <w:hideMark/>
          </w:tcPr>
          <w:p w14:paraId="6EE35EF5" w14:textId="6E2AA344"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5.494.543.214 </w:t>
            </w:r>
          </w:p>
        </w:tc>
        <w:tc>
          <w:tcPr>
            <w:tcW w:w="1559" w:type="dxa"/>
            <w:vAlign w:val="center"/>
            <w:hideMark/>
          </w:tcPr>
          <w:p w14:paraId="23BED0EC" w14:textId="6CFAF0C5"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5.689.880.543 </w:t>
            </w:r>
          </w:p>
        </w:tc>
      </w:tr>
      <w:tr w:rsidR="00051843" w:rsidRPr="005045BF" w14:paraId="2B65A685" w14:textId="77777777" w:rsidTr="00CD27D2">
        <w:trPr>
          <w:cantSplit/>
          <w:trHeight w:val="600"/>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3E72664A" w14:textId="77777777" w:rsidR="000D6C30" w:rsidRPr="005045BF" w:rsidRDefault="000D6C30" w:rsidP="00767F01">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A-03-04-02-012-001</w:t>
            </w:r>
          </w:p>
        </w:tc>
        <w:tc>
          <w:tcPr>
            <w:tcW w:w="2917" w:type="dxa"/>
            <w:vAlign w:val="center"/>
            <w:hideMark/>
          </w:tcPr>
          <w:p w14:paraId="45CAFE46" w14:textId="3A8B138B"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Incapacidades </w:t>
            </w:r>
          </w:p>
        </w:tc>
        <w:tc>
          <w:tcPr>
            <w:tcW w:w="1559" w:type="dxa"/>
            <w:vAlign w:val="center"/>
            <w:hideMark/>
          </w:tcPr>
          <w:p w14:paraId="178991A8" w14:textId="71F3AB33"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13.900.670 </w:t>
            </w:r>
          </w:p>
        </w:tc>
        <w:tc>
          <w:tcPr>
            <w:tcW w:w="1559" w:type="dxa"/>
            <w:vAlign w:val="center"/>
            <w:hideMark/>
          </w:tcPr>
          <w:p w14:paraId="13A5A5C9" w14:textId="2BFBCAA0"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19.989.236 </w:t>
            </w:r>
          </w:p>
        </w:tc>
        <w:tc>
          <w:tcPr>
            <w:tcW w:w="1559" w:type="dxa"/>
            <w:vAlign w:val="center"/>
            <w:hideMark/>
          </w:tcPr>
          <w:p w14:paraId="54D5DBFF" w14:textId="759922C8"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26.847.769 </w:t>
            </w:r>
          </w:p>
        </w:tc>
      </w:tr>
      <w:tr w:rsidR="00051843" w:rsidRPr="005045BF" w14:paraId="41A559B3" w14:textId="77777777" w:rsidTr="00CD27D2">
        <w:trPr>
          <w:cantSplit/>
          <w:trHeight w:val="834"/>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75B210D5" w14:textId="77777777" w:rsidR="000D6C30" w:rsidRPr="005045BF" w:rsidRDefault="000D6C30" w:rsidP="00767F01">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A-03-04-02-012-002</w:t>
            </w:r>
          </w:p>
        </w:tc>
        <w:tc>
          <w:tcPr>
            <w:tcW w:w="2917" w:type="dxa"/>
            <w:vAlign w:val="center"/>
            <w:hideMark/>
          </w:tcPr>
          <w:p w14:paraId="4B3CB763" w14:textId="04799CC2"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Licencias de Maternidad y Paternidad </w:t>
            </w:r>
          </w:p>
        </w:tc>
        <w:tc>
          <w:tcPr>
            <w:tcW w:w="1559" w:type="dxa"/>
            <w:vAlign w:val="center"/>
            <w:hideMark/>
          </w:tcPr>
          <w:p w14:paraId="73541C1D" w14:textId="0ED83783"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16.471.910 </w:t>
            </w:r>
          </w:p>
        </w:tc>
        <w:tc>
          <w:tcPr>
            <w:tcW w:w="1559" w:type="dxa"/>
            <w:vAlign w:val="center"/>
            <w:hideMark/>
          </w:tcPr>
          <w:p w14:paraId="7CC78BDA" w14:textId="17D662F3"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17.494.865 </w:t>
            </w:r>
          </w:p>
        </w:tc>
        <w:tc>
          <w:tcPr>
            <w:tcW w:w="1559" w:type="dxa"/>
            <w:vAlign w:val="center"/>
            <w:hideMark/>
          </w:tcPr>
          <w:p w14:paraId="0E4D2C33" w14:textId="169ECD43"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13.977.898 </w:t>
            </w:r>
          </w:p>
        </w:tc>
      </w:tr>
      <w:tr w:rsidR="00051843" w:rsidRPr="005045BF" w14:paraId="67336848" w14:textId="77777777" w:rsidTr="00CD27D2">
        <w:trPr>
          <w:cantSplit/>
          <w:trHeight w:val="568"/>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7F6EF234" w14:textId="77777777" w:rsidR="000D6C30" w:rsidRPr="005045BF" w:rsidRDefault="000D6C30" w:rsidP="00767F01">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A-01-01-01-001-008</w:t>
            </w:r>
          </w:p>
        </w:tc>
        <w:tc>
          <w:tcPr>
            <w:tcW w:w="2917" w:type="dxa"/>
            <w:vAlign w:val="center"/>
            <w:hideMark/>
          </w:tcPr>
          <w:p w14:paraId="5E4EAE59" w14:textId="77777777" w:rsidR="000D6C30" w:rsidRPr="005045BF" w:rsidRDefault="000D6C30" w:rsidP="00767F0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Horas Extras</w:t>
            </w:r>
          </w:p>
        </w:tc>
        <w:tc>
          <w:tcPr>
            <w:tcW w:w="1559" w:type="dxa"/>
            <w:vAlign w:val="center"/>
            <w:hideMark/>
          </w:tcPr>
          <w:p w14:paraId="0B83771C" w14:textId="77777777"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w:t>
            </w:r>
          </w:p>
        </w:tc>
        <w:tc>
          <w:tcPr>
            <w:tcW w:w="1559" w:type="dxa"/>
            <w:vAlign w:val="center"/>
            <w:hideMark/>
          </w:tcPr>
          <w:p w14:paraId="4D7D1A6E" w14:textId="2AFAC88B" w:rsidR="000D6C30" w:rsidRPr="005045BF" w:rsidRDefault="003E4172"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26.400.138</w:t>
            </w: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 xml:space="preserve"> </w:t>
            </w:r>
          </w:p>
        </w:tc>
        <w:tc>
          <w:tcPr>
            <w:tcW w:w="1559" w:type="dxa"/>
            <w:vAlign w:val="center"/>
            <w:hideMark/>
          </w:tcPr>
          <w:p w14:paraId="536BBCB6" w14:textId="3A8A4797" w:rsidR="000D6C30" w:rsidRPr="005045BF" w:rsidRDefault="003E4172"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32.860.809</w:t>
            </w: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 xml:space="preserve"> </w:t>
            </w:r>
          </w:p>
        </w:tc>
      </w:tr>
      <w:tr w:rsidR="00051843" w:rsidRPr="005045BF" w14:paraId="65320467"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4957" w:type="dxa"/>
            <w:gridSpan w:val="2"/>
            <w:shd w:val="clear" w:color="auto" w:fill="DBE5F1" w:themeFill="accent1" w:themeFillTint="33"/>
            <w:vAlign w:val="center"/>
            <w:hideMark/>
          </w:tcPr>
          <w:p w14:paraId="3A348E03" w14:textId="77777777" w:rsidR="000D6C30" w:rsidRPr="005045BF" w:rsidRDefault="000D6C30" w:rsidP="00767F01">
            <w:pPr>
              <w:spacing w:before="120" w:after="1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Total Gastos Personales</w:t>
            </w:r>
          </w:p>
        </w:tc>
        <w:tc>
          <w:tcPr>
            <w:tcW w:w="1559" w:type="dxa"/>
            <w:shd w:val="clear" w:color="auto" w:fill="DBE5F1" w:themeFill="accent1" w:themeFillTint="33"/>
            <w:vAlign w:val="center"/>
            <w:hideMark/>
          </w:tcPr>
          <w:p w14:paraId="0D38EC99" w14:textId="7976848F"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3.747.332.892 </w:t>
            </w:r>
          </w:p>
        </w:tc>
        <w:tc>
          <w:tcPr>
            <w:tcW w:w="1559" w:type="dxa"/>
            <w:shd w:val="clear" w:color="auto" w:fill="DBE5F1" w:themeFill="accent1" w:themeFillTint="33"/>
            <w:vAlign w:val="center"/>
            <w:hideMark/>
          </w:tcPr>
          <w:p w14:paraId="5BD96573" w14:textId="52C86D2A"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5.505.627.177 </w:t>
            </w:r>
          </w:p>
        </w:tc>
        <w:tc>
          <w:tcPr>
            <w:tcW w:w="1559" w:type="dxa"/>
            <w:shd w:val="clear" w:color="auto" w:fill="DBE5F1" w:themeFill="accent1" w:themeFillTint="33"/>
            <w:vAlign w:val="center"/>
            <w:hideMark/>
          </w:tcPr>
          <w:p w14:paraId="3E15CBA3" w14:textId="6E10D0FA" w:rsidR="000D6C30" w:rsidRPr="005045BF" w:rsidRDefault="000D6C30" w:rsidP="00767F01">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5.697.845.401 </w:t>
            </w:r>
          </w:p>
        </w:tc>
      </w:tr>
      <w:tr w:rsidR="00051843" w:rsidRPr="005045BF" w14:paraId="08F88A46" w14:textId="77777777" w:rsidTr="00767F01">
        <w:trPr>
          <w:cantSplit/>
        </w:trPr>
        <w:tc>
          <w:tcPr>
            <w:cnfStyle w:val="001000000000" w:firstRow="0" w:lastRow="0" w:firstColumn="1" w:lastColumn="0" w:oddVBand="0" w:evenVBand="0" w:oddHBand="0" w:evenHBand="0" w:firstRowFirstColumn="0" w:firstRowLastColumn="0" w:lastRowFirstColumn="0" w:lastRowLastColumn="0"/>
            <w:tcW w:w="9634" w:type="dxa"/>
            <w:gridSpan w:val="5"/>
            <w:shd w:val="clear" w:color="auto" w:fill="4F81BD" w:themeFill="accent1"/>
            <w:vAlign w:val="center"/>
            <w:hideMark/>
          </w:tcPr>
          <w:p w14:paraId="4ADFDB9A" w14:textId="29EF4F01" w:rsidR="000D6C30" w:rsidRPr="005045BF" w:rsidRDefault="000D6C30" w:rsidP="00CD27D2">
            <w:pPr>
              <w:widowControl w:val="0"/>
              <w:spacing w:before="40" w:after="40"/>
              <w:jc w:val="center"/>
              <w:rPr>
                <w:rFonts w:ascii="Arial" w:hAnsi="Arial" w:cs="Arial"/>
                <w:color w:val="0F243E" w:themeColor="text2" w:themeShade="80"/>
                <w:sz w:val="20"/>
                <w:szCs w:val="20"/>
              </w:rPr>
            </w:pPr>
            <w:r w:rsidRPr="005045BF">
              <w:rPr>
                <w:rFonts w:ascii="Arial" w:hAnsi="Arial" w:cs="Arial"/>
                <w:color w:val="FFFFFF" w:themeColor="background1"/>
                <w:sz w:val="20"/>
                <w:szCs w:val="20"/>
              </w:rPr>
              <w:lastRenderedPageBreak/>
              <w:t>Gastos Planta de Personal I Trimestre 20</w:t>
            </w:r>
            <w:r w:rsidR="00430E14" w:rsidRPr="005045BF">
              <w:rPr>
                <w:rFonts w:ascii="Arial" w:hAnsi="Arial" w:cs="Arial"/>
                <w:color w:val="FFFFFF" w:themeColor="background1"/>
                <w:sz w:val="20"/>
                <w:szCs w:val="20"/>
              </w:rPr>
              <w:t>19</w:t>
            </w:r>
          </w:p>
        </w:tc>
      </w:tr>
      <w:tr w:rsidR="00051843" w:rsidRPr="005045BF" w14:paraId="7C7EA3D3"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shd w:val="clear" w:color="auto" w:fill="DBE5F1" w:themeFill="accent1" w:themeFillTint="33"/>
            <w:vAlign w:val="center"/>
            <w:hideMark/>
          </w:tcPr>
          <w:p w14:paraId="41DD656A" w14:textId="330013C0" w:rsidR="000D6C30" w:rsidRPr="005045BF" w:rsidRDefault="00430E14" w:rsidP="00CD27D2">
            <w:pPr>
              <w:widowControl w:val="0"/>
              <w:spacing w:before="80" w:after="6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Rubro Presupuestal</w:t>
            </w:r>
          </w:p>
        </w:tc>
        <w:tc>
          <w:tcPr>
            <w:tcW w:w="2917" w:type="dxa"/>
            <w:shd w:val="clear" w:color="auto" w:fill="DBE5F1" w:themeFill="accent1" w:themeFillTint="33"/>
            <w:vAlign w:val="center"/>
            <w:hideMark/>
          </w:tcPr>
          <w:p w14:paraId="65886002"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Concepto</w:t>
            </w:r>
          </w:p>
        </w:tc>
        <w:tc>
          <w:tcPr>
            <w:tcW w:w="1559" w:type="dxa"/>
            <w:shd w:val="clear" w:color="auto" w:fill="DBE5F1" w:themeFill="accent1" w:themeFillTint="33"/>
            <w:vAlign w:val="center"/>
            <w:hideMark/>
          </w:tcPr>
          <w:p w14:paraId="3BD81806"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Enero </w:t>
            </w:r>
          </w:p>
        </w:tc>
        <w:tc>
          <w:tcPr>
            <w:tcW w:w="1559" w:type="dxa"/>
            <w:shd w:val="clear" w:color="auto" w:fill="DBE5F1" w:themeFill="accent1" w:themeFillTint="33"/>
            <w:vAlign w:val="center"/>
            <w:hideMark/>
          </w:tcPr>
          <w:p w14:paraId="6C1E7C36"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Febrero</w:t>
            </w:r>
          </w:p>
        </w:tc>
        <w:tc>
          <w:tcPr>
            <w:tcW w:w="1559" w:type="dxa"/>
            <w:shd w:val="clear" w:color="auto" w:fill="DBE5F1" w:themeFill="accent1" w:themeFillTint="33"/>
            <w:vAlign w:val="center"/>
            <w:hideMark/>
          </w:tcPr>
          <w:p w14:paraId="6890223E"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Marzo</w:t>
            </w:r>
          </w:p>
        </w:tc>
      </w:tr>
      <w:tr w:rsidR="00051843" w:rsidRPr="005045BF" w14:paraId="2B7FBF14"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15FC6CC" w14:textId="77777777" w:rsidR="000D6C30" w:rsidRPr="005045BF" w:rsidRDefault="000D6C30" w:rsidP="00CD27D2">
            <w:pPr>
              <w:widowControl w:val="0"/>
              <w:spacing w:before="80" w:after="6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A-01-01-01</w:t>
            </w:r>
          </w:p>
        </w:tc>
        <w:tc>
          <w:tcPr>
            <w:tcW w:w="2917" w:type="dxa"/>
            <w:vAlign w:val="center"/>
            <w:hideMark/>
          </w:tcPr>
          <w:p w14:paraId="725A3E5F"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Salarios </w:t>
            </w:r>
          </w:p>
        </w:tc>
        <w:tc>
          <w:tcPr>
            <w:tcW w:w="1559" w:type="dxa"/>
            <w:vAlign w:val="center"/>
            <w:hideMark/>
          </w:tcPr>
          <w:p w14:paraId="0B17C08B" w14:textId="162DF62B"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3.362.903.106 </w:t>
            </w:r>
          </w:p>
        </w:tc>
        <w:tc>
          <w:tcPr>
            <w:tcW w:w="1559" w:type="dxa"/>
            <w:vAlign w:val="center"/>
            <w:hideMark/>
          </w:tcPr>
          <w:p w14:paraId="29425C0E" w14:textId="7C498019"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5.017.516.493 </w:t>
            </w:r>
          </w:p>
        </w:tc>
        <w:tc>
          <w:tcPr>
            <w:tcW w:w="1559" w:type="dxa"/>
            <w:vAlign w:val="center"/>
            <w:hideMark/>
          </w:tcPr>
          <w:p w14:paraId="71D24A78" w14:textId="2AC42CEE"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5.105.900.024 </w:t>
            </w:r>
          </w:p>
        </w:tc>
      </w:tr>
      <w:tr w:rsidR="00051843" w:rsidRPr="005045BF" w14:paraId="43ABF4BF"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5ED221E1" w14:textId="77777777" w:rsidR="000D6C30" w:rsidRPr="005045BF" w:rsidRDefault="000D6C30" w:rsidP="00CD27D2">
            <w:pPr>
              <w:widowControl w:val="0"/>
              <w:spacing w:before="80" w:after="6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A-03-04-02-012-001</w:t>
            </w:r>
          </w:p>
        </w:tc>
        <w:tc>
          <w:tcPr>
            <w:tcW w:w="2917" w:type="dxa"/>
            <w:vAlign w:val="center"/>
            <w:hideMark/>
          </w:tcPr>
          <w:p w14:paraId="3E6A96BF" w14:textId="487F691C"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Incapacidades </w:t>
            </w:r>
          </w:p>
        </w:tc>
        <w:tc>
          <w:tcPr>
            <w:tcW w:w="1559" w:type="dxa"/>
            <w:vAlign w:val="center"/>
            <w:hideMark/>
          </w:tcPr>
          <w:p w14:paraId="1A25E758" w14:textId="42FC6507"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46.337.314 </w:t>
            </w:r>
          </w:p>
        </w:tc>
        <w:tc>
          <w:tcPr>
            <w:tcW w:w="1559" w:type="dxa"/>
            <w:vAlign w:val="center"/>
            <w:hideMark/>
          </w:tcPr>
          <w:p w14:paraId="3B28D929" w14:textId="67BC8AB8"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38.833.084 </w:t>
            </w:r>
          </w:p>
        </w:tc>
        <w:tc>
          <w:tcPr>
            <w:tcW w:w="1559" w:type="dxa"/>
            <w:vAlign w:val="center"/>
            <w:hideMark/>
          </w:tcPr>
          <w:p w14:paraId="291FCA98" w14:textId="47229221"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46.508.351 </w:t>
            </w:r>
          </w:p>
        </w:tc>
      </w:tr>
      <w:tr w:rsidR="00051843" w:rsidRPr="005045BF" w14:paraId="406B2749"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36D920D3" w14:textId="77777777" w:rsidR="000D6C30" w:rsidRPr="005045BF" w:rsidRDefault="000D6C30" w:rsidP="00CD27D2">
            <w:pPr>
              <w:widowControl w:val="0"/>
              <w:spacing w:before="80" w:after="6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A-03-04-02-012-002</w:t>
            </w:r>
          </w:p>
        </w:tc>
        <w:tc>
          <w:tcPr>
            <w:tcW w:w="2917" w:type="dxa"/>
            <w:vAlign w:val="center"/>
            <w:hideMark/>
          </w:tcPr>
          <w:p w14:paraId="42CD0589" w14:textId="5AF03E92"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Licencias de Maternidad y Paternidad </w:t>
            </w:r>
          </w:p>
        </w:tc>
        <w:tc>
          <w:tcPr>
            <w:tcW w:w="1559" w:type="dxa"/>
            <w:vAlign w:val="center"/>
            <w:hideMark/>
          </w:tcPr>
          <w:p w14:paraId="4E5A2C2A" w14:textId="144CDB4D"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57.564.631 </w:t>
            </w:r>
          </w:p>
        </w:tc>
        <w:tc>
          <w:tcPr>
            <w:tcW w:w="1559" w:type="dxa"/>
            <w:vAlign w:val="center"/>
            <w:hideMark/>
          </w:tcPr>
          <w:p w14:paraId="745D2776" w14:textId="6385CE3F"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47.906.468 </w:t>
            </w:r>
          </w:p>
        </w:tc>
        <w:tc>
          <w:tcPr>
            <w:tcW w:w="1559" w:type="dxa"/>
            <w:vAlign w:val="center"/>
            <w:hideMark/>
          </w:tcPr>
          <w:p w14:paraId="34BFE2C3" w14:textId="1F462659"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3.607.759 </w:t>
            </w:r>
          </w:p>
        </w:tc>
      </w:tr>
      <w:tr w:rsidR="00051843" w:rsidRPr="005045BF" w14:paraId="4B27BA1E"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69CEEA31" w14:textId="77777777" w:rsidR="000D6C30" w:rsidRPr="005045BF" w:rsidRDefault="000D6C30" w:rsidP="00CD27D2">
            <w:pPr>
              <w:widowControl w:val="0"/>
              <w:spacing w:before="80" w:after="6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A-01-01-01-001-008</w:t>
            </w:r>
          </w:p>
        </w:tc>
        <w:tc>
          <w:tcPr>
            <w:tcW w:w="2917" w:type="dxa"/>
            <w:vAlign w:val="center"/>
            <w:hideMark/>
          </w:tcPr>
          <w:p w14:paraId="41FB4F5D"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Horas Extras</w:t>
            </w:r>
          </w:p>
        </w:tc>
        <w:tc>
          <w:tcPr>
            <w:tcW w:w="1559" w:type="dxa"/>
            <w:vAlign w:val="center"/>
            <w:hideMark/>
          </w:tcPr>
          <w:p w14:paraId="61207C66" w14:textId="76B15D22" w:rsidR="000D6C30" w:rsidRPr="005045BF" w:rsidRDefault="00051843"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w:t>
            </w:r>
            <w:r w:rsidR="000D6C30" w:rsidRPr="005045BF">
              <w:rPr>
                <w:rFonts w:ascii="Arial" w:hAnsi="Arial" w:cs="Arial"/>
                <w:color w:val="0F243E" w:themeColor="text2" w:themeShade="80"/>
                <w:sz w:val="20"/>
                <w:szCs w:val="20"/>
              </w:rPr>
              <w:t xml:space="preserve"> </w:t>
            </w:r>
          </w:p>
        </w:tc>
        <w:tc>
          <w:tcPr>
            <w:tcW w:w="1559" w:type="dxa"/>
            <w:vAlign w:val="center"/>
            <w:hideMark/>
          </w:tcPr>
          <w:p w14:paraId="36513830" w14:textId="0DF349E2" w:rsidR="000D6C30" w:rsidRPr="005045BF" w:rsidRDefault="003E4172"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25.156.967</w:t>
            </w: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 xml:space="preserve"> </w:t>
            </w:r>
          </w:p>
        </w:tc>
        <w:tc>
          <w:tcPr>
            <w:tcW w:w="1559" w:type="dxa"/>
            <w:vAlign w:val="center"/>
            <w:hideMark/>
          </w:tcPr>
          <w:p w14:paraId="64E548D3" w14:textId="6A71D4F9" w:rsidR="000D6C30" w:rsidRPr="005045BF" w:rsidRDefault="003E4172"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26.821.098</w:t>
            </w:r>
            <w:r w:rsidRPr="005045BF">
              <w:rPr>
                <w:rFonts w:ascii="Arial" w:hAnsi="Arial" w:cs="Arial"/>
                <w:color w:val="0F243E" w:themeColor="text2" w:themeShade="80"/>
                <w:sz w:val="20"/>
                <w:szCs w:val="20"/>
              </w:rPr>
              <w:t>)</w:t>
            </w:r>
            <w:r w:rsidR="000D6C30" w:rsidRPr="005045BF">
              <w:rPr>
                <w:rFonts w:ascii="Arial" w:hAnsi="Arial" w:cs="Arial"/>
                <w:color w:val="0F243E" w:themeColor="text2" w:themeShade="80"/>
                <w:sz w:val="20"/>
                <w:szCs w:val="20"/>
              </w:rPr>
              <w:t xml:space="preserve"> </w:t>
            </w:r>
          </w:p>
        </w:tc>
      </w:tr>
      <w:tr w:rsidR="00051843" w:rsidRPr="005045BF" w14:paraId="572973A8"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4957" w:type="dxa"/>
            <w:gridSpan w:val="2"/>
            <w:tcBorders>
              <w:bottom w:val="double" w:sz="4" w:space="0" w:color="4F81BD" w:themeColor="accent1"/>
            </w:tcBorders>
            <w:shd w:val="clear" w:color="auto" w:fill="DBE5F1" w:themeFill="accent1" w:themeFillTint="33"/>
            <w:vAlign w:val="center"/>
            <w:hideMark/>
          </w:tcPr>
          <w:p w14:paraId="4E1BE737" w14:textId="2253339D" w:rsidR="000D6C30" w:rsidRPr="005045BF" w:rsidRDefault="000D6C30" w:rsidP="00CD27D2">
            <w:pPr>
              <w:widowControl w:val="0"/>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Total </w:t>
            </w:r>
            <w:r w:rsidR="00430E14" w:rsidRPr="005045BF">
              <w:rPr>
                <w:rFonts w:ascii="Arial" w:hAnsi="Arial" w:cs="Arial"/>
                <w:color w:val="0F243E" w:themeColor="text2" w:themeShade="80"/>
                <w:sz w:val="20"/>
                <w:szCs w:val="20"/>
              </w:rPr>
              <w:t>Gastos Personales</w:t>
            </w:r>
          </w:p>
        </w:tc>
        <w:tc>
          <w:tcPr>
            <w:tcW w:w="1559" w:type="dxa"/>
            <w:tcBorders>
              <w:bottom w:val="double" w:sz="4" w:space="0" w:color="4F81BD" w:themeColor="accent1"/>
            </w:tcBorders>
            <w:shd w:val="clear" w:color="auto" w:fill="DBE5F1" w:themeFill="accent1" w:themeFillTint="33"/>
            <w:vAlign w:val="center"/>
            <w:hideMark/>
          </w:tcPr>
          <w:p w14:paraId="1F820C6A" w14:textId="48D6BDA5"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3.466.805.052 </w:t>
            </w:r>
          </w:p>
        </w:tc>
        <w:tc>
          <w:tcPr>
            <w:tcW w:w="1559" w:type="dxa"/>
            <w:tcBorders>
              <w:bottom w:val="double" w:sz="4" w:space="0" w:color="4F81BD" w:themeColor="accent1"/>
            </w:tcBorders>
            <w:shd w:val="clear" w:color="auto" w:fill="DBE5F1" w:themeFill="accent1" w:themeFillTint="33"/>
            <w:vAlign w:val="center"/>
            <w:hideMark/>
          </w:tcPr>
          <w:p w14:paraId="5B22F368" w14:textId="71362B9F"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5.079.099.078 </w:t>
            </w:r>
          </w:p>
        </w:tc>
        <w:tc>
          <w:tcPr>
            <w:tcW w:w="1559" w:type="dxa"/>
            <w:tcBorders>
              <w:bottom w:val="double" w:sz="4" w:space="0" w:color="4F81BD" w:themeColor="accent1"/>
            </w:tcBorders>
            <w:shd w:val="clear" w:color="auto" w:fill="DBE5F1" w:themeFill="accent1" w:themeFillTint="33"/>
            <w:vAlign w:val="center"/>
            <w:hideMark/>
          </w:tcPr>
          <w:p w14:paraId="66E0BFC2" w14:textId="225B5DC2"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5.129.195.035 </w:t>
            </w:r>
          </w:p>
        </w:tc>
      </w:tr>
      <w:tr w:rsidR="00051843" w:rsidRPr="005045BF" w14:paraId="2391AC5E" w14:textId="77777777" w:rsidTr="00CD27D2">
        <w:trPr>
          <w:cantSplit/>
          <w:trHeight w:val="432"/>
        </w:trPr>
        <w:tc>
          <w:tcPr>
            <w:cnfStyle w:val="001000000000" w:firstRow="0" w:lastRow="0" w:firstColumn="1" w:lastColumn="0" w:oddVBand="0" w:evenVBand="0" w:oddHBand="0" w:evenHBand="0" w:firstRowFirstColumn="0" w:firstRowLastColumn="0" w:lastRowFirstColumn="0" w:lastRowLastColumn="0"/>
            <w:tcW w:w="2040" w:type="dxa"/>
            <w:vMerge w:val="restart"/>
            <w:tcBorders>
              <w:top w:val="double" w:sz="4" w:space="0" w:color="4F81BD" w:themeColor="accent1"/>
            </w:tcBorders>
            <w:noWrap/>
            <w:vAlign w:val="center"/>
            <w:hideMark/>
          </w:tcPr>
          <w:p w14:paraId="6C46C95F" w14:textId="77777777" w:rsidR="000D6C30" w:rsidRPr="005045BF" w:rsidRDefault="000D6C30" w:rsidP="00CD27D2">
            <w:pPr>
              <w:widowControl w:val="0"/>
              <w:spacing w:before="80" w:after="6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Variación por Mes </w:t>
            </w:r>
          </w:p>
        </w:tc>
        <w:tc>
          <w:tcPr>
            <w:tcW w:w="2917" w:type="dxa"/>
            <w:tcBorders>
              <w:top w:val="double" w:sz="4" w:space="0" w:color="4F81BD" w:themeColor="accent1"/>
            </w:tcBorders>
            <w:noWrap/>
            <w:vAlign w:val="center"/>
            <w:hideMark/>
          </w:tcPr>
          <w:p w14:paraId="72A83D71"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p>
        </w:tc>
        <w:tc>
          <w:tcPr>
            <w:tcW w:w="1559" w:type="dxa"/>
            <w:tcBorders>
              <w:top w:val="double" w:sz="4" w:space="0" w:color="4F81BD" w:themeColor="accent1"/>
            </w:tcBorders>
            <w:noWrap/>
            <w:vAlign w:val="center"/>
            <w:hideMark/>
          </w:tcPr>
          <w:p w14:paraId="3B4A02AD" w14:textId="7901F5AC"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280.527.841 </w:t>
            </w:r>
          </w:p>
        </w:tc>
        <w:tc>
          <w:tcPr>
            <w:tcW w:w="1559" w:type="dxa"/>
            <w:tcBorders>
              <w:top w:val="double" w:sz="4" w:space="0" w:color="4F81BD" w:themeColor="accent1"/>
            </w:tcBorders>
            <w:noWrap/>
            <w:vAlign w:val="center"/>
            <w:hideMark/>
          </w:tcPr>
          <w:p w14:paraId="21556C9C" w14:textId="5D9E5B29"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426.528.099 </w:t>
            </w:r>
          </w:p>
        </w:tc>
        <w:tc>
          <w:tcPr>
            <w:tcW w:w="1559" w:type="dxa"/>
            <w:tcBorders>
              <w:top w:val="double" w:sz="4" w:space="0" w:color="4F81BD" w:themeColor="accent1"/>
            </w:tcBorders>
            <w:noWrap/>
            <w:vAlign w:val="center"/>
            <w:hideMark/>
          </w:tcPr>
          <w:p w14:paraId="65345444" w14:textId="3DA2C164" w:rsidR="000D6C30" w:rsidRPr="005045BF" w:rsidRDefault="000D6C30" w:rsidP="00CD27D2">
            <w:pPr>
              <w:widowControl w:val="0"/>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568.650.365 </w:t>
            </w:r>
          </w:p>
        </w:tc>
      </w:tr>
      <w:tr w:rsidR="00051843" w:rsidRPr="005045BF" w14:paraId="1554A14C"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Merge/>
            <w:tcBorders>
              <w:bottom w:val="double" w:sz="4" w:space="0" w:color="4F81BD" w:themeColor="accent1"/>
            </w:tcBorders>
            <w:vAlign w:val="center"/>
            <w:hideMark/>
          </w:tcPr>
          <w:p w14:paraId="268E48B3" w14:textId="77777777" w:rsidR="000D6C30" w:rsidRPr="005045BF" w:rsidRDefault="000D6C30" w:rsidP="00CD27D2">
            <w:pPr>
              <w:widowControl w:val="0"/>
              <w:spacing w:before="80" w:after="60"/>
              <w:rPr>
                <w:rFonts w:ascii="Arial" w:hAnsi="Arial" w:cs="Arial"/>
                <w:color w:val="0F243E" w:themeColor="text2" w:themeShade="80"/>
                <w:sz w:val="20"/>
                <w:szCs w:val="20"/>
              </w:rPr>
            </w:pPr>
          </w:p>
        </w:tc>
        <w:tc>
          <w:tcPr>
            <w:tcW w:w="2917" w:type="dxa"/>
            <w:tcBorders>
              <w:bottom w:val="double" w:sz="4" w:space="0" w:color="4F81BD" w:themeColor="accent1"/>
            </w:tcBorders>
            <w:noWrap/>
            <w:vAlign w:val="center"/>
            <w:hideMark/>
          </w:tcPr>
          <w:p w14:paraId="3B87B77F"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p>
        </w:tc>
        <w:tc>
          <w:tcPr>
            <w:tcW w:w="1559" w:type="dxa"/>
            <w:tcBorders>
              <w:bottom w:val="double" w:sz="4" w:space="0" w:color="4F81BD" w:themeColor="accent1"/>
            </w:tcBorders>
            <w:noWrap/>
            <w:vAlign w:val="center"/>
            <w:hideMark/>
          </w:tcPr>
          <w:p w14:paraId="60974D04"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8%</w:t>
            </w:r>
          </w:p>
        </w:tc>
        <w:tc>
          <w:tcPr>
            <w:tcW w:w="1559" w:type="dxa"/>
            <w:tcBorders>
              <w:bottom w:val="double" w:sz="4" w:space="0" w:color="4F81BD" w:themeColor="accent1"/>
            </w:tcBorders>
            <w:noWrap/>
            <w:vAlign w:val="center"/>
            <w:hideMark/>
          </w:tcPr>
          <w:p w14:paraId="2772700A"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8%</w:t>
            </w:r>
          </w:p>
        </w:tc>
        <w:tc>
          <w:tcPr>
            <w:tcW w:w="1559" w:type="dxa"/>
            <w:noWrap/>
            <w:vAlign w:val="center"/>
            <w:hideMark/>
          </w:tcPr>
          <w:p w14:paraId="6C410473"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11%</w:t>
            </w:r>
          </w:p>
        </w:tc>
      </w:tr>
      <w:tr w:rsidR="00051843" w:rsidRPr="005045BF" w14:paraId="124D6380" w14:textId="77777777" w:rsidTr="00CD27D2">
        <w:trPr>
          <w:cantSplit/>
          <w:trHeight w:val="397"/>
        </w:trPr>
        <w:tc>
          <w:tcPr>
            <w:cnfStyle w:val="001000000000" w:firstRow="0" w:lastRow="0" w:firstColumn="1" w:lastColumn="0" w:oddVBand="0" w:evenVBand="0" w:oddHBand="0" w:evenHBand="0" w:firstRowFirstColumn="0" w:firstRowLastColumn="0" w:lastRowFirstColumn="0" w:lastRowLastColumn="0"/>
            <w:tcW w:w="2040" w:type="dxa"/>
            <w:vMerge w:val="restart"/>
            <w:tcBorders>
              <w:top w:val="double" w:sz="4" w:space="0" w:color="4F81BD" w:themeColor="accent1"/>
            </w:tcBorders>
            <w:shd w:val="clear" w:color="auto" w:fill="4F81BD" w:themeFill="accent1"/>
            <w:noWrap/>
            <w:vAlign w:val="center"/>
            <w:hideMark/>
          </w:tcPr>
          <w:p w14:paraId="6ABC9B47" w14:textId="77777777" w:rsidR="000D6C30" w:rsidRPr="005045BF" w:rsidRDefault="000D6C30" w:rsidP="00CD27D2">
            <w:pPr>
              <w:widowControl w:val="0"/>
              <w:spacing w:before="8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Variación Total del Trimestre </w:t>
            </w:r>
          </w:p>
        </w:tc>
        <w:tc>
          <w:tcPr>
            <w:tcW w:w="2917" w:type="dxa"/>
            <w:tcBorders>
              <w:top w:val="double" w:sz="4" w:space="0" w:color="4F81BD" w:themeColor="accent1"/>
            </w:tcBorders>
            <w:shd w:val="clear" w:color="auto" w:fill="4F81BD" w:themeFill="accent1"/>
            <w:noWrap/>
            <w:vAlign w:val="center"/>
            <w:hideMark/>
          </w:tcPr>
          <w:p w14:paraId="609DD53F"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4677" w:type="dxa"/>
            <w:gridSpan w:val="3"/>
            <w:tcBorders>
              <w:top w:val="double" w:sz="4" w:space="0" w:color="4F81BD" w:themeColor="accent1"/>
            </w:tcBorders>
            <w:shd w:val="clear" w:color="auto" w:fill="4F81BD" w:themeFill="accent1"/>
            <w:noWrap/>
            <w:vAlign w:val="center"/>
            <w:hideMark/>
          </w:tcPr>
          <w:p w14:paraId="220AC5A7" w14:textId="458165FF"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1.275.706.305</w:t>
            </w:r>
          </w:p>
        </w:tc>
      </w:tr>
      <w:tr w:rsidR="00051843" w:rsidRPr="005045BF" w14:paraId="03FBF5D5" w14:textId="77777777" w:rsidTr="00CD27D2">
        <w:trPr>
          <w:cantSplit/>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DEED215" w14:textId="77777777" w:rsidR="000D6C30" w:rsidRPr="005045BF" w:rsidRDefault="000D6C30" w:rsidP="00CD27D2">
            <w:pPr>
              <w:widowControl w:val="0"/>
              <w:spacing w:before="80" w:after="60"/>
              <w:rPr>
                <w:rFonts w:ascii="Arial" w:hAnsi="Arial" w:cs="Arial"/>
                <w:color w:val="FFFFFF" w:themeColor="background1"/>
                <w:sz w:val="20"/>
                <w:szCs w:val="20"/>
              </w:rPr>
            </w:pPr>
          </w:p>
        </w:tc>
        <w:tc>
          <w:tcPr>
            <w:tcW w:w="2917" w:type="dxa"/>
            <w:shd w:val="clear" w:color="auto" w:fill="4F81BD" w:themeFill="accent1"/>
            <w:noWrap/>
            <w:vAlign w:val="center"/>
            <w:hideMark/>
          </w:tcPr>
          <w:p w14:paraId="0DFE4C65"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4677" w:type="dxa"/>
            <w:gridSpan w:val="3"/>
            <w:shd w:val="clear" w:color="auto" w:fill="4F81BD" w:themeFill="accent1"/>
            <w:noWrap/>
            <w:vAlign w:val="center"/>
            <w:hideMark/>
          </w:tcPr>
          <w:p w14:paraId="6FC56D38" w14:textId="77777777" w:rsidR="000D6C30" w:rsidRPr="005045BF" w:rsidRDefault="000D6C30" w:rsidP="00CD27D2">
            <w:pPr>
              <w:widowControl w:val="0"/>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9%</w:t>
            </w:r>
          </w:p>
        </w:tc>
      </w:tr>
    </w:tbl>
    <w:p w14:paraId="6E35FFF6" w14:textId="43268D61" w:rsidR="002E130A" w:rsidRPr="005045BF" w:rsidRDefault="00B20E93" w:rsidP="00CD27D2">
      <w:pPr>
        <w:widowControl w:val="0"/>
        <w:spacing w:before="80" w:after="60"/>
        <w:rPr>
          <w:rFonts w:ascii="Arial" w:hAnsi="Arial" w:cs="Arial"/>
          <w:sz w:val="18"/>
          <w:szCs w:val="18"/>
        </w:rPr>
      </w:pPr>
      <w:r w:rsidRPr="005045BF">
        <w:rPr>
          <w:rFonts w:ascii="Arial" w:hAnsi="Arial" w:cs="Arial"/>
          <w:sz w:val="18"/>
          <w:szCs w:val="18"/>
        </w:rPr>
        <w:t>Cifras presentadas</w:t>
      </w:r>
      <w:r w:rsidR="009E1FB0" w:rsidRPr="005045BF">
        <w:rPr>
          <w:rFonts w:ascii="Arial" w:hAnsi="Arial" w:cs="Arial"/>
          <w:sz w:val="18"/>
          <w:szCs w:val="18"/>
        </w:rPr>
        <w:t xml:space="preserve"> en pesos. </w:t>
      </w:r>
    </w:p>
    <w:p w14:paraId="6EB74540" w14:textId="77777777" w:rsidR="009E1FB0" w:rsidRPr="005045BF" w:rsidRDefault="009E1FB0" w:rsidP="00DE18F3">
      <w:pPr>
        <w:rPr>
          <w:rFonts w:ascii="Arial" w:hAnsi="Arial" w:cs="Arial"/>
          <w:sz w:val="22"/>
          <w:szCs w:val="22"/>
          <w:highlight w:val="yellow"/>
          <w14:textOutline w14:w="9525" w14:cap="rnd" w14:cmpd="sng" w14:algn="ctr">
            <w14:solidFill>
              <w14:schemeClr w14:val="accent1">
                <w14:lumMod w14:val="50000"/>
              </w14:schemeClr>
            </w14:solidFill>
            <w14:prstDash w14:val="solid"/>
            <w14:bevel/>
          </w14:textOutline>
        </w:rPr>
      </w:pPr>
    </w:p>
    <w:p w14:paraId="6A6798DB" w14:textId="510D99B0" w:rsidR="00832A26" w:rsidRPr="005045BF" w:rsidRDefault="00832A26" w:rsidP="00DE18F3">
      <w:pPr>
        <w:jc w:val="both"/>
        <w:rPr>
          <w:rFonts w:ascii="Arial" w:hAnsi="Arial" w:cs="Arial"/>
          <w:sz w:val="22"/>
          <w:szCs w:val="22"/>
        </w:rPr>
      </w:pPr>
      <w:r w:rsidRPr="005045BF">
        <w:rPr>
          <w:rFonts w:ascii="Arial" w:hAnsi="Arial" w:cs="Arial"/>
          <w:sz w:val="22"/>
          <w:szCs w:val="22"/>
        </w:rPr>
        <w:t xml:space="preserve">Es de precisar que, </w:t>
      </w:r>
      <w:r w:rsidR="00A32F2B" w:rsidRPr="005045BF">
        <w:rPr>
          <w:rFonts w:ascii="Arial" w:hAnsi="Arial" w:cs="Arial"/>
          <w:sz w:val="22"/>
          <w:szCs w:val="22"/>
        </w:rPr>
        <w:t xml:space="preserve">de </w:t>
      </w:r>
      <w:r w:rsidR="002A7D90" w:rsidRPr="005045BF">
        <w:rPr>
          <w:rFonts w:ascii="Arial" w:hAnsi="Arial" w:cs="Arial"/>
          <w:sz w:val="22"/>
          <w:szCs w:val="22"/>
        </w:rPr>
        <w:t>l</w:t>
      </w:r>
      <w:r w:rsidRPr="005045BF">
        <w:rPr>
          <w:rFonts w:ascii="Arial" w:hAnsi="Arial" w:cs="Arial"/>
          <w:sz w:val="22"/>
          <w:szCs w:val="22"/>
        </w:rPr>
        <w:t xml:space="preserve">os valores </w:t>
      </w:r>
      <w:r w:rsidR="00A32F2B" w:rsidRPr="005045BF">
        <w:rPr>
          <w:rFonts w:ascii="Arial" w:hAnsi="Arial" w:cs="Arial"/>
          <w:sz w:val="22"/>
          <w:szCs w:val="22"/>
        </w:rPr>
        <w:t xml:space="preserve">correspondientes a los </w:t>
      </w:r>
      <w:r w:rsidRPr="005045BF">
        <w:rPr>
          <w:rFonts w:ascii="Arial" w:hAnsi="Arial" w:cs="Arial"/>
          <w:sz w:val="22"/>
          <w:szCs w:val="22"/>
        </w:rPr>
        <w:t>gastos de personal presentados en la tabla anterior</w:t>
      </w:r>
      <w:r w:rsidR="00132E8C" w:rsidRPr="005045BF">
        <w:rPr>
          <w:rFonts w:ascii="Arial" w:hAnsi="Arial" w:cs="Arial"/>
          <w:sz w:val="22"/>
          <w:szCs w:val="22"/>
        </w:rPr>
        <w:t xml:space="preserve"> </w:t>
      </w:r>
      <w:r w:rsidRPr="005045BF">
        <w:rPr>
          <w:rFonts w:ascii="Arial" w:hAnsi="Arial" w:cs="Arial"/>
          <w:sz w:val="22"/>
          <w:szCs w:val="22"/>
        </w:rPr>
        <w:t xml:space="preserve">se excluyó el </w:t>
      </w:r>
      <w:r w:rsidR="00A32F2B" w:rsidRPr="005045BF">
        <w:rPr>
          <w:rFonts w:ascii="Arial" w:hAnsi="Arial" w:cs="Arial"/>
          <w:sz w:val="22"/>
          <w:szCs w:val="22"/>
        </w:rPr>
        <w:t xml:space="preserve">concerniente </w:t>
      </w:r>
      <w:r w:rsidRPr="005045BF">
        <w:rPr>
          <w:rFonts w:ascii="Arial" w:hAnsi="Arial" w:cs="Arial"/>
          <w:sz w:val="22"/>
          <w:szCs w:val="22"/>
        </w:rPr>
        <w:t>a las horas extras, dado que, dicho concepto es analizado de forma</w:t>
      </w:r>
      <w:r w:rsidR="00C656B1" w:rsidRPr="005045BF">
        <w:rPr>
          <w:rFonts w:ascii="Arial" w:hAnsi="Arial" w:cs="Arial"/>
          <w:sz w:val="22"/>
          <w:szCs w:val="22"/>
        </w:rPr>
        <w:t xml:space="preserve"> independiente en </w:t>
      </w:r>
      <w:r w:rsidR="001D7870" w:rsidRPr="005045BF">
        <w:rPr>
          <w:rFonts w:ascii="Arial" w:hAnsi="Arial" w:cs="Arial"/>
          <w:sz w:val="22"/>
          <w:szCs w:val="22"/>
        </w:rPr>
        <w:t xml:space="preserve">el siguiente </w:t>
      </w:r>
      <w:r w:rsidR="00C656B1" w:rsidRPr="005045BF">
        <w:rPr>
          <w:rFonts w:ascii="Arial" w:hAnsi="Arial" w:cs="Arial"/>
          <w:sz w:val="22"/>
          <w:szCs w:val="22"/>
        </w:rPr>
        <w:t>ítem</w:t>
      </w:r>
      <w:r w:rsidR="001D7870" w:rsidRPr="005045BF">
        <w:rPr>
          <w:rFonts w:ascii="Arial" w:hAnsi="Arial" w:cs="Arial"/>
          <w:sz w:val="22"/>
          <w:szCs w:val="22"/>
        </w:rPr>
        <w:t xml:space="preserve"> </w:t>
      </w:r>
      <w:r w:rsidR="00C656B1" w:rsidRPr="005045BF">
        <w:rPr>
          <w:rFonts w:ascii="Arial" w:hAnsi="Arial" w:cs="Arial"/>
          <w:sz w:val="22"/>
          <w:szCs w:val="22"/>
        </w:rPr>
        <w:t>este informe</w:t>
      </w:r>
      <w:r w:rsidR="00C5433C" w:rsidRPr="005045BF">
        <w:rPr>
          <w:rFonts w:ascii="Arial" w:hAnsi="Arial" w:cs="Arial"/>
          <w:sz w:val="22"/>
          <w:szCs w:val="22"/>
        </w:rPr>
        <w:t xml:space="preserve">. </w:t>
      </w:r>
    </w:p>
    <w:p w14:paraId="235FFFF3" w14:textId="77777777" w:rsidR="0072314D" w:rsidRPr="005045BF" w:rsidRDefault="0072314D" w:rsidP="00DE18F3">
      <w:pPr>
        <w:rPr>
          <w:rFonts w:ascii="Arial" w:hAnsi="Arial" w:cs="Arial"/>
          <w:sz w:val="22"/>
          <w:szCs w:val="22"/>
          <w:highlight w:val="yellow"/>
        </w:rPr>
      </w:pPr>
    </w:p>
    <w:p w14:paraId="2CE5FE4E" w14:textId="15A41765" w:rsidR="00D50475" w:rsidRPr="005045BF" w:rsidRDefault="00CD1040" w:rsidP="00DE18F3">
      <w:pPr>
        <w:jc w:val="both"/>
        <w:rPr>
          <w:rFonts w:ascii="Arial" w:hAnsi="Arial" w:cs="Arial"/>
          <w:sz w:val="22"/>
          <w:szCs w:val="22"/>
        </w:rPr>
      </w:pPr>
      <w:r w:rsidRPr="005045BF">
        <w:rPr>
          <w:rFonts w:ascii="Arial" w:hAnsi="Arial" w:cs="Arial"/>
          <w:sz w:val="22"/>
          <w:szCs w:val="22"/>
        </w:rPr>
        <w:t>Frente a las obligaciones por concepto de Gastos de</w:t>
      </w:r>
      <w:r w:rsidR="00FF01E7" w:rsidRPr="005045BF">
        <w:rPr>
          <w:rFonts w:ascii="Arial" w:hAnsi="Arial" w:cs="Arial"/>
          <w:sz w:val="22"/>
          <w:szCs w:val="22"/>
        </w:rPr>
        <w:t xml:space="preserve"> Planta de Personal</w:t>
      </w:r>
      <w:r w:rsidRPr="005045BF">
        <w:rPr>
          <w:rFonts w:ascii="Arial" w:hAnsi="Arial" w:cs="Arial"/>
          <w:sz w:val="22"/>
          <w:szCs w:val="22"/>
        </w:rPr>
        <w:t>, se evidenció un</w:t>
      </w:r>
      <w:r w:rsidR="00FF01E7" w:rsidRPr="005045BF">
        <w:rPr>
          <w:rFonts w:ascii="Arial" w:hAnsi="Arial" w:cs="Arial"/>
          <w:sz w:val="22"/>
          <w:szCs w:val="22"/>
        </w:rPr>
        <w:t>a</w:t>
      </w:r>
      <w:r w:rsidRPr="005045BF">
        <w:rPr>
          <w:rFonts w:ascii="Arial" w:hAnsi="Arial" w:cs="Arial"/>
          <w:sz w:val="22"/>
          <w:szCs w:val="22"/>
        </w:rPr>
        <w:t xml:space="preserve"> </w:t>
      </w:r>
      <w:r w:rsidR="00FF01E7" w:rsidRPr="005045BF">
        <w:rPr>
          <w:rFonts w:ascii="Arial" w:hAnsi="Arial" w:cs="Arial"/>
          <w:sz w:val="22"/>
          <w:szCs w:val="22"/>
        </w:rPr>
        <w:t>variación positiva</w:t>
      </w:r>
      <w:r w:rsidR="00FF01E7" w:rsidRPr="005045BF">
        <w:rPr>
          <w:rFonts w:ascii="Arial" w:hAnsi="Arial" w:cs="Arial"/>
          <w:b/>
          <w:bCs/>
          <w:sz w:val="22"/>
          <w:szCs w:val="22"/>
        </w:rPr>
        <w:t xml:space="preserve"> </w:t>
      </w:r>
      <w:r w:rsidR="00FF01E7" w:rsidRPr="005045BF">
        <w:rPr>
          <w:rFonts w:ascii="Arial" w:hAnsi="Arial" w:cs="Arial"/>
          <w:sz w:val="22"/>
          <w:szCs w:val="22"/>
        </w:rPr>
        <w:t xml:space="preserve">representando un </w:t>
      </w:r>
      <w:r w:rsidR="00FF01E7" w:rsidRPr="005045BF">
        <w:rPr>
          <w:rFonts w:ascii="Arial" w:hAnsi="Arial" w:cs="Arial"/>
          <w:b/>
          <w:bCs/>
          <w:sz w:val="22"/>
          <w:szCs w:val="22"/>
        </w:rPr>
        <w:t>incremento</w:t>
      </w:r>
      <w:r w:rsidR="00FF01E7" w:rsidRPr="005045BF">
        <w:rPr>
          <w:rFonts w:ascii="Arial" w:hAnsi="Arial" w:cs="Arial"/>
          <w:sz w:val="22"/>
          <w:szCs w:val="22"/>
        </w:rPr>
        <w:t xml:space="preserve"> </w:t>
      </w:r>
      <w:r w:rsidRPr="005045BF">
        <w:rPr>
          <w:rFonts w:ascii="Arial" w:hAnsi="Arial" w:cs="Arial"/>
          <w:sz w:val="22"/>
          <w:szCs w:val="22"/>
        </w:rPr>
        <w:t>de $1.</w:t>
      </w:r>
      <w:r w:rsidR="00FF01E7" w:rsidRPr="005045BF">
        <w:rPr>
          <w:rFonts w:ascii="Arial" w:hAnsi="Arial" w:cs="Arial"/>
          <w:sz w:val="22"/>
          <w:szCs w:val="22"/>
        </w:rPr>
        <w:t>275.706.305</w:t>
      </w:r>
      <w:r w:rsidRPr="005045BF">
        <w:rPr>
          <w:rFonts w:ascii="Arial" w:hAnsi="Arial" w:cs="Arial"/>
          <w:sz w:val="22"/>
          <w:szCs w:val="22"/>
        </w:rPr>
        <w:t xml:space="preserve">, </w:t>
      </w:r>
      <w:r w:rsidR="00E3753E" w:rsidRPr="005045BF">
        <w:rPr>
          <w:rFonts w:ascii="Arial" w:hAnsi="Arial" w:cs="Arial"/>
          <w:sz w:val="22"/>
          <w:szCs w:val="22"/>
        </w:rPr>
        <w:t>equivalente a un</w:t>
      </w:r>
      <w:r w:rsidRPr="005045BF">
        <w:rPr>
          <w:rFonts w:ascii="Arial" w:hAnsi="Arial" w:cs="Arial"/>
          <w:sz w:val="22"/>
          <w:szCs w:val="22"/>
        </w:rPr>
        <w:t xml:space="preserve"> 9%. Con cargo a este rubro se contemplaron los siguientes aspectos</w:t>
      </w:r>
      <w:r w:rsidRPr="005045BF">
        <w:rPr>
          <w:sz w:val="22"/>
          <w:szCs w:val="22"/>
        </w:rPr>
        <w:t>:</w:t>
      </w:r>
    </w:p>
    <w:p w14:paraId="5E422C99" w14:textId="4B2029FD" w:rsidR="00CD1040" w:rsidRPr="005045BF" w:rsidRDefault="00CD1040" w:rsidP="00DE18F3">
      <w:pPr>
        <w:jc w:val="both"/>
        <w:rPr>
          <w:rFonts w:ascii="Arial" w:hAnsi="Arial" w:cs="Arial"/>
          <w:sz w:val="22"/>
          <w:szCs w:val="22"/>
        </w:rPr>
      </w:pPr>
    </w:p>
    <w:p w14:paraId="71F79530" w14:textId="7649ADBD" w:rsidR="005F39AA" w:rsidRPr="005045BF" w:rsidRDefault="00BB019C" w:rsidP="00E3753E">
      <w:pPr>
        <w:pStyle w:val="Prrafodelista"/>
        <w:numPr>
          <w:ilvl w:val="0"/>
          <w:numId w:val="32"/>
        </w:numPr>
        <w:spacing w:after="120"/>
        <w:ind w:left="357" w:hanging="357"/>
        <w:contextualSpacing w:val="0"/>
        <w:rPr>
          <w:rFonts w:ascii="Arial" w:hAnsi="Arial" w:cs="Arial"/>
          <w:color w:val="000000" w:themeColor="text1"/>
          <w:sz w:val="22"/>
          <w:szCs w:val="22"/>
        </w:rPr>
      </w:pPr>
      <w:r w:rsidRPr="005045BF">
        <w:rPr>
          <w:rFonts w:ascii="Arial" w:hAnsi="Arial" w:cs="Arial"/>
          <w:color w:val="000000" w:themeColor="text1"/>
          <w:sz w:val="22"/>
          <w:szCs w:val="22"/>
        </w:rPr>
        <w:t xml:space="preserve">Para </w:t>
      </w:r>
      <w:r w:rsidR="004E0C98" w:rsidRPr="005045BF">
        <w:rPr>
          <w:rFonts w:ascii="Arial" w:hAnsi="Arial" w:cs="Arial"/>
          <w:color w:val="000000" w:themeColor="text1"/>
          <w:sz w:val="22"/>
          <w:szCs w:val="22"/>
        </w:rPr>
        <w:t xml:space="preserve">el </w:t>
      </w:r>
      <w:r w:rsidR="00E3753E" w:rsidRPr="005045BF">
        <w:rPr>
          <w:rFonts w:ascii="Arial" w:hAnsi="Arial" w:cs="Arial"/>
          <w:color w:val="000000" w:themeColor="text1"/>
          <w:sz w:val="22"/>
          <w:szCs w:val="22"/>
        </w:rPr>
        <w:t xml:space="preserve">corte a 31 de marzo 2020, aumentaron en 11 los </w:t>
      </w:r>
      <w:r w:rsidR="005C244E" w:rsidRPr="005045BF">
        <w:rPr>
          <w:rFonts w:ascii="Arial" w:hAnsi="Arial" w:cs="Arial"/>
          <w:color w:val="000000" w:themeColor="text1"/>
          <w:sz w:val="22"/>
          <w:szCs w:val="22"/>
        </w:rPr>
        <w:t xml:space="preserve">cargos de </w:t>
      </w:r>
      <w:r w:rsidR="00AC30AE" w:rsidRPr="005045BF">
        <w:rPr>
          <w:rFonts w:ascii="Arial" w:hAnsi="Arial" w:cs="Arial"/>
          <w:color w:val="000000" w:themeColor="text1"/>
          <w:sz w:val="22"/>
          <w:szCs w:val="22"/>
        </w:rPr>
        <w:t>asesor los</w:t>
      </w:r>
      <w:r w:rsidR="005F39AA" w:rsidRPr="005045BF">
        <w:rPr>
          <w:rFonts w:ascii="Arial" w:hAnsi="Arial" w:cs="Arial"/>
          <w:color w:val="000000" w:themeColor="text1"/>
          <w:sz w:val="22"/>
          <w:szCs w:val="22"/>
        </w:rPr>
        <w:t xml:space="preserve"> cuales para el mismo trimestre de 201</w:t>
      </w:r>
      <w:r w:rsidR="008666F4" w:rsidRPr="005045BF">
        <w:rPr>
          <w:rFonts w:ascii="Arial" w:hAnsi="Arial" w:cs="Arial"/>
          <w:color w:val="000000" w:themeColor="text1"/>
          <w:sz w:val="22"/>
          <w:szCs w:val="22"/>
        </w:rPr>
        <w:t>9</w:t>
      </w:r>
      <w:r w:rsidR="005F39AA" w:rsidRPr="005045BF">
        <w:rPr>
          <w:rFonts w:ascii="Arial" w:hAnsi="Arial" w:cs="Arial"/>
          <w:color w:val="000000" w:themeColor="text1"/>
          <w:sz w:val="22"/>
          <w:szCs w:val="22"/>
        </w:rPr>
        <w:t xml:space="preserve"> se encontraban en vacancia. Así mismo, </w:t>
      </w:r>
      <w:r w:rsidR="00AC30AE" w:rsidRPr="005045BF">
        <w:rPr>
          <w:rFonts w:ascii="Arial" w:hAnsi="Arial" w:cs="Arial"/>
          <w:color w:val="000000" w:themeColor="text1"/>
          <w:sz w:val="22"/>
          <w:szCs w:val="22"/>
        </w:rPr>
        <w:t xml:space="preserve">los cargos de </w:t>
      </w:r>
      <w:r w:rsidR="008D7F89" w:rsidRPr="005045BF">
        <w:rPr>
          <w:rFonts w:ascii="Arial" w:hAnsi="Arial" w:cs="Arial"/>
          <w:color w:val="000000" w:themeColor="text1"/>
          <w:sz w:val="22"/>
          <w:szCs w:val="22"/>
        </w:rPr>
        <w:t>subdirectores</w:t>
      </w:r>
      <w:r w:rsidR="00AC30AE" w:rsidRPr="005045BF">
        <w:rPr>
          <w:rFonts w:ascii="Arial" w:hAnsi="Arial" w:cs="Arial"/>
          <w:color w:val="000000" w:themeColor="text1"/>
          <w:sz w:val="22"/>
          <w:szCs w:val="22"/>
        </w:rPr>
        <w:t xml:space="preserve"> se incrementaron en 3.</w:t>
      </w:r>
      <w:r w:rsidR="005F39AA" w:rsidRPr="005045BF">
        <w:rPr>
          <w:rFonts w:ascii="Arial" w:hAnsi="Arial" w:cs="Arial"/>
          <w:color w:val="000000" w:themeColor="text1"/>
          <w:sz w:val="22"/>
          <w:szCs w:val="22"/>
        </w:rPr>
        <w:t xml:space="preserve"> En consecuencia, la</w:t>
      </w:r>
      <w:r w:rsidR="0031682F" w:rsidRPr="005045BF">
        <w:rPr>
          <w:rFonts w:ascii="Arial" w:hAnsi="Arial" w:cs="Arial"/>
          <w:color w:val="000000" w:themeColor="text1"/>
          <w:sz w:val="22"/>
          <w:szCs w:val="22"/>
        </w:rPr>
        <w:t xml:space="preserve"> planta de personal presentó </w:t>
      </w:r>
      <w:r w:rsidRPr="005045BF">
        <w:rPr>
          <w:rFonts w:ascii="Arial" w:hAnsi="Arial" w:cs="Arial"/>
          <w:color w:val="000000" w:themeColor="text1"/>
          <w:sz w:val="22"/>
          <w:szCs w:val="22"/>
        </w:rPr>
        <w:t>variaciones positivas</w:t>
      </w:r>
      <w:r w:rsidR="0031682F" w:rsidRPr="005045BF">
        <w:rPr>
          <w:rFonts w:ascii="Arial" w:hAnsi="Arial" w:cs="Arial"/>
          <w:color w:val="000000" w:themeColor="text1"/>
          <w:sz w:val="22"/>
          <w:szCs w:val="22"/>
        </w:rPr>
        <w:t xml:space="preserve"> para los meses que conforman el periodo analizado</w:t>
      </w:r>
      <w:r w:rsidR="005F39AA" w:rsidRPr="005045BF">
        <w:rPr>
          <w:rFonts w:ascii="Arial" w:hAnsi="Arial" w:cs="Arial"/>
          <w:color w:val="000000" w:themeColor="text1"/>
          <w:sz w:val="22"/>
          <w:szCs w:val="22"/>
        </w:rPr>
        <w:t xml:space="preserve"> [20</w:t>
      </w:r>
      <w:r w:rsidR="00AC30AE" w:rsidRPr="005045BF">
        <w:rPr>
          <w:rFonts w:ascii="Arial" w:hAnsi="Arial" w:cs="Arial"/>
          <w:color w:val="000000" w:themeColor="text1"/>
          <w:sz w:val="22"/>
          <w:szCs w:val="22"/>
        </w:rPr>
        <w:t>20</w:t>
      </w:r>
      <w:r w:rsidR="005F39AA" w:rsidRPr="005045BF">
        <w:rPr>
          <w:rFonts w:ascii="Arial" w:hAnsi="Arial" w:cs="Arial"/>
          <w:color w:val="000000" w:themeColor="text1"/>
          <w:sz w:val="22"/>
          <w:szCs w:val="22"/>
        </w:rPr>
        <w:t>-201</w:t>
      </w:r>
      <w:r w:rsidR="00AC30AE" w:rsidRPr="005045BF">
        <w:rPr>
          <w:rFonts w:ascii="Arial" w:hAnsi="Arial" w:cs="Arial"/>
          <w:color w:val="000000" w:themeColor="text1"/>
          <w:sz w:val="22"/>
          <w:szCs w:val="22"/>
        </w:rPr>
        <w:t>9</w:t>
      </w:r>
      <w:r w:rsidR="005F39AA" w:rsidRPr="005045BF">
        <w:rPr>
          <w:rFonts w:ascii="Arial" w:hAnsi="Arial" w:cs="Arial"/>
          <w:color w:val="000000" w:themeColor="text1"/>
          <w:sz w:val="22"/>
          <w:szCs w:val="22"/>
        </w:rPr>
        <w:t xml:space="preserve">]: </w:t>
      </w:r>
      <w:r w:rsidR="00AC30AE" w:rsidRPr="005045BF">
        <w:rPr>
          <w:rFonts w:ascii="Arial" w:hAnsi="Arial" w:cs="Arial"/>
          <w:color w:val="000000" w:themeColor="text1"/>
          <w:sz w:val="22"/>
          <w:szCs w:val="22"/>
        </w:rPr>
        <w:t>enero 3,1</w:t>
      </w:r>
      <w:r w:rsidRPr="005045BF">
        <w:rPr>
          <w:rFonts w:ascii="Arial" w:hAnsi="Arial" w:cs="Arial"/>
          <w:color w:val="000000" w:themeColor="text1"/>
          <w:sz w:val="22"/>
          <w:szCs w:val="22"/>
        </w:rPr>
        <w:t xml:space="preserve">%, </w:t>
      </w:r>
      <w:r w:rsidR="00AC30AE" w:rsidRPr="005045BF">
        <w:rPr>
          <w:rFonts w:ascii="Arial" w:hAnsi="Arial" w:cs="Arial"/>
          <w:color w:val="000000" w:themeColor="text1"/>
          <w:sz w:val="22"/>
          <w:szCs w:val="22"/>
        </w:rPr>
        <w:t xml:space="preserve">febrero </w:t>
      </w:r>
      <w:r w:rsidRPr="005045BF">
        <w:rPr>
          <w:rFonts w:ascii="Arial" w:hAnsi="Arial" w:cs="Arial"/>
          <w:color w:val="000000" w:themeColor="text1"/>
          <w:sz w:val="22"/>
          <w:szCs w:val="22"/>
        </w:rPr>
        <w:t>2</w:t>
      </w:r>
      <w:r w:rsidR="00AC30AE" w:rsidRPr="005045BF">
        <w:rPr>
          <w:rFonts w:ascii="Arial" w:hAnsi="Arial" w:cs="Arial"/>
          <w:color w:val="000000" w:themeColor="text1"/>
          <w:sz w:val="22"/>
          <w:szCs w:val="22"/>
        </w:rPr>
        <w:t>,7</w:t>
      </w:r>
      <w:r w:rsidRPr="005045BF">
        <w:rPr>
          <w:rFonts w:ascii="Arial" w:hAnsi="Arial" w:cs="Arial"/>
          <w:color w:val="000000" w:themeColor="text1"/>
          <w:sz w:val="22"/>
          <w:szCs w:val="22"/>
        </w:rPr>
        <w:t xml:space="preserve">% y </w:t>
      </w:r>
      <w:r w:rsidR="00AC30AE" w:rsidRPr="005045BF">
        <w:rPr>
          <w:rFonts w:ascii="Arial" w:hAnsi="Arial" w:cs="Arial"/>
          <w:color w:val="000000" w:themeColor="text1"/>
          <w:sz w:val="22"/>
          <w:szCs w:val="22"/>
        </w:rPr>
        <w:t xml:space="preserve">marzo </w:t>
      </w:r>
      <w:r w:rsidRPr="005045BF">
        <w:rPr>
          <w:rFonts w:ascii="Arial" w:hAnsi="Arial" w:cs="Arial"/>
          <w:color w:val="000000" w:themeColor="text1"/>
          <w:sz w:val="22"/>
          <w:szCs w:val="22"/>
        </w:rPr>
        <w:t>2,</w:t>
      </w:r>
      <w:r w:rsidR="00AC30AE" w:rsidRPr="005045BF">
        <w:rPr>
          <w:rFonts w:ascii="Arial" w:hAnsi="Arial" w:cs="Arial"/>
          <w:color w:val="000000" w:themeColor="text1"/>
          <w:sz w:val="22"/>
          <w:szCs w:val="22"/>
        </w:rPr>
        <w:t>5</w:t>
      </w:r>
      <w:r w:rsidR="005F39AA" w:rsidRPr="005045BF">
        <w:rPr>
          <w:rFonts w:ascii="Arial" w:hAnsi="Arial" w:cs="Arial"/>
          <w:color w:val="000000" w:themeColor="text1"/>
          <w:sz w:val="22"/>
          <w:szCs w:val="22"/>
        </w:rPr>
        <w:t>%</w:t>
      </w:r>
      <w:r w:rsidR="001E3182"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 </w:t>
      </w:r>
    </w:p>
    <w:p w14:paraId="3F7E1E5C" w14:textId="5ABEFB04" w:rsidR="005C244E" w:rsidRPr="005045BF" w:rsidRDefault="00573E63" w:rsidP="005C244E">
      <w:pPr>
        <w:pStyle w:val="Prrafodelista"/>
        <w:numPr>
          <w:ilvl w:val="0"/>
          <w:numId w:val="32"/>
        </w:numPr>
        <w:rPr>
          <w:rFonts w:ascii="Arial" w:hAnsi="Arial" w:cs="Arial"/>
          <w:color w:val="000000" w:themeColor="text1"/>
          <w:sz w:val="22"/>
          <w:szCs w:val="22"/>
        </w:rPr>
      </w:pPr>
      <w:r w:rsidRPr="005045BF">
        <w:rPr>
          <w:rFonts w:ascii="Arial" w:hAnsi="Arial" w:cs="Arial"/>
          <w:sz w:val="22"/>
          <w:szCs w:val="22"/>
        </w:rPr>
        <w:t xml:space="preserve">El </w:t>
      </w:r>
      <w:r w:rsidR="00344CBE" w:rsidRPr="005045BF">
        <w:rPr>
          <w:rFonts w:ascii="Arial" w:hAnsi="Arial" w:cs="Arial"/>
          <w:sz w:val="22"/>
          <w:szCs w:val="22"/>
        </w:rPr>
        <w:t>Decreto 304 del 27 de febrero de 2020</w:t>
      </w:r>
      <w:r w:rsidR="00717DFC" w:rsidRPr="005045BF">
        <w:rPr>
          <w:rFonts w:ascii="Arial" w:hAnsi="Arial" w:cs="Arial"/>
          <w:color w:val="000000" w:themeColor="text1"/>
          <w:sz w:val="22"/>
          <w:szCs w:val="22"/>
        </w:rPr>
        <w:t>,</w:t>
      </w:r>
      <w:r w:rsidR="005C244E" w:rsidRPr="005045BF">
        <w:rPr>
          <w:rFonts w:ascii="Arial" w:hAnsi="Arial" w:cs="Arial"/>
          <w:color w:val="000000" w:themeColor="text1"/>
          <w:sz w:val="22"/>
          <w:szCs w:val="22"/>
        </w:rPr>
        <w:t xml:space="preserve"> estableció para la vigencia 20</w:t>
      </w:r>
      <w:r w:rsidR="00344CBE" w:rsidRPr="005045BF">
        <w:rPr>
          <w:rFonts w:ascii="Arial" w:hAnsi="Arial" w:cs="Arial"/>
          <w:color w:val="000000" w:themeColor="text1"/>
          <w:sz w:val="22"/>
          <w:szCs w:val="22"/>
        </w:rPr>
        <w:t>20</w:t>
      </w:r>
      <w:r w:rsidR="00787F1E" w:rsidRPr="005045BF">
        <w:rPr>
          <w:rFonts w:ascii="Arial" w:hAnsi="Arial" w:cs="Arial"/>
          <w:color w:val="000000" w:themeColor="text1"/>
          <w:sz w:val="22"/>
          <w:szCs w:val="22"/>
        </w:rPr>
        <w:t xml:space="preserve"> un ajuste de </w:t>
      </w:r>
      <w:r w:rsidR="005C244E" w:rsidRPr="005045BF">
        <w:rPr>
          <w:rFonts w:ascii="Arial" w:hAnsi="Arial" w:cs="Arial"/>
          <w:color w:val="000000" w:themeColor="text1"/>
          <w:sz w:val="22"/>
          <w:szCs w:val="22"/>
        </w:rPr>
        <w:t xml:space="preserve">los salarios y prestaciones </w:t>
      </w:r>
      <w:r w:rsidR="00787F1E" w:rsidRPr="005045BF">
        <w:rPr>
          <w:rFonts w:ascii="Arial" w:hAnsi="Arial" w:cs="Arial"/>
          <w:color w:val="000000" w:themeColor="text1"/>
          <w:sz w:val="22"/>
          <w:szCs w:val="22"/>
        </w:rPr>
        <w:t xml:space="preserve">de </w:t>
      </w:r>
      <w:r w:rsidR="00344CBE" w:rsidRPr="005045BF">
        <w:rPr>
          <w:rFonts w:ascii="Arial" w:hAnsi="Arial" w:cs="Arial"/>
          <w:color w:val="000000" w:themeColor="text1"/>
          <w:sz w:val="22"/>
          <w:szCs w:val="22"/>
        </w:rPr>
        <w:t>5,12</w:t>
      </w:r>
      <w:r w:rsidR="005C244E" w:rsidRPr="005045BF">
        <w:rPr>
          <w:rFonts w:ascii="Arial" w:hAnsi="Arial" w:cs="Arial"/>
          <w:color w:val="000000" w:themeColor="text1"/>
          <w:sz w:val="22"/>
          <w:szCs w:val="22"/>
        </w:rPr>
        <w:t xml:space="preserve">% </w:t>
      </w:r>
      <w:r w:rsidR="00344CBE" w:rsidRPr="005045BF">
        <w:rPr>
          <w:rFonts w:ascii="Arial" w:hAnsi="Arial" w:cs="Arial"/>
          <w:sz w:val="22"/>
          <w:szCs w:val="22"/>
        </w:rPr>
        <w:t xml:space="preserve">con retroactivo desde el 1° de enero de 2020. </w:t>
      </w:r>
    </w:p>
    <w:p w14:paraId="19F6EB9F" w14:textId="342AAD1E" w:rsidR="00344CBE" w:rsidRPr="005045BF" w:rsidRDefault="00344CBE" w:rsidP="00344CBE">
      <w:pPr>
        <w:rPr>
          <w:rFonts w:ascii="Arial" w:hAnsi="Arial" w:cs="Arial"/>
          <w:color w:val="000000" w:themeColor="text1"/>
          <w:sz w:val="22"/>
          <w:szCs w:val="22"/>
        </w:rPr>
      </w:pPr>
    </w:p>
    <w:p w14:paraId="4B59E742" w14:textId="1AC40761" w:rsidR="001C2F69" w:rsidRPr="005045BF" w:rsidRDefault="001E3182" w:rsidP="007728BF">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Considerando lo </w:t>
      </w:r>
      <w:r w:rsidR="002E1891" w:rsidRPr="005045BF">
        <w:rPr>
          <w:rFonts w:ascii="Arial" w:hAnsi="Arial" w:cs="Arial"/>
          <w:color w:val="000000" w:themeColor="text1"/>
          <w:sz w:val="22"/>
          <w:szCs w:val="22"/>
        </w:rPr>
        <w:t xml:space="preserve">anterior, </w:t>
      </w:r>
      <w:r w:rsidRPr="005045BF">
        <w:rPr>
          <w:rFonts w:ascii="Arial" w:hAnsi="Arial" w:cs="Arial"/>
          <w:color w:val="000000" w:themeColor="text1"/>
          <w:sz w:val="22"/>
          <w:szCs w:val="22"/>
        </w:rPr>
        <w:t xml:space="preserve">se puede </w:t>
      </w:r>
      <w:r w:rsidR="005C244E" w:rsidRPr="005045BF">
        <w:rPr>
          <w:rFonts w:ascii="Arial" w:hAnsi="Arial" w:cs="Arial"/>
          <w:color w:val="000000" w:themeColor="text1"/>
          <w:sz w:val="22"/>
          <w:szCs w:val="22"/>
        </w:rPr>
        <w:t>deducir que el incremento en el gasto de personal</w:t>
      </w:r>
      <w:r w:rsidR="002E1891" w:rsidRPr="005045BF">
        <w:rPr>
          <w:rFonts w:ascii="Arial" w:hAnsi="Arial" w:cs="Arial"/>
          <w:color w:val="000000" w:themeColor="text1"/>
          <w:sz w:val="22"/>
          <w:szCs w:val="22"/>
        </w:rPr>
        <w:t xml:space="preserve"> para el </w:t>
      </w:r>
      <w:r w:rsidR="00F97D99" w:rsidRPr="005045BF">
        <w:rPr>
          <w:rFonts w:ascii="Arial" w:hAnsi="Arial" w:cs="Arial"/>
          <w:color w:val="000000" w:themeColor="text1"/>
          <w:sz w:val="22"/>
          <w:szCs w:val="22"/>
        </w:rPr>
        <w:t>primer trimestre</w:t>
      </w:r>
      <w:r w:rsidR="002E1891" w:rsidRPr="005045BF">
        <w:rPr>
          <w:rFonts w:ascii="Arial" w:hAnsi="Arial" w:cs="Arial"/>
          <w:color w:val="000000" w:themeColor="text1"/>
          <w:sz w:val="22"/>
          <w:szCs w:val="22"/>
        </w:rPr>
        <w:t xml:space="preserve"> de 20</w:t>
      </w:r>
      <w:r w:rsidR="00F97D99" w:rsidRPr="005045BF">
        <w:rPr>
          <w:rFonts w:ascii="Arial" w:hAnsi="Arial" w:cs="Arial"/>
          <w:color w:val="000000" w:themeColor="text1"/>
          <w:sz w:val="22"/>
          <w:szCs w:val="22"/>
        </w:rPr>
        <w:t>20</w:t>
      </w:r>
      <w:r w:rsidR="002E1891" w:rsidRPr="005045BF">
        <w:rPr>
          <w:rFonts w:ascii="Arial" w:hAnsi="Arial" w:cs="Arial"/>
          <w:color w:val="000000" w:themeColor="text1"/>
          <w:sz w:val="22"/>
          <w:szCs w:val="22"/>
        </w:rPr>
        <w:t xml:space="preserve"> comparado con el mismo periodo de 201</w:t>
      </w:r>
      <w:r w:rsidR="00F97D99" w:rsidRPr="005045BF">
        <w:rPr>
          <w:rFonts w:ascii="Arial" w:hAnsi="Arial" w:cs="Arial"/>
          <w:color w:val="000000" w:themeColor="text1"/>
          <w:sz w:val="22"/>
          <w:szCs w:val="22"/>
        </w:rPr>
        <w:t>9</w:t>
      </w:r>
      <w:r w:rsidR="005C244E" w:rsidRPr="005045BF">
        <w:rPr>
          <w:rFonts w:ascii="Arial" w:hAnsi="Arial" w:cs="Arial"/>
          <w:color w:val="000000" w:themeColor="text1"/>
          <w:sz w:val="22"/>
          <w:szCs w:val="22"/>
        </w:rPr>
        <w:t xml:space="preserve">, </w:t>
      </w:r>
      <w:r w:rsidR="002E1891" w:rsidRPr="005045BF">
        <w:rPr>
          <w:rFonts w:ascii="Arial" w:hAnsi="Arial" w:cs="Arial"/>
          <w:color w:val="000000" w:themeColor="text1"/>
          <w:sz w:val="22"/>
          <w:szCs w:val="22"/>
        </w:rPr>
        <w:t xml:space="preserve">en parte </w:t>
      </w:r>
      <w:r w:rsidR="003F2801" w:rsidRPr="005045BF">
        <w:rPr>
          <w:rFonts w:ascii="Arial" w:hAnsi="Arial" w:cs="Arial"/>
          <w:color w:val="000000" w:themeColor="text1"/>
          <w:sz w:val="22"/>
          <w:szCs w:val="22"/>
        </w:rPr>
        <w:t>obedeció a</w:t>
      </w:r>
      <w:r w:rsidR="005C244E" w:rsidRPr="005045BF">
        <w:rPr>
          <w:rFonts w:ascii="Arial" w:hAnsi="Arial" w:cs="Arial"/>
          <w:color w:val="000000" w:themeColor="text1"/>
          <w:sz w:val="22"/>
          <w:szCs w:val="22"/>
        </w:rPr>
        <w:t xml:space="preserve">l </w:t>
      </w:r>
      <w:r w:rsidR="002E1891" w:rsidRPr="005045BF">
        <w:rPr>
          <w:rFonts w:ascii="Arial" w:hAnsi="Arial" w:cs="Arial"/>
          <w:color w:val="000000" w:themeColor="text1"/>
          <w:sz w:val="22"/>
          <w:szCs w:val="22"/>
        </w:rPr>
        <w:t>aumento de número de funcionarios</w:t>
      </w:r>
      <w:r w:rsidR="00BC21BF" w:rsidRPr="005045BF">
        <w:rPr>
          <w:rFonts w:ascii="Arial" w:hAnsi="Arial" w:cs="Arial"/>
          <w:color w:val="000000" w:themeColor="text1"/>
          <w:sz w:val="22"/>
          <w:szCs w:val="22"/>
        </w:rPr>
        <w:t xml:space="preserve">, pasando de 672 a 31 de marzo de 2019 a 689 al mismo corte de 2020, de igual forma, </w:t>
      </w:r>
      <w:r w:rsidR="009C2DC6" w:rsidRPr="005045BF">
        <w:rPr>
          <w:rFonts w:ascii="Arial" w:hAnsi="Arial" w:cs="Arial"/>
          <w:color w:val="000000" w:themeColor="text1"/>
          <w:sz w:val="22"/>
          <w:szCs w:val="22"/>
        </w:rPr>
        <w:t xml:space="preserve">al </w:t>
      </w:r>
      <w:r w:rsidR="002E1891" w:rsidRPr="005045BF">
        <w:rPr>
          <w:rFonts w:ascii="Arial" w:hAnsi="Arial" w:cs="Arial"/>
          <w:color w:val="000000" w:themeColor="text1"/>
          <w:sz w:val="22"/>
          <w:szCs w:val="22"/>
        </w:rPr>
        <w:t xml:space="preserve">ajuste salarial autorizado por el Gobierno Nacional. </w:t>
      </w:r>
    </w:p>
    <w:p w14:paraId="7DBF9E5C" w14:textId="71CC8DD7" w:rsidR="00AC30AE" w:rsidRPr="005045BF" w:rsidRDefault="00AC30AE" w:rsidP="008517AF">
      <w:pPr>
        <w:tabs>
          <w:tab w:val="left" w:pos="284"/>
        </w:tabs>
        <w:rPr>
          <w:rFonts w:ascii="Arial" w:hAnsi="Arial" w:cs="Arial"/>
          <w:b/>
          <w:sz w:val="22"/>
          <w:szCs w:val="22"/>
        </w:rPr>
      </w:pPr>
    </w:p>
    <w:p w14:paraId="4F6A6B76" w14:textId="77777777" w:rsidR="00F97D99" w:rsidRPr="005045BF" w:rsidRDefault="00F97D99" w:rsidP="008517AF">
      <w:pPr>
        <w:tabs>
          <w:tab w:val="left" w:pos="284"/>
        </w:tabs>
        <w:rPr>
          <w:rFonts w:ascii="Arial" w:hAnsi="Arial" w:cs="Arial"/>
          <w:b/>
          <w:sz w:val="22"/>
          <w:szCs w:val="22"/>
        </w:rPr>
      </w:pPr>
    </w:p>
    <w:p w14:paraId="22D3180F" w14:textId="0B34A58C" w:rsidR="0036775C" w:rsidRPr="005045BF" w:rsidRDefault="00E7227A" w:rsidP="008517AF">
      <w:pPr>
        <w:tabs>
          <w:tab w:val="left" w:pos="284"/>
        </w:tabs>
        <w:rPr>
          <w:rFonts w:ascii="Arial" w:hAnsi="Arial" w:cs="Arial"/>
          <w:b/>
          <w:sz w:val="22"/>
          <w:szCs w:val="22"/>
        </w:rPr>
      </w:pPr>
      <w:r w:rsidRPr="005045BF">
        <w:rPr>
          <w:rFonts w:ascii="Arial" w:hAnsi="Arial" w:cs="Arial"/>
          <w:b/>
          <w:sz w:val="22"/>
          <w:szCs w:val="22"/>
        </w:rPr>
        <w:t xml:space="preserve">2.2. </w:t>
      </w:r>
      <w:r w:rsidR="005457C7" w:rsidRPr="005045BF">
        <w:rPr>
          <w:rFonts w:ascii="Arial" w:hAnsi="Arial" w:cs="Arial"/>
          <w:b/>
          <w:sz w:val="22"/>
          <w:szCs w:val="22"/>
        </w:rPr>
        <w:t>HORAS EXTRAS</w:t>
      </w:r>
      <w:r w:rsidR="00AD13AE" w:rsidRPr="005045BF">
        <w:rPr>
          <w:rFonts w:ascii="Arial" w:hAnsi="Arial" w:cs="Arial"/>
          <w:b/>
          <w:sz w:val="22"/>
          <w:szCs w:val="22"/>
        </w:rPr>
        <w:t xml:space="preserve"> </w:t>
      </w:r>
    </w:p>
    <w:p w14:paraId="174EAA7A" w14:textId="77777777" w:rsidR="008517AF" w:rsidRPr="005045BF" w:rsidRDefault="008517AF" w:rsidP="00675E4F">
      <w:pPr>
        <w:pStyle w:val="Default"/>
        <w:spacing w:line="168" w:lineRule="auto"/>
        <w:jc w:val="both"/>
        <w:rPr>
          <w:b/>
          <w:sz w:val="22"/>
          <w:szCs w:val="22"/>
        </w:rPr>
      </w:pPr>
    </w:p>
    <w:p w14:paraId="19B3568E" w14:textId="0A91671C" w:rsidR="00B168E3" w:rsidRPr="005045BF" w:rsidRDefault="00B54E34" w:rsidP="00CD27D2">
      <w:pPr>
        <w:pStyle w:val="Default"/>
        <w:jc w:val="both"/>
        <w:rPr>
          <w:color w:val="000000" w:themeColor="text1"/>
          <w:sz w:val="22"/>
          <w:szCs w:val="22"/>
        </w:rPr>
      </w:pPr>
      <w:r w:rsidRPr="005045BF">
        <w:rPr>
          <w:color w:val="000000" w:themeColor="text1"/>
          <w:sz w:val="22"/>
          <w:szCs w:val="22"/>
        </w:rPr>
        <w:t>L</w:t>
      </w:r>
      <w:r w:rsidR="008517AF" w:rsidRPr="005045BF">
        <w:rPr>
          <w:color w:val="000000" w:themeColor="text1"/>
          <w:sz w:val="22"/>
          <w:szCs w:val="22"/>
        </w:rPr>
        <w:t>a Directiva Presidencial 09 de 2018</w:t>
      </w:r>
      <w:r w:rsidRPr="005045BF">
        <w:rPr>
          <w:color w:val="000000" w:themeColor="text1"/>
          <w:sz w:val="22"/>
          <w:szCs w:val="22"/>
        </w:rPr>
        <w:t xml:space="preserve">, en el </w:t>
      </w:r>
      <w:r w:rsidR="008517AF" w:rsidRPr="005045BF">
        <w:rPr>
          <w:color w:val="000000" w:themeColor="text1"/>
          <w:sz w:val="22"/>
          <w:szCs w:val="22"/>
        </w:rPr>
        <w:t>numeral</w:t>
      </w:r>
      <w:r w:rsidRPr="005045BF">
        <w:rPr>
          <w:color w:val="000000" w:themeColor="text1"/>
          <w:sz w:val="22"/>
          <w:szCs w:val="22"/>
        </w:rPr>
        <w:t xml:space="preserve"> 1 </w:t>
      </w:r>
      <w:r w:rsidR="008517AF" w:rsidRPr="005045BF">
        <w:rPr>
          <w:color w:val="000000" w:themeColor="text1"/>
          <w:sz w:val="22"/>
          <w:szCs w:val="22"/>
        </w:rPr>
        <w:t>[subnumeral 1.7</w:t>
      </w:r>
      <w:r w:rsidRPr="005045BF">
        <w:rPr>
          <w:color w:val="000000" w:themeColor="text1"/>
          <w:sz w:val="22"/>
          <w:szCs w:val="22"/>
        </w:rPr>
        <w:t xml:space="preserve"> - Literal A</w:t>
      </w:r>
      <w:r w:rsidR="008517AF" w:rsidRPr="005045BF">
        <w:rPr>
          <w:color w:val="000000" w:themeColor="text1"/>
          <w:sz w:val="22"/>
          <w:szCs w:val="22"/>
        </w:rPr>
        <w:t>]</w:t>
      </w:r>
      <w:r w:rsidRPr="005045BF">
        <w:rPr>
          <w:color w:val="000000" w:themeColor="text1"/>
          <w:sz w:val="22"/>
          <w:szCs w:val="22"/>
        </w:rPr>
        <w:t>,</w:t>
      </w:r>
      <w:r w:rsidR="008517AF" w:rsidRPr="005045BF">
        <w:rPr>
          <w:color w:val="000000" w:themeColor="text1"/>
          <w:sz w:val="22"/>
          <w:szCs w:val="22"/>
        </w:rPr>
        <w:t xml:space="preserve"> definió: «Racionalizar las horas extras de todo el personal, ajustándolas a las estrictamente necesarias».</w:t>
      </w:r>
      <w:r w:rsidR="00CD27D2" w:rsidRPr="005045BF">
        <w:rPr>
          <w:color w:val="000000" w:themeColor="text1"/>
          <w:sz w:val="22"/>
          <w:szCs w:val="22"/>
        </w:rPr>
        <w:t xml:space="preserve"> </w:t>
      </w:r>
      <w:r w:rsidR="00B168E3" w:rsidRPr="005045BF">
        <w:rPr>
          <w:sz w:val="22"/>
          <w:szCs w:val="22"/>
        </w:rPr>
        <w:t xml:space="preserve">Al respecto, el Ministerio de Hacienda y Crédito Público ha definido controles para el manejo de las horas </w:t>
      </w:r>
      <w:r w:rsidR="00B23FF2" w:rsidRPr="005045BF">
        <w:rPr>
          <w:sz w:val="22"/>
          <w:szCs w:val="22"/>
        </w:rPr>
        <w:t>extras, para</w:t>
      </w:r>
      <w:r w:rsidR="00B168E3" w:rsidRPr="005045BF">
        <w:rPr>
          <w:sz w:val="22"/>
          <w:szCs w:val="22"/>
        </w:rPr>
        <w:t xml:space="preserve"> lo cual mediante el artículo 17 de la Resolución Interna 4264 de 2014</w:t>
      </w:r>
      <w:r w:rsidR="00B168E3" w:rsidRPr="005045BF">
        <w:rPr>
          <w:rStyle w:val="Refdenotaalpie"/>
          <w:sz w:val="22"/>
          <w:szCs w:val="22"/>
        </w:rPr>
        <w:footnoteReference w:id="3"/>
      </w:r>
      <w:r w:rsidR="00B168E3" w:rsidRPr="005045BF">
        <w:rPr>
          <w:sz w:val="22"/>
          <w:szCs w:val="22"/>
        </w:rPr>
        <w:t xml:space="preserve">, determinó entre otros, los siguientes aspectos: </w:t>
      </w:r>
    </w:p>
    <w:p w14:paraId="40BC51EE" w14:textId="77777777" w:rsidR="00B168E3" w:rsidRPr="005045BF" w:rsidRDefault="00B168E3" w:rsidP="00B168E3">
      <w:pPr>
        <w:pStyle w:val="Default"/>
        <w:numPr>
          <w:ilvl w:val="0"/>
          <w:numId w:val="3"/>
        </w:numPr>
        <w:spacing w:after="120"/>
        <w:ind w:left="357" w:hanging="357"/>
        <w:jc w:val="both"/>
        <w:rPr>
          <w:sz w:val="22"/>
          <w:szCs w:val="22"/>
        </w:rPr>
      </w:pPr>
      <w:r w:rsidRPr="005045BF">
        <w:rPr>
          <w:sz w:val="22"/>
          <w:szCs w:val="22"/>
        </w:rPr>
        <w:lastRenderedPageBreak/>
        <w:t>Cada Jefe de dependencia que requiera el desempeño de horas extras para el personal bajo su cargo, presentará en la primera semana de febrero de cada año, ante el Director(a) Administrativo(a) una solicitud donde exprese los cargos que autoricen para laborar horas extras durante el año, número de horas que se autoriza a cada uno de los funcionarios, mes a mes y las actividades que desarrollara cada uno.</w:t>
      </w:r>
    </w:p>
    <w:p w14:paraId="139FE419" w14:textId="77777777" w:rsidR="00B168E3" w:rsidRPr="005045BF" w:rsidRDefault="00B168E3" w:rsidP="00B168E3">
      <w:pPr>
        <w:pStyle w:val="Default"/>
        <w:numPr>
          <w:ilvl w:val="0"/>
          <w:numId w:val="3"/>
        </w:numPr>
        <w:spacing w:after="120"/>
        <w:ind w:left="357" w:hanging="357"/>
        <w:jc w:val="both"/>
        <w:rPr>
          <w:sz w:val="22"/>
          <w:szCs w:val="22"/>
        </w:rPr>
      </w:pPr>
      <w:r w:rsidRPr="005045BF">
        <w:rPr>
          <w:sz w:val="22"/>
          <w:szCs w:val="22"/>
        </w:rPr>
        <w:t xml:space="preserve">El Director (a) Administrativo(a) autorizará las horas extras para la anualidad. </w:t>
      </w:r>
    </w:p>
    <w:p w14:paraId="6EC579B2" w14:textId="77777777" w:rsidR="001E6549" w:rsidRPr="005045BF" w:rsidRDefault="001E6549" w:rsidP="00675E4F">
      <w:pPr>
        <w:pStyle w:val="Default"/>
        <w:spacing w:line="168" w:lineRule="auto"/>
        <w:jc w:val="both"/>
        <w:rPr>
          <w:color w:val="000000" w:themeColor="text1"/>
          <w:sz w:val="22"/>
          <w:szCs w:val="22"/>
        </w:rPr>
      </w:pPr>
    </w:p>
    <w:p w14:paraId="7FABE47A" w14:textId="48AE6A27" w:rsidR="00B803DE" w:rsidRPr="005045BF" w:rsidRDefault="00B803DE" w:rsidP="00EE6583">
      <w:pPr>
        <w:pStyle w:val="Default"/>
        <w:jc w:val="both"/>
        <w:rPr>
          <w:sz w:val="22"/>
          <w:szCs w:val="22"/>
        </w:rPr>
      </w:pPr>
      <w:r w:rsidRPr="005045BF">
        <w:rPr>
          <w:color w:val="000000" w:themeColor="text1"/>
          <w:sz w:val="22"/>
          <w:szCs w:val="22"/>
        </w:rPr>
        <w:t xml:space="preserve">De conformidad con lo anterior, </w:t>
      </w:r>
      <w:r w:rsidR="00416067" w:rsidRPr="005045BF">
        <w:rPr>
          <w:color w:val="000000" w:themeColor="text1"/>
          <w:sz w:val="22"/>
          <w:szCs w:val="22"/>
        </w:rPr>
        <w:t xml:space="preserve">este </w:t>
      </w:r>
      <w:r w:rsidR="00EE6583" w:rsidRPr="005045BF">
        <w:rPr>
          <w:color w:val="000000" w:themeColor="text1"/>
          <w:sz w:val="22"/>
          <w:szCs w:val="22"/>
        </w:rPr>
        <w:t xml:space="preserve">Ministerio </w:t>
      </w:r>
      <w:r w:rsidR="00A5400A" w:rsidRPr="005045BF">
        <w:rPr>
          <w:sz w:val="22"/>
          <w:szCs w:val="22"/>
        </w:rPr>
        <w:t xml:space="preserve">para </w:t>
      </w:r>
      <w:r w:rsidR="00EE6583" w:rsidRPr="005045BF">
        <w:rPr>
          <w:sz w:val="22"/>
          <w:szCs w:val="22"/>
        </w:rPr>
        <w:t xml:space="preserve">la vigencia 2020 </w:t>
      </w:r>
      <w:r w:rsidR="00434181" w:rsidRPr="005045BF">
        <w:rPr>
          <w:sz w:val="22"/>
          <w:szCs w:val="22"/>
        </w:rPr>
        <w:t xml:space="preserve">autorizó </w:t>
      </w:r>
      <w:r w:rsidR="00EE6583" w:rsidRPr="005045BF">
        <w:rPr>
          <w:sz w:val="22"/>
          <w:szCs w:val="22"/>
        </w:rPr>
        <w:t>el desarrollo de labores en tiempo suplementario para 54 funcionarios, significando el 8% del total de la planta de personal</w:t>
      </w:r>
      <w:r w:rsidR="00174753" w:rsidRPr="005045BF">
        <w:rPr>
          <w:sz w:val="22"/>
          <w:szCs w:val="22"/>
        </w:rPr>
        <w:t xml:space="preserve">. </w:t>
      </w:r>
      <w:r w:rsidR="00A94B90" w:rsidRPr="005045BF">
        <w:rPr>
          <w:sz w:val="22"/>
          <w:szCs w:val="22"/>
        </w:rPr>
        <w:t xml:space="preserve">Para la vigencia actual, la mayor parte de los funcionarios se les autorizó reconocer en dinero hasta </w:t>
      </w:r>
      <w:r w:rsidR="00065C40" w:rsidRPr="005045BF">
        <w:rPr>
          <w:sz w:val="22"/>
          <w:szCs w:val="22"/>
        </w:rPr>
        <w:t xml:space="preserve">40 horas </w:t>
      </w:r>
      <w:r w:rsidR="00A94B90" w:rsidRPr="005045BF">
        <w:rPr>
          <w:sz w:val="22"/>
          <w:szCs w:val="22"/>
        </w:rPr>
        <w:t>extras mensuales. Para dos funcionari</w:t>
      </w:r>
      <w:r w:rsidR="00B21436">
        <w:rPr>
          <w:sz w:val="22"/>
          <w:szCs w:val="22"/>
        </w:rPr>
        <w:t>a</w:t>
      </w:r>
      <w:r w:rsidR="00A94B90" w:rsidRPr="005045BF">
        <w:rPr>
          <w:sz w:val="22"/>
          <w:szCs w:val="22"/>
        </w:rPr>
        <w:t xml:space="preserve">s que </w:t>
      </w:r>
      <w:r w:rsidR="00EE6583" w:rsidRPr="005045BF">
        <w:rPr>
          <w:sz w:val="22"/>
          <w:szCs w:val="22"/>
        </w:rPr>
        <w:t>se desempeñan como secretari</w:t>
      </w:r>
      <w:r w:rsidR="00B21436">
        <w:rPr>
          <w:sz w:val="22"/>
          <w:szCs w:val="22"/>
        </w:rPr>
        <w:t>a</w:t>
      </w:r>
      <w:r w:rsidR="00EE6583" w:rsidRPr="005045BF">
        <w:rPr>
          <w:sz w:val="22"/>
          <w:szCs w:val="22"/>
        </w:rPr>
        <w:t xml:space="preserve">s del Despacho del Ministro y la Secretaría General, </w:t>
      </w:r>
      <w:r w:rsidR="00A94B90" w:rsidRPr="005045BF">
        <w:rPr>
          <w:sz w:val="22"/>
          <w:szCs w:val="22"/>
        </w:rPr>
        <w:t>s</w:t>
      </w:r>
      <w:r w:rsidR="00EE6583" w:rsidRPr="005045BF">
        <w:rPr>
          <w:sz w:val="22"/>
          <w:szCs w:val="22"/>
        </w:rPr>
        <w:t>e les autorizó</w:t>
      </w:r>
      <w:r w:rsidR="00174753" w:rsidRPr="005045BF">
        <w:rPr>
          <w:sz w:val="22"/>
          <w:szCs w:val="22"/>
        </w:rPr>
        <w:t xml:space="preserve"> 60 y 50 horas respectivamente, </w:t>
      </w:r>
      <w:r w:rsidR="00416067" w:rsidRPr="005045BF">
        <w:rPr>
          <w:sz w:val="22"/>
          <w:szCs w:val="22"/>
        </w:rPr>
        <w:t xml:space="preserve">debido a las múltiples actividades desarrolladas en </w:t>
      </w:r>
      <w:r w:rsidR="00434181">
        <w:rPr>
          <w:sz w:val="22"/>
          <w:szCs w:val="22"/>
        </w:rPr>
        <w:t>las mencionadas á</w:t>
      </w:r>
      <w:r w:rsidR="00434181" w:rsidRPr="005045BF">
        <w:rPr>
          <w:sz w:val="22"/>
          <w:szCs w:val="22"/>
        </w:rPr>
        <w:t>reas</w:t>
      </w:r>
      <w:r w:rsidR="00434181">
        <w:rPr>
          <w:sz w:val="22"/>
          <w:szCs w:val="22"/>
        </w:rPr>
        <w:t>,</w:t>
      </w:r>
      <w:r w:rsidR="00416067" w:rsidRPr="005045BF">
        <w:rPr>
          <w:sz w:val="22"/>
          <w:szCs w:val="22"/>
        </w:rPr>
        <w:t xml:space="preserve"> </w:t>
      </w:r>
      <w:r w:rsidR="001620F5" w:rsidRPr="005045BF">
        <w:rPr>
          <w:sz w:val="22"/>
          <w:szCs w:val="22"/>
        </w:rPr>
        <w:t xml:space="preserve">las cuales </w:t>
      </w:r>
      <w:r w:rsidR="00416067" w:rsidRPr="005045BF">
        <w:rPr>
          <w:sz w:val="22"/>
          <w:szCs w:val="22"/>
        </w:rPr>
        <w:t>requiere</w:t>
      </w:r>
      <w:r w:rsidR="00434181">
        <w:rPr>
          <w:sz w:val="22"/>
          <w:szCs w:val="22"/>
        </w:rPr>
        <w:t>n</w:t>
      </w:r>
      <w:r w:rsidR="00416067" w:rsidRPr="005045BF">
        <w:rPr>
          <w:sz w:val="22"/>
          <w:szCs w:val="22"/>
        </w:rPr>
        <w:t xml:space="preserve"> del apoyo del personal administrativo</w:t>
      </w:r>
      <w:r w:rsidR="001620F5" w:rsidRPr="005045BF">
        <w:rPr>
          <w:sz w:val="22"/>
          <w:szCs w:val="22"/>
        </w:rPr>
        <w:t xml:space="preserve">. </w:t>
      </w:r>
    </w:p>
    <w:p w14:paraId="586D1566" w14:textId="77777777" w:rsidR="00B803DE" w:rsidRPr="005045BF" w:rsidRDefault="00B803DE" w:rsidP="00675E4F">
      <w:pPr>
        <w:pStyle w:val="Default"/>
        <w:spacing w:line="168" w:lineRule="auto"/>
        <w:jc w:val="both"/>
        <w:rPr>
          <w:sz w:val="22"/>
          <w:szCs w:val="22"/>
        </w:rPr>
      </w:pPr>
    </w:p>
    <w:p w14:paraId="09C1A5EB" w14:textId="375C8089" w:rsidR="00EE6583" w:rsidRPr="005045BF" w:rsidRDefault="001620F5" w:rsidP="00EE6583">
      <w:pPr>
        <w:pStyle w:val="Default"/>
        <w:jc w:val="both"/>
        <w:rPr>
          <w:sz w:val="22"/>
          <w:szCs w:val="22"/>
        </w:rPr>
      </w:pPr>
      <w:r w:rsidRPr="005045BF">
        <w:rPr>
          <w:sz w:val="22"/>
          <w:szCs w:val="22"/>
        </w:rPr>
        <w:t>A</w:t>
      </w:r>
      <w:r w:rsidR="00174753" w:rsidRPr="005045BF">
        <w:rPr>
          <w:sz w:val="22"/>
          <w:szCs w:val="22"/>
        </w:rPr>
        <w:t xml:space="preserve">sí mismo, se </w:t>
      </w:r>
      <w:r w:rsidR="00416067" w:rsidRPr="005045BF">
        <w:rPr>
          <w:sz w:val="22"/>
          <w:szCs w:val="22"/>
        </w:rPr>
        <w:t xml:space="preserve">aclara </w:t>
      </w:r>
      <w:r w:rsidR="00EE6583" w:rsidRPr="005045BF">
        <w:rPr>
          <w:sz w:val="22"/>
          <w:szCs w:val="22"/>
        </w:rPr>
        <w:t>que</w:t>
      </w:r>
      <w:r w:rsidR="00174753" w:rsidRPr="005045BF">
        <w:rPr>
          <w:sz w:val="22"/>
          <w:szCs w:val="22"/>
        </w:rPr>
        <w:t xml:space="preserve"> </w:t>
      </w:r>
      <w:r w:rsidR="00EE6583" w:rsidRPr="005045BF">
        <w:rPr>
          <w:sz w:val="22"/>
          <w:szCs w:val="22"/>
        </w:rPr>
        <w:t xml:space="preserve">para los funcionarios que ejerzan cargos de conductores, debido a las necesidades del servicio y las funciones especiales que </w:t>
      </w:r>
      <w:r w:rsidR="00653533">
        <w:rPr>
          <w:sz w:val="22"/>
          <w:szCs w:val="22"/>
        </w:rPr>
        <w:t>desarrollan</w:t>
      </w:r>
      <w:r w:rsidR="00EE6583" w:rsidRPr="005045BF">
        <w:rPr>
          <w:sz w:val="22"/>
          <w:szCs w:val="22"/>
        </w:rPr>
        <w:t>, la Ley permite que se autorice mensualmente</w:t>
      </w:r>
      <w:r w:rsidRPr="005045BF">
        <w:rPr>
          <w:sz w:val="22"/>
          <w:szCs w:val="22"/>
        </w:rPr>
        <w:t xml:space="preserve"> hasta </w:t>
      </w:r>
      <w:r w:rsidR="00EE6583" w:rsidRPr="005045BF">
        <w:rPr>
          <w:sz w:val="22"/>
          <w:szCs w:val="22"/>
        </w:rPr>
        <w:t xml:space="preserve">un total de 100 horas. </w:t>
      </w:r>
    </w:p>
    <w:p w14:paraId="262BC5C8" w14:textId="3DF01714" w:rsidR="00174753" w:rsidRPr="005045BF" w:rsidRDefault="00174753" w:rsidP="00EE6583">
      <w:pPr>
        <w:pStyle w:val="Default"/>
        <w:jc w:val="both"/>
        <w:rPr>
          <w:sz w:val="22"/>
          <w:szCs w:val="22"/>
        </w:rPr>
      </w:pPr>
    </w:p>
    <w:tbl>
      <w:tblPr>
        <w:tblStyle w:val="Tablaconcuadrcula1clara-nfasis1"/>
        <w:tblW w:w="0" w:type="auto"/>
        <w:jc w:val="center"/>
        <w:tblLook w:val="04A0" w:firstRow="1" w:lastRow="0" w:firstColumn="1" w:lastColumn="0" w:noHBand="0" w:noVBand="1"/>
      </w:tblPr>
      <w:tblGrid>
        <w:gridCol w:w="2294"/>
        <w:gridCol w:w="3883"/>
      </w:tblGrid>
      <w:tr w:rsidR="00F655F7" w:rsidRPr="005045BF" w14:paraId="715DBE59" w14:textId="77777777" w:rsidTr="00675E4F">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4F81BD" w:themeFill="accent1"/>
            <w:noWrap/>
            <w:vAlign w:val="center"/>
          </w:tcPr>
          <w:p w14:paraId="52FDE597" w14:textId="4EB5E1C7"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FFFFFF" w:themeColor="background1"/>
                <w:sz w:val="20"/>
                <w:szCs w:val="20"/>
              </w:rPr>
              <w:t>Autorización Horas Extras Vigencia 2020</w:t>
            </w:r>
          </w:p>
        </w:tc>
      </w:tr>
      <w:tr w:rsidR="00F655F7" w:rsidRPr="005045BF" w14:paraId="08E35842"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DBE5F1" w:themeFill="accent1" w:themeFillTint="33"/>
            <w:noWrap/>
            <w:vAlign w:val="center"/>
            <w:hideMark/>
          </w:tcPr>
          <w:p w14:paraId="6072063A" w14:textId="7404C51D"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Cantidad de Horas</w:t>
            </w:r>
          </w:p>
        </w:tc>
        <w:tc>
          <w:tcPr>
            <w:tcW w:w="0" w:type="auto"/>
            <w:shd w:val="clear" w:color="auto" w:fill="DBE5F1" w:themeFill="accent1" w:themeFillTint="33"/>
            <w:noWrap/>
            <w:vAlign w:val="center"/>
            <w:hideMark/>
          </w:tcPr>
          <w:p w14:paraId="1165C92C" w14:textId="760ADF9F"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Cantidad de Funcionarios Autorizados</w:t>
            </w:r>
          </w:p>
        </w:tc>
      </w:tr>
      <w:tr w:rsidR="00F655F7" w:rsidRPr="005045BF" w14:paraId="49BC92FE"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14BD8318" w14:textId="77777777"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40</w:t>
            </w:r>
          </w:p>
        </w:tc>
        <w:tc>
          <w:tcPr>
            <w:tcW w:w="0" w:type="auto"/>
            <w:noWrap/>
            <w:vAlign w:val="center"/>
            <w:hideMark/>
          </w:tcPr>
          <w:p w14:paraId="455ADC27" w14:textId="33F227B2"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w:t>
            </w:r>
            <w:r w:rsidR="00A5400A" w:rsidRPr="005045BF">
              <w:rPr>
                <w:rFonts w:ascii="Arial" w:hAnsi="Arial" w:cs="Arial"/>
                <w:color w:val="0F243E" w:themeColor="text2" w:themeShade="80"/>
                <w:sz w:val="20"/>
                <w:szCs w:val="20"/>
              </w:rPr>
              <w:t>2</w:t>
            </w:r>
          </w:p>
        </w:tc>
      </w:tr>
      <w:tr w:rsidR="00F655F7" w:rsidRPr="005045BF" w14:paraId="1121D3D6"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625FF768" w14:textId="77777777"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50</w:t>
            </w:r>
          </w:p>
        </w:tc>
        <w:tc>
          <w:tcPr>
            <w:tcW w:w="0" w:type="auto"/>
            <w:noWrap/>
            <w:vAlign w:val="center"/>
            <w:hideMark/>
          </w:tcPr>
          <w:p w14:paraId="16A34885" w14:textId="77777777"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F655F7" w:rsidRPr="005045BF" w14:paraId="21BFBFB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9C87116" w14:textId="77777777"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60</w:t>
            </w:r>
          </w:p>
        </w:tc>
        <w:tc>
          <w:tcPr>
            <w:tcW w:w="0" w:type="auto"/>
            <w:noWrap/>
            <w:vAlign w:val="center"/>
            <w:hideMark/>
          </w:tcPr>
          <w:p w14:paraId="79A7499B" w14:textId="77777777"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F655F7" w:rsidRPr="005045BF" w14:paraId="2FF5158D"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noWrap/>
            <w:vAlign w:val="center"/>
            <w:hideMark/>
          </w:tcPr>
          <w:p w14:paraId="542B7606" w14:textId="77777777"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100</w:t>
            </w:r>
          </w:p>
        </w:tc>
        <w:tc>
          <w:tcPr>
            <w:tcW w:w="0" w:type="auto"/>
            <w:tcBorders>
              <w:bottom w:val="double" w:sz="4" w:space="0" w:color="4F81BD" w:themeColor="accent1"/>
            </w:tcBorders>
            <w:noWrap/>
            <w:vAlign w:val="center"/>
            <w:hideMark/>
          </w:tcPr>
          <w:p w14:paraId="225B9F25" w14:textId="77777777"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w:t>
            </w:r>
          </w:p>
        </w:tc>
      </w:tr>
      <w:tr w:rsidR="00F655F7" w:rsidRPr="005045BF" w14:paraId="2840F251" w14:textId="77777777" w:rsidTr="00675E4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68488428" w14:textId="6784FDAD" w:rsidR="00F655F7" w:rsidRPr="005045BF" w:rsidRDefault="00F655F7" w:rsidP="00675E4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Total de Funcionarios</w:t>
            </w:r>
          </w:p>
        </w:tc>
        <w:tc>
          <w:tcPr>
            <w:tcW w:w="0" w:type="auto"/>
            <w:tcBorders>
              <w:top w:val="double" w:sz="4" w:space="0" w:color="4F81BD" w:themeColor="accent1"/>
              <w:bottom w:val="double" w:sz="4" w:space="0" w:color="4F81BD" w:themeColor="accent1"/>
            </w:tcBorders>
            <w:shd w:val="clear" w:color="auto" w:fill="DBE5F1" w:themeFill="accent1" w:themeFillTint="33"/>
            <w:noWrap/>
            <w:vAlign w:val="center"/>
            <w:hideMark/>
          </w:tcPr>
          <w:p w14:paraId="4102ECBD" w14:textId="00625DFF" w:rsidR="00F655F7" w:rsidRPr="005045BF" w:rsidRDefault="00F655F7" w:rsidP="00675E4F">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w:t>
            </w:r>
            <w:r w:rsidR="00A5400A" w:rsidRPr="005045BF">
              <w:rPr>
                <w:rFonts w:ascii="Arial" w:hAnsi="Arial" w:cs="Arial"/>
                <w:b/>
                <w:bCs/>
                <w:color w:val="0F243E" w:themeColor="text2" w:themeShade="80"/>
                <w:sz w:val="20"/>
                <w:szCs w:val="20"/>
              </w:rPr>
              <w:t>4</w:t>
            </w:r>
          </w:p>
        </w:tc>
      </w:tr>
    </w:tbl>
    <w:p w14:paraId="3EB22B7D" w14:textId="77777777" w:rsidR="00F655F7" w:rsidRPr="005045BF" w:rsidRDefault="00F655F7" w:rsidP="00EE6583">
      <w:pPr>
        <w:pStyle w:val="Default"/>
        <w:jc w:val="both"/>
        <w:rPr>
          <w:sz w:val="22"/>
          <w:szCs w:val="22"/>
        </w:rPr>
      </w:pPr>
    </w:p>
    <w:p w14:paraId="0CD28F12" w14:textId="2293C11B" w:rsidR="00D65E54" w:rsidRPr="005045BF" w:rsidRDefault="00416067" w:rsidP="00416067">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Con el propósito de corroborar la aplicación de dichos controles, </w:t>
      </w:r>
      <w:r w:rsidR="00D65E54" w:rsidRPr="005045BF">
        <w:rPr>
          <w:rFonts w:ascii="Arial" w:hAnsi="Arial" w:cs="Arial"/>
          <w:color w:val="000000" w:themeColor="text1"/>
          <w:sz w:val="22"/>
          <w:szCs w:val="22"/>
        </w:rPr>
        <w:t xml:space="preserve">se </w:t>
      </w:r>
      <w:r w:rsidR="00653533">
        <w:rPr>
          <w:rFonts w:ascii="Arial" w:hAnsi="Arial" w:cs="Arial"/>
          <w:color w:val="000000" w:themeColor="text1"/>
          <w:sz w:val="22"/>
          <w:szCs w:val="22"/>
        </w:rPr>
        <w:t xml:space="preserve">verificó </w:t>
      </w:r>
      <w:r w:rsidR="00D65E54" w:rsidRPr="005045BF">
        <w:rPr>
          <w:rFonts w:ascii="Arial" w:hAnsi="Arial" w:cs="Arial"/>
          <w:color w:val="000000" w:themeColor="text1"/>
          <w:sz w:val="22"/>
          <w:szCs w:val="22"/>
        </w:rPr>
        <w:t>el total de horas extras mensuales autorizadas para cada funcionario de este Ministerio</w:t>
      </w:r>
      <w:r w:rsidR="002F2EBC" w:rsidRPr="005045BF">
        <w:rPr>
          <w:rFonts w:ascii="Arial" w:hAnsi="Arial" w:cs="Arial"/>
          <w:color w:val="000000" w:themeColor="text1"/>
          <w:sz w:val="22"/>
          <w:szCs w:val="22"/>
        </w:rPr>
        <w:t>,</w:t>
      </w:r>
      <w:r w:rsidR="00B21436">
        <w:rPr>
          <w:rFonts w:ascii="Arial" w:hAnsi="Arial" w:cs="Arial"/>
          <w:color w:val="000000" w:themeColor="text1"/>
          <w:sz w:val="22"/>
          <w:szCs w:val="22"/>
        </w:rPr>
        <w:t xml:space="preserve"> </w:t>
      </w:r>
      <w:r w:rsidR="00653533">
        <w:rPr>
          <w:rFonts w:ascii="Arial" w:hAnsi="Arial" w:cs="Arial"/>
          <w:color w:val="000000" w:themeColor="text1"/>
          <w:sz w:val="22"/>
          <w:szCs w:val="22"/>
        </w:rPr>
        <w:t xml:space="preserve">constatando que, dicha autorización </w:t>
      </w:r>
      <w:r w:rsidR="00D65E54" w:rsidRPr="005045BF">
        <w:rPr>
          <w:rFonts w:ascii="Arial" w:hAnsi="Arial" w:cs="Arial"/>
          <w:color w:val="000000" w:themeColor="text1"/>
          <w:sz w:val="22"/>
          <w:szCs w:val="22"/>
        </w:rPr>
        <w:t xml:space="preserve">se efectuó contemplando los parámetros </w:t>
      </w:r>
      <w:r w:rsidR="002F2EBC" w:rsidRPr="005045BF">
        <w:rPr>
          <w:rFonts w:ascii="Arial" w:hAnsi="Arial" w:cs="Arial"/>
          <w:color w:val="000000" w:themeColor="text1"/>
          <w:sz w:val="22"/>
          <w:szCs w:val="22"/>
        </w:rPr>
        <w:t xml:space="preserve">y criterios señalados </w:t>
      </w:r>
      <w:r w:rsidR="00D65E54" w:rsidRPr="005045BF">
        <w:rPr>
          <w:rFonts w:ascii="Arial" w:hAnsi="Arial" w:cs="Arial"/>
          <w:color w:val="000000" w:themeColor="text1"/>
          <w:sz w:val="22"/>
          <w:szCs w:val="22"/>
        </w:rPr>
        <w:t xml:space="preserve">en </w:t>
      </w:r>
      <w:r w:rsidR="00A668A4" w:rsidRPr="005045BF">
        <w:rPr>
          <w:rFonts w:ascii="Arial" w:hAnsi="Arial" w:cs="Arial"/>
          <w:color w:val="000000" w:themeColor="text1"/>
          <w:sz w:val="22"/>
          <w:szCs w:val="22"/>
        </w:rPr>
        <w:t>el artículo 14 del Decreto 304 de 2020, fundamentado en el Decreto 1042 de 1978 y sus modifica</w:t>
      </w:r>
      <w:r w:rsidR="00B803DE" w:rsidRPr="005045BF">
        <w:rPr>
          <w:rFonts w:ascii="Arial" w:hAnsi="Arial" w:cs="Arial"/>
          <w:color w:val="000000" w:themeColor="text1"/>
          <w:sz w:val="22"/>
          <w:szCs w:val="22"/>
        </w:rPr>
        <w:t>torios</w:t>
      </w:r>
      <w:r w:rsidR="00A668A4" w:rsidRPr="005045BF">
        <w:rPr>
          <w:rFonts w:ascii="Arial" w:hAnsi="Arial" w:cs="Arial"/>
          <w:color w:val="000000" w:themeColor="text1"/>
          <w:sz w:val="22"/>
          <w:szCs w:val="22"/>
        </w:rPr>
        <w:t xml:space="preserve">. </w:t>
      </w:r>
    </w:p>
    <w:p w14:paraId="6CF9D3C8" w14:textId="77777777" w:rsidR="00D65E54" w:rsidRPr="005045BF" w:rsidRDefault="00D65E54" w:rsidP="00675E4F">
      <w:pPr>
        <w:pStyle w:val="Default"/>
        <w:spacing w:line="168" w:lineRule="auto"/>
        <w:jc w:val="both"/>
        <w:rPr>
          <w:color w:val="000000" w:themeColor="text1"/>
          <w:sz w:val="22"/>
          <w:szCs w:val="22"/>
        </w:rPr>
      </w:pPr>
    </w:p>
    <w:p w14:paraId="771CE611" w14:textId="5A7AFA45" w:rsidR="00416067" w:rsidRPr="005045BF" w:rsidRDefault="00410AF3" w:rsidP="00416067">
      <w:pPr>
        <w:jc w:val="both"/>
        <w:rPr>
          <w:rFonts w:ascii="Arial" w:hAnsi="Arial" w:cs="Arial"/>
          <w:sz w:val="22"/>
          <w:szCs w:val="22"/>
        </w:rPr>
      </w:pPr>
      <w:r w:rsidRPr="005045BF">
        <w:rPr>
          <w:rFonts w:ascii="Arial" w:hAnsi="Arial" w:cs="Arial"/>
          <w:color w:val="000000" w:themeColor="text1"/>
          <w:sz w:val="22"/>
          <w:szCs w:val="22"/>
        </w:rPr>
        <w:t xml:space="preserve">De igual forma, </w:t>
      </w:r>
      <w:r w:rsidR="00416067" w:rsidRPr="005045BF">
        <w:rPr>
          <w:rFonts w:ascii="Arial" w:hAnsi="Arial" w:cs="Arial"/>
          <w:color w:val="000000" w:themeColor="text1"/>
          <w:sz w:val="22"/>
          <w:szCs w:val="22"/>
        </w:rPr>
        <w:t xml:space="preserve">se cotejó el reporte de horas extras liquidadas </w:t>
      </w:r>
      <w:r w:rsidRPr="005045BF">
        <w:rPr>
          <w:rFonts w:ascii="Arial" w:hAnsi="Arial" w:cs="Arial"/>
          <w:color w:val="000000" w:themeColor="text1"/>
          <w:sz w:val="22"/>
          <w:szCs w:val="22"/>
        </w:rPr>
        <w:t>por cada funcionario para los</w:t>
      </w:r>
      <w:r w:rsidR="00416067" w:rsidRPr="005045BF">
        <w:rPr>
          <w:rFonts w:ascii="Arial" w:hAnsi="Arial" w:cs="Arial"/>
          <w:color w:val="000000" w:themeColor="text1"/>
          <w:sz w:val="22"/>
          <w:szCs w:val="22"/>
        </w:rPr>
        <w:t xml:space="preserve"> meses de enero, febrero y marzo de 2020 frente al reporte de autorización de horas extras para la vigencia 2020. De la anterior prueba, </w:t>
      </w:r>
      <w:r w:rsidR="00416067" w:rsidRPr="005045BF">
        <w:rPr>
          <w:rFonts w:ascii="Arial" w:hAnsi="Arial" w:cs="Arial"/>
          <w:sz w:val="22"/>
          <w:szCs w:val="22"/>
        </w:rPr>
        <w:t xml:space="preserve">se determinó que las horas laboradas y pagadas </w:t>
      </w:r>
      <w:r w:rsidR="001E6549" w:rsidRPr="005045BF">
        <w:rPr>
          <w:rFonts w:ascii="Arial" w:hAnsi="Arial" w:cs="Arial"/>
          <w:sz w:val="22"/>
          <w:szCs w:val="22"/>
        </w:rPr>
        <w:t>a los funcionarios de</w:t>
      </w:r>
      <w:r w:rsidRPr="005045BF">
        <w:rPr>
          <w:rFonts w:ascii="Arial" w:hAnsi="Arial" w:cs="Arial"/>
          <w:sz w:val="22"/>
          <w:szCs w:val="22"/>
        </w:rPr>
        <w:t xml:space="preserve">l Ministerio de Hacienda y Crédito Público, </w:t>
      </w:r>
      <w:r w:rsidR="00416067" w:rsidRPr="005045BF">
        <w:rPr>
          <w:rFonts w:ascii="Arial" w:hAnsi="Arial" w:cs="Arial"/>
          <w:sz w:val="22"/>
          <w:szCs w:val="22"/>
        </w:rPr>
        <w:t>no superaron los topes mensuales establecidos por la normatividad vigente y las directrices interna</w:t>
      </w:r>
      <w:r w:rsidR="001E6549" w:rsidRPr="005045BF">
        <w:rPr>
          <w:rFonts w:ascii="Arial" w:hAnsi="Arial" w:cs="Arial"/>
          <w:sz w:val="22"/>
          <w:szCs w:val="22"/>
        </w:rPr>
        <w:t>s</w:t>
      </w:r>
      <w:r w:rsidR="00416067" w:rsidRPr="005045BF">
        <w:rPr>
          <w:rFonts w:ascii="Arial" w:hAnsi="Arial" w:cs="Arial"/>
          <w:sz w:val="22"/>
          <w:szCs w:val="22"/>
        </w:rPr>
        <w:t xml:space="preserve">. </w:t>
      </w:r>
    </w:p>
    <w:p w14:paraId="2CFFFCAE" w14:textId="738D57E4" w:rsidR="00D65E54" w:rsidRPr="005045BF" w:rsidRDefault="00D65E54" w:rsidP="00675E4F">
      <w:pPr>
        <w:pStyle w:val="Default"/>
        <w:spacing w:line="168" w:lineRule="auto"/>
        <w:jc w:val="both"/>
        <w:rPr>
          <w:sz w:val="22"/>
          <w:szCs w:val="22"/>
        </w:rPr>
      </w:pPr>
    </w:p>
    <w:p w14:paraId="217FE9B8" w14:textId="16406F20" w:rsidR="005317F0" w:rsidRPr="005045BF" w:rsidRDefault="00B803DE" w:rsidP="005317F0">
      <w:pPr>
        <w:pStyle w:val="Default"/>
        <w:jc w:val="both"/>
        <w:rPr>
          <w:rFonts w:eastAsia="Times New Roman"/>
          <w:sz w:val="22"/>
          <w:szCs w:val="22"/>
          <w:lang w:eastAsia="es-CO"/>
        </w:rPr>
      </w:pPr>
      <w:r w:rsidRPr="005045BF">
        <w:rPr>
          <w:rFonts w:eastAsia="Times New Roman"/>
          <w:sz w:val="22"/>
          <w:szCs w:val="22"/>
          <w:lang w:eastAsia="es-CO"/>
        </w:rPr>
        <w:t xml:space="preserve">De acuerdo con, la información suministrada por el Grupo de Administración de Personal y </w:t>
      </w:r>
      <w:r w:rsidR="005A0C66" w:rsidRPr="005045BF">
        <w:rPr>
          <w:rFonts w:eastAsia="Times New Roman"/>
          <w:sz w:val="22"/>
          <w:szCs w:val="22"/>
          <w:lang w:eastAsia="es-CO"/>
        </w:rPr>
        <w:t>c</w:t>
      </w:r>
      <w:r w:rsidR="005317F0" w:rsidRPr="005045BF">
        <w:rPr>
          <w:rFonts w:eastAsia="Times New Roman"/>
          <w:sz w:val="22"/>
          <w:szCs w:val="22"/>
          <w:lang w:eastAsia="es-CO"/>
        </w:rPr>
        <w:t>on el fin de confirmar la aplicación de la</w:t>
      </w:r>
      <w:r w:rsidRPr="005045BF">
        <w:rPr>
          <w:rFonts w:eastAsia="Times New Roman"/>
          <w:sz w:val="22"/>
          <w:szCs w:val="22"/>
          <w:lang w:eastAsia="es-CO"/>
        </w:rPr>
        <w:t>s</w:t>
      </w:r>
      <w:r w:rsidR="005317F0" w:rsidRPr="005045BF">
        <w:rPr>
          <w:rFonts w:eastAsia="Times New Roman"/>
          <w:sz w:val="22"/>
          <w:szCs w:val="22"/>
          <w:lang w:eastAsia="es-CO"/>
        </w:rPr>
        <w:t xml:space="preserve"> medida</w:t>
      </w:r>
      <w:r w:rsidRPr="005045BF">
        <w:rPr>
          <w:rFonts w:eastAsia="Times New Roman"/>
          <w:sz w:val="22"/>
          <w:szCs w:val="22"/>
          <w:lang w:eastAsia="es-CO"/>
        </w:rPr>
        <w:t>s</w:t>
      </w:r>
      <w:r w:rsidR="005317F0" w:rsidRPr="005045BF">
        <w:rPr>
          <w:rFonts w:eastAsia="Times New Roman"/>
          <w:sz w:val="22"/>
          <w:szCs w:val="22"/>
          <w:lang w:eastAsia="es-CO"/>
        </w:rPr>
        <w:t xml:space="preserve"> de austeridad del gasto </w:t>
      </w:r>
      <w:r w:rsidR="005A0C66" w:rsidRPr="005045BF">
        <w:rPr>
          <w:rFonts w:eastAsia="Times New Roman"/>
          <w:sz w:val="22"/>
          <w:szCs w:val="22"/>
          <w:lang w:eastAsia="es-CO"/>
        </w:rPr>
        <w:t>contemplada</w:t>
      </w:r>
      <w:r w:rsidRPr="005045BF">
        <w:rPr>
          <w:rFonts w:eastAsia="Times New Roman"/>
          <w:sz w:val="22"/>
          <w:szCs w:val="22"/>
          <w:lang w:eastAsia="es-CO"/>
        </w:rPr>
        <w:t>s</w:t>
      </w:r>
      <w:r w:rsidR="005A0C66" w:rsidRPr="005045BF">
        <w:rPr>
          <w:rFonts w:eastAsia="Times New Roman"/>
          <w:sz w:val="22"/>
          <w:szCs w:val="22"/>
          <w:lang w:eastAsia="es-CO"/>
        </w:rPr>
        <w:t xml:space="preserve"> en el Directiva</w:t>
      </w:r>
      <w:r w:rsidRPr="005045BF">
        <w:rPr>
          <w:rFonts w:eastAsia="Times New Roman"/>
          <w:sz w:val="22"/>
          <w:szCs w:val="22"/>
          <w:lang w:eastAsia="es-CO"/>
        </w:rPr>
        <w:t xml:space="preserve"> Presidencial 09 de 2018</w:t>
      </w:r>
      <w:r w:rsidR="005317F0" w:rsidRPr="005045BF">
        <w:rPr>
          <w:rFonts w:eastAsia="Times New Roman"/>
          <w:sz w:val="22"/>
          <w:szCs w:val="22"/>
          <w:lang w:eastAsia="es-CO"/>
        </w:rPr>
        <w:t>, se comparó</w:t>
      </w:r>
      <w:r w:rsidR="005A0C66" w:rsidRPr="005045BF">
        <w:rPr>
          <w:rFonts w:eastAsia="Times New Roman"/>
          <w:sz w:val="22"/>
          <w:szCs w:val="22"/>
          <w:lang w:eastAsia="es-CO"/>
        </w:rPr>
        <w:t xml:space="preserve"> </w:t>
      </w:r>
      <w:r w:rsidR="005317F0" w:rsidRPr="005045BF">
        <w:rPr>
          <w:rFonts w:eastAsia="Times New Roman"/>
          <w:sz w:val="22"/>
          <w:szCs w:val="22"/>
          <w:lang w:eastAsia="es-CO"/>
        </w:rPr>
        <w:t xml:space="preserve">el número de horas extras laboradas en </w:t>
      </w:r>
      <w:r w:rsidR="006028DC" w:rsidRPr="005045BF">
        <w:rPr>
          <w:rFonts w:eastAsia="Times New Roman"/>
          <w:sz w:val="22"/>
          <w:szCs w:val="22"/>
          <w:lang w:eastAsia="es-CO"/>
        </w:rPr>
        <w:t xml:space="preserve">enero, febrero </w:t>
      </w:r>
      <w:r w:rsidR="005317F0" w:rsidRPr="005045BF">
        <w:rPr>
          <w:rFonts w:eastAsia="Times New Roman"/>
          <w:sz w:val="22"/>
          <w:szCs w:val="22"/>
          <w:lang w:eastAsia="es-CO"/>
        </w:rPr>
        <w:t xml:space="preserve">y </w:t>
      </w:r>
      <w:r w:rsidR="006028DC" w:rsidRPr="005045BF">
        <w:rPr>
          <w:rFonts w:eastAsia="Times New Roman"/>
          <w:sz w:val="22"/>
          <w:szCs w:val="22"/>
          <w:lang w:eastAsia="es-CO"/>
        </w:rPr>
        <w:t>marzo</w:t>
      </w:r>
      <w:r w:rsidR="005A0C66" w:rsidRPr="005045BF">
        <w:rPr>
          <w:rFonts w:eastAsia="Times New Roman"/>
          <w:sz w:val="22"/>
          <w:szCs w:val="22"/>
          <w:lang w:eastAsia="es-CO"/>
        </w:rPr>
        <w:t xml:space="preserve"> </w:t>
      </w:r>
      <w:r w:rsidR="006028DC" w:rsidRPr="005045BF">
        <w:rPr>
          <w:rFonts w:eastAsia="Times New Roman"/>
          <w:sz w:val="22"/>
          <w:szCs w:val="22"/>
          <w:lang w:eastAsia="es-CO"/>
        </w:rPr>
        <w:t>d</w:t>
      </w:r>
      <w:r w:rsidR="005317F0" w:rsidRPr="005045BF">
        <w:rPr>
          <w:rFonts w:eastAsia="Times New Roman"/>
          <w:sz w:val="22"/>
          <w:szCs w:val="22"/>
          <w:lang w:eastAsia="es-CO"/>
        </w:rPr>
        <w:t>el año 20</w:t>
      </w:r>
      <w:r w:rsidR="006028DC" w:rsidRPr="005045BF">
        <w:rPr>
          <w:rFonts w:eastAsia="Times New Roman"/>
          <w:sz w:val="22"/>
          <w:szCs w:val="22"/>
          <w:lang w:eastAsia="es-CO"/>
        </w:rPr>
        <w:t>20</w:t>
      </w:r>
      <w:r w:rsidR="005317F0" w:rsidRPr="005045BF">
        <w:rPr>
          <w:rFonts w:eastAsia="Times New Roman"/>
          <w:sz w:val="22"/>
          <w:szCs w:val="22"/>
          <w:lang w:eastAsia="es-CO"/>
        </w:rPr>
        <w:t>, frente a iguales</w:t>
      </w:r>
      <w:r w:rsidR="005A0C66" w:rsidRPr="005045BF">
        <w:rPr>
          <w:rFonts w:eastAsia="Times New Roman"/>
          <w:sz w:val="22"/>
          <w:szCs w:val="22"/>
          <w:lang w:eastAsia="es-CO"/>
        </w:rPr>
        <w:t xml:space="preserve"> </w:t>
      </w:r>
      <w:r w:rsidR="005317F0" w:rsidRPr="005045BF">
        <w:rPr>
          <w:rFonts w:eastAsia="Times New Roman"/>
          <w:sz w:val="22"/>
          <w:szCs w:val="22"/>
          <w:lang w:eastAsia="es-CO"/>
        </w:rPr>
        <w:t xml:space="preserve">periodos de la vigencia </w:t>
      </w:r>
      <w:r w:rsidRPr="005045BF">
        <w:rPr>
          <w:rFonts w:eastAsia="Times New Roman"/>
          <w:sz w:val="22"/>
          <w:szCs w:val="22"/>
          <w:lang w:eastAsia="es-CO"/>
        </w:rPr>
        <w:t>2019.</w:t>
      </w:r>
      <w:r w:rsidR="005317F0" w:rsidRPr="005045BF">
        <w:rPr>
          <w:rFonts w:eastAsia="Times New Roman"/>
          <w:sz w:val="22"/>
          <w:szCs w:val="22"/>
          <w:lang w:eastAsia="es-CO"/>
        </w:rPr>
        <w:t xml:space="preserve"> El resultado se presenta </w:t>
      </w:r>
      <w:r w:rsidRPr="005045BF">
        <w:rPr>
          <w:rFonts w:eastAsia="Times New Roman"/>
          <w:sz w:val="22"/>
          <w:szCs w:val="22"/>
          <w:lang w:eastAsia="es-CO"/>
        </w:rPr>
        <w:t>a continuación:</w:t>
      </w:r>
    </w:p>
    <w:p w14:paraId="40F3E0A3" w14:textId="77777777" w:rsidR="00675E4F" w:rsidRPr="005045BF" w:rsidRDefault="00675E4F" w:rsidP="005317F0">
      <w:pPr>
        <w:pStyle w:val="Default"/>
        <w:jc w:val="both"/>
        <w:rPr>
          <w:color w:val="000000" w:themeColor="text1"/>
          <w:sz w:val="22"/>
          <w:szCs w:val="22"/>
        </w:rPr>
      </w:pPr>
    </w:p>
    <w:tbl>
      <w:tblPr>
        <w:tblStyle w:val="Tablaconcuadrcula1clara-nfasis1"/>
        <w:tblW w:w="9776" w:type="dxa"/>
        <w:tblLayout w:type="fixed"/>
        <w:tblLook w:val="04A0" w:firstRow="1" w:lastRow="0" w:firstColumn="1" w:lastColumn="0" w:noHBand="0" w:noVBand="1"/>
      </w:tblPr>
      <w:tblGrid>
        <w:gridCol w:w="2972"/>
        <w:gridCol w:w="709"/>
        <w:gridCol w:w="709"/>
        <w:gridCol w:w="708"/>
        <w:gridCol w:w="709"/>
        <w:gridCol w:w="709"/>
        <w:gridCol w:w="709"/>
        <w:gridCol w:w="850"/>
        <w:gridCol w:w="851"/>
        <w:gridCol w:w="850"/>
      </w:tblGrid>
      <w:tr w:rsidR="00D15567" w:rsidRPr="005045BF" w14:paraId="3345484F" w14:textId="77777777" w:rsidTr="00675E4F">
        <w:trPr>
          <w:cnfStyle w:val="100000000000" w:firstRow="1" w:lastRow="0" w:firstColumn="0" w:lastColumn="0" w:oddVBand="0" w:evenVBand="0" w:oddHBand="0" w:evenHBand="0" w:firstRowFirstColumn="0" w:firstRowLastColumn="0" w:lastRowFirstColumn="0" w:lastRowLastColumn="0"/>
          <w:cantSplit/>
          <w:trHeight w:val="517"/>
          <w:tblHeader/>
        </w:trPr>
        <w:tc>
          <w:tcPr>
            <w:cnfStyle w:val="001000000000" w:firstRow="0" w:lastRow="0" w:firstColumn="1" w:lastColumn="0" w:oddVBand="0" w:evenVBand="0" w:oddHBand="0" w:evenHBand="0" w:firstRowFirstColumn="0" w:firstRowLastColumn="0" w:lastRowFirstColumn="0" w:lastRowLastColumn="0"/>
            <w:tcW w:w="2972" w:type="dxa"/>
            <w:vMerge w:val="restart"/>
            <w:shd w:val="clear" w:color="auto" w:fill="4F81BD" w:themeFill="accent1"/>
            <w:vAlign w:val="center"/>
            <w:hideMark/>
          </w:tcPr>
          <w:p w14:paraId="29CCD904" w14:textId="77777777" w:rsidR="001E280D" w:rsidRPr="005045BF" w:rsidRDefault="001E280D" w:rsidP="00675E4F">
            <w:pPr>
              <w:widowControl w:val="0"/>
              <w:jc w:val="center"/>
              <w:rPr>
                <w:rFonts w:ascii="Arial" w:hAnsi="Arial" w:cs="Arial"/>
                <w:b w:val="0"/>
                <w:bCs w:val="0"/>
                <w:color w:val="FFFFFF" w:themeColor="background1"/>
                <w:sz w:val="18"/>
                <w:szCs w:val="18"/>
              </w:rPr>
            </w:pPr>
            <w:r w:rsidRPr="005045BF">
              <w:rPr>
                <w:rFonts w:ascii="Arial" w:hAnsi="Arial" w:cs="Arial"/>
                <w:b w:val="0"/>
                <w:bCs w:val="0"/>
                <w:color w:val="FFFFFF" w:themeColor="background1"/>
                <w:sz w:val="18"/>
                <w:szCs w:val="18"/>
              </w:rPr>
              <w:t xml:space="preserve">Dependencia </w:t>
            </w:r>
          </w:p>
        </w:tc>
        <w:tc>
          <w:tcPr>
            <w:tcW w:w="2126" w:type="dxa"/>
            <w:gridSpan w:val="3"/>
            <w:vMerge w:val="restart"/>
            <w:shd w:val="clear" w:color="auto" w:fill="4F81BD" w:themeFill="accent1"/>
            <w:vAlign w:val="center"/>
            <w:hideMark/>
          </w:tcPr>
          <w:p w14:paraId="32AE28F9" w14:textId="036565A6" w:rsidR="001E280D" w:rsidRPr="005045BF" w:rsidRDefault="00D016BE"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5045BF">
              <w:rPr>
                <w:rFonts w:ascii="Arial" w:hAnsi="Arial" w:cs="Arial"/>
                <w:b w:val="0"/>
                <w:bCs w:val="0"/>
                <w:color w:val="FFFFFF" w:themeColor="background1"/>
                <w:sz w:val="18"/>
                <w:szCs w:val="18"/>
              </w:rPr>
              <w:t>I</w:t>
            </w:r>
            <w:r w:rsidR="001F2FAA" w:rsidRPr="005045BF">
              <w:rPr>
                <w:rFonts w:ascii="Arial" w:hAnsi="Arial" w:cs="Arial"/>
                <w:b w:val="0"/>
                <w:bCs w:val="0"/>
                <w:color w:val="FFFFFF" w:themeColor="background1"/>
                <w:sz w:val="18"/>
                <w:szCs w:val="18"/>
              </w:rPr>
              <w:t xml:space="preserve"> </w:t>
            </w:r>
            <w:r w:rsidR="001E280D" w:rsidRPr="005045BF">
              <w:rPr>
                <w:rFonts w:ascii="Arial" w:hAnsi="Arial" w:cs="Arial"/>
                <w:b w:val="0"/>
                <w:bCs w:val="0"/>
                <w:color w:val="FFFFFF" w:themeColor="background1"/>
                <w:sz w:val="18"/>
                <w:szCs w:val="18"/>
              </w:rPr>
              <w:t>Trimestre de 20</w:t>
            </w:r>
            <w:r w:rsidR="001F2FAA" w:rsidRPr="005045BF">
              <w:rPr>
                <w:rFonts w:ascii="Arial" w:hAnsi="Arial" w:cs="Arial"/>
                <w:b w:val="0"/>
                <w:bCs w:val="0"/>
                <w:color w:val="FFFFFF" w:themeColor="background1"/>
                <w:sz w:val="18"/>
                <w:szCs w:val="18"/>
              </w:rPr>
              <w:t>20</w:t>
            </w:r>
          </w:p>
        </w:tc>
        <w:tc>
          <w:tcPr>
            <w:tcW w:w="2127" w:type="dxa"/>
            <w:gridSpan w:val="3"/>
            <w:vMerge w:val="restart"/>
            <w:shd w:val="clear" w:color="auto" w:fill="4F81BD" w:themeFill="accent1"/>
            <w:vAlign w:val="center"/>
            <w:hideMark/>
          </w:tcPr>
          <w:p w14:paraId="5E66ACFA" w14:textId="1B7E1C50" w:rsidR="001E280D" w:rsidRPr="005045BF" w:rsidRDefault="00D016BE"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5045BF">
              <w:rPr>
                <w:rFonts w:ascii="Arial" w:hAnsi="Arial" w:cs="Arial"/>
                <w:b w:val="0"/>
                <w:bCs w:val="0"/>
                <w:color w:val="FFFFFF" w:themeColor="background1"/>
                <w:sz w:val="18"/>
                <w:szCs w:val="18"/>
              </w:rPr>
              <w:t>I</w:t>
            </w:r>
            <w:r w:rsidR="005950C9" w:rsidRPr="005045BF">
              <w:rPr>
                <w:rFonts w:ascii="Arial" w:hAnsi="Arial" w:cs="Arial"/>
                <w:b w:val="0"/>
                <w:bCs w:val="0"/>
                <w:color w:val="FFFFFF" w:themeColor="background1"/>
                <w:sz w:val="18"/>
                <w:szCs w:val="18"/>
              </w:rPr>
              <w:t xml:space="preserve"> </w:t>
            </w:r>
            <w:r w:rsidR="001E280D" w:rsidRPr="005045BF">
              <w:rPr>
                <w:rFonts w:ascii="Arial" w:hAnsi="Arial" w:cs="Arial"/>
                <w:b w:val="0"/>
                <w:bCs w:val="0"/>
                <w:color w:val="FFFFFF" w:themeColor="background1"/>
                <w:sz w:val="18"/>
                <w:szCs w:val="18"/>
              </w:rPr>
              <w:t>Trimestre de 201</w:t>
            </w:r>
            <w:r w:rsidR="001F2FAA" w:rsidRPr="005045BF">
              <w:rPr>
                <w:rFonts w:ascii="Arial" w:hAnsi="Arial" w:cs="Arial"/>
                <w:b w:val="0"/>
                <w:bCs w:val="0"/>
                <w:color w:val="FFFFFF" w:themeColor="background1"/>
                <w:sz w:val="18"/>
                <w:szCs w:val="18"/>
              </w:rPr>
              <w:t>9</w:t>
            </w:r>
          </w:p>
        </w:tc>
        <w:tc>
          <w:tcPr>
            <w:tcW w:w="2551" w:type="dxa"/>
            <w:gridSpan w:val="3"/>
            <w:vMerge w:val="restart"/>
            <w:shd w:val="clear" w:color="auto" w:fill="4F81BD" w:themeFill="accent1"/>
            <w:vAlign w:val="center"/>
            <w:hideMark/>
          </w:tcPr>
          <w:p w14:paraId="2406C877" w14:textId="77777777" w:rsidR="001E280D" w:rsidRPr="005045BF" w:rsidRDefault="001E280D"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5045BF">
              <w:rPr>
                <w:rFonts w:ascii="Arial" w:hAnsi="Arial" w:cs="Arial"/>
                <w:b w:val="0"/>
                <w:bCs w:val="0"/>
                <w:color w:val="FFFFFF" w:themeColor="background1"/>
                <w:sz w:val="18"/>
                <w:szCs w:val="18"/>
              </w:rPr>
              <w:t>Variaciones</w:t>
            </w:r>
          </w:p>
        </w:tc>
      </w:tr>
      <w:tr w:rsidR="00D15567" w:rsidRPr="005045BF" w14:paraId="4A094C19" w14:textId="77777777" w:rsidTr="00675E4F">
        <w:trPr>
          <w:cnfStyle w:val="100000000000" w:firstRow="1" w:lastRow="0" w:firstColumn="0" w:lastColumn="0" w:oddVBand="0" w:evenVBand="0" w:oddHBand="0" w:evenHBand="0" w:firstRowFirstColumn="0" w:firstRowLastColumn="0" w:lastRowFirstColumn="0" w:lastRowLastColumn="0"/>
          <w:cantSplit/>
          <w:trHeight w:val="517"/>
          <w:tblHeader/>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4F81BD" w:themeFill="accent1"/>
            <w:vAlign w:val="center"/>
            <w:hideMark/>
          </w:tcPr>
          <w:p w14:paraId="03F3D8B1" w14:textId="77777777" w:rsidR="001E280D" w:rsidRPr="005045BF" w:rsidRDefault="001E280D" w:rsidP="00675E4F">
            <w:pPr>
              <w:widowControl w:val="0"/>
              <w:rPr>
                <w:rFonts w:ascii="Arial" w:hAnsi="Arial" w:cs="Arial"/>
                <w:b w:val="0"/>
                <w:bCs w:val="0"/>
                <w:color w:val="FFFFFF" w:themeColor="background1"/>
                <w:sz w:val="18"/>
                <w:szCs w:val="18"/>
              </w:rPr>
            </w:pPr>
          </w:p>
        </w:tc>
        <w:tc>
          <w:tcPr>
            <w:tcW w:w="2126" w:type="dxa"/>
            <w:gridSpan w:val="3"/>
            <w:vMerge/>
            <w:shd w:val="clear" w:color="auto" w:fill="4F81BD" w:themeFill="accent1"/>
            <w:vAlign w:val="center"/>
            <w:hideMark/>
          </w:tcPr>
          <w:p w14:paraId="3CCCB78C" w14:textId="77777777" w:rsidR="001E280D" w:rsidRPr="005045BF" w:rsidRDefault="001E280D" w:rsidP="00675E4F">
            <w:pPr>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127" w:type="dxa"/>
            <w:gridSpan w:val="3"/>
            <w:vMerge/>
            <w:shd w:val="clear" w:color="auto" w:fill="4F81BD" w:themeFill="accent1"/>
            <w:vAlign w:val="center"/>
            <w:hideMark/>
          </w:tcPr>
          <w:p w14:paraId="14AA4702" w14:textId="77777777" w:rsidR="001E280D" w:rsidRPr="005045BF" w:rsidRDefault="001E280D" w:rsidP="00675E4F">
            <w:pPr>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c>
          <w:tcPr>
            <w:tcW w:w="2551" w:type="dxa"/>
            <w:gridSpan w:val="3"/>
            <w:vMerge/>
            <w:shd w:val="clear" w:color="auto" w:fill="4F81BD" w:themeFill="accent1"/>
            <w:vAlign w:val="center"/>
            <w:hideMark/>
          </w:tcPr>
          <w:p w14:paraId="6372E6B3" w14:textId="77777777" w:rsidR="001E280D" w:rsidRPr="005045BF" w:rsidRDefault="001E280D" w:rsidP="00675E4F">
            <w:pPr>
              <w:widowControl w:val="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p>
        </w:tc>
      </w:tr>
      <w:tr w:rsidR="001F2FAA" w:rsidRPr="005045BF" w14:paraId="26861ED1" w14:textId="77777777" w:rsidTr="00675E4F">
        <w:trPr>
          <w:cnfStyle w:val="100000000000" w:firstRow="1" w:lastRow="0" w:firstColumn="0" w:lastColumn="0" w:oddVBand="0" w:evenVBand="0" w:oddHBand="0" w:evenHBand="0" w:firstRowFirstColumn="0" w:firstRowLastColumn="0" w:lastRowFirstColumn="0" w:lastRowLastColumn="0"/>
          <w:cantSplit/>
          <w:trHeight w:val="70"/>
          <w:tblHeader/>
        </w:trPr>
        <w:tc>
          <w:tcPr>
            <w:cnfStyle w:val="001000000000" w:firstRow="0" w:lastRow="0" w:firstColumn="1" w:lastColumn="0" w:oddVBand="0" w:evenVBand="0" w:oddHBand="0" w:evenHBand="0" w:firstRowFirstColumn="0" w:firstRowLastColumn="0" w:lastRowFirstColumn="0" w:lastRowLastColumn="0"/>
            <w:tcW w:w="2972" w:type="dxa"/>
            <w:vMerge/>
            <w:shd w:val="clear" w:color="auto" w:fill="4F81BD" w:themeFill="accent1"/>
            <w:vAlign w:val="center"/>
            <w:hideMark/>
          </w:tcPr>
          <w:p w14:paraId="61B94A93" w14:textId="77777777" w:rsidR="001F2FAA" w:rsidRPr="005045BF" w:rsidRDefault="001F2FAA" w:rsidP="00675E4F">
            <w:pPr>
              <w:widowControl w:val="0"/>
              <w:rPr>
                <w:rFonts w:ascii="Arial" w:hAnsi="Arial" w:cs="Arial"/>
                <w:b w:val="0"/>
                <w:bCs w:val="0"/>
                <w:color w:val="FFFFFF" w:themeColor="background1"/>
                <w:sz w:val="18"/>
                <w:szCs w:val="18"/>
              </w:rPr>
            </w:pPr>
          </w:p>
        </w:tc>
        <w:tc>
          <w:tcPr>
            <w:tcW w:w="709" w:type="dxa"/>
            <w:shd w:val="clear" w:color="auto" w:fill="4F81BD" w:themeFill="accent1"/>
            <w:vAlign w:val="center"/>
            <w:hideMark/>
          </w:tcPr>
          <w:p w14:paraId="1C6ECE09" w14:textId="71CA498F"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Ene</w:t>
            </w:r>
          </w:p>
        </w:tc>
        <w:tc>
          <w:tcPr>
            <w:tcW w:w="709" w:type="dxa"/>
            <w:shd w:val="clear" w:color="auto" w:fill="4F81BD" w:themeFill="accent1"/>
            <w:vAlign w:val="center"/>
            <w:hideMark/>
          </w:tcPr>
          <w:p w14:paraId="61E2E092" w14:textId="340EBEBC"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Feb</w:t>
            </w:r>
          </w:p>
        </w:tc>
        <w:tc>
          <w:tcPr>
            <w:tcW w:w="708" w:type="dxa"/>
            <w:shd w:val="clear" w:color="auto" w:fill="4F81BD" w:themeFill="accent1"/>
            <w:vAlign w:val="center"/>
            <w:hideMark/>
          </w:tcPr>
          <w:p w14:paraId="57CE2ECF" w14:textId="16ABEB57"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Mar</w:t>
            </w:r>
          </w:p>
        </w:tc>
        <w:tc>
          <w:tcPr>
            <w:tcW w:w="709" w:type="dxa"/>
            <w:shd w:val="clear" w:color="auto" w:fill="4F81BD" w:themeFill="accent1"/>
            <w:vAlign w:val="center"/>
            <w:hideMark/>
          </w:tcPr>
          <w:p w14:paraId="1BE69903" w14:textId="62652939"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Ene</w:t>
            </w:r>
          </w:p>
        </w:tc>
        <w:tc>
          <w:tcPr>
            <w:tcW w:w="709" w:type="dxa"/>
            <w:shd w:val="clear" w:color="auto" w:fill="4F81BD" w:themeFill="accent1"/>
            <w:vAlign w:val="center"/>
            <w:hideMark/>
          </w:tcPr>
          <w:p w14:paraId="7888CB72" w14:textId="2BBB349F"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Feb</w:t>
            </w:r>
          </w:p>
        </w:tc>
        <w:tc>
          <w:tcPr>
            <w:tcW w:w="709" w:type="dxa"/>
            <w:shd w:val="clear" w:color="auto" w:fill="4F81BD" w:themeFill="accent1"/>
            <w:vAlign w:val="center"/>
            <w:hideMark/>
          </w:tcPr>
          <w:p w14:paraId="32F1DFEF" w14:textId="3D069AD7"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Mar</w:t>
            </w:r>
          </w:p>
        </w:tc>
        <w:tc>
          <w:tcPr>
            <w:tcW w:w="850" w:type="dxa"/>
            <w:shd w:val="clear" w:color="auto" w:fill="4F81BD" w:themeFill="accent1"/>
            <w:vAlign w:val="center"/>
            <w:hideMark/>
          </w:tcPr>
          <w:p w14:paraId="04288FB2" w14:textId="3515921B"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Ene</w:t>
            </w:r>
          </w:p>
        </w:tc>
        <w:tc>
          <w:tcPr>
            <w:tcW w:w="851" w:type="dxa"/>
            <w:shd w:val="clear" w:color="auto" w:fill="4F81BD" w:themeFill="accent1"/>
            <w:vAlign w:val="center"/>
            <w:hideMark/>
          </w:tcPr>
          <w:p w14:paraId="231D5829" w14:textId="77E448CC"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Feb</w:t>
            </w:r>
          </w:p>
        </w:tc>
        <w:tc>
          <w:tcPr>
            <w:tcW w:w="850" w:type="dxa"/>
            <w:shd w:val="clear" w:color="auto" w:fill="4F81BD" w:themeFill="accent1"/>
            <w:vAlign w:val="center"/>
            <w:hideMark/>
          </w:tcPr>
          <w:p w14:paraId="37CBF516" w14:textId="5384D1AD" w:rsidR="001F2FAA" w:rsidRPr="005045BF" w:rsidRDefault="001F2FAA" w:rsidP="00675E4F">
            <w:pPr>
              <w:widowControl w:val="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Mar</w:t>
            </w:r>
          </w:p>
        </w:tc>
      </w:tr>
      <w:tr w:rsidR="00E8184D" w:rsidRPr="005045BF" w14:paraId="3BB6B4BB"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258F8E5" w14:textId="3542ADBA"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 xml:space="preserve">Despacho del Ministro </w:t>
            </w:r>
          </w:p>
        </w:tc>
        <w:tc>
          <w:tcPr>
            <w:tcW w:w="709" w:type="dxa"/>
            <w:noWrap/>
            <w:vAlign w:val="center"/>
          </w:tcPr>
          <w:p w14:paraId="2A5108D0" w14:textId="073F0B5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515 </w:t>
            </w:r>
          </w:p>
        </w:tc>
        <w:tc>
          <w:tcPr>
            <w:tcW w:w="709" w:type="dxa"/>
            <w:noWrap/>
            <w:vAlign w:val="center"/>
          </w:tcPr>
          <w:p w14:paraId="01CBE012" w14:textId="460A560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444 </w:t>
            </w:r>
          </w:p>
        </w:tc>
        <w:tc>
          <w:tcPr>
            <w:tcW w:w="708" w:type="dxa"/>
            <w:noWrap/>
            <w:vAlign w:val="center"/>
          </w:tcPr>
          <w:p w14:paraId="055FC81E" w14:textId="048AE38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422 </w:t>
            </w:r>
          </w:p>
        </w:tc>
        <w:tc>
          <w:tcPr>
            <w:tcW w:w="709" w:type="dxa"/>
            <w:noWrap/>
            <w:vAlign w:val="center"/>
          </w:tcPr>
          <w:p w14:paraId="468CD582" w14:textId="62493BC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559 </w:t>
            </w:r>
          </w:p>
        </w:tc>
        <w:tc>
          <w:tcPr>
            <w:tcW w:w="709" w:type="dxa"/>
            <w:noWrap/>
            <w:vAlign w:val="center"/>
          </w:tcPr>
          <w:p w14:paraId="23E7A5F3" w14:textId="1315784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573 </w:t>
            </w:r>
          </w:p>
        </w:tc>
        <w:tc>
          <w:tcPr>
            <w:tcW w:w="709" w:type="dxa"/>
            <w:noWrap/>
            <w:vAlign w:val="center"/>
          </w:tcPr>
          <w:p w14:paraId="08D61BA5" w14:textId="0E1F044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586 </w:t>
            </w:r>
          </w:p>
        </w:tc>
        <w:tc>
          <w:tcPr>
            <w:tcW w:w="850" w:type="dxa"/>
            <w:noWrap/>
            <w:vAlign w:val="center"/>
          </w:tcPr>
          <w:p w14:paraId="18EF3D8B" w14:textId="380A3D7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(8%)</w:t>
            </w:r>
          </w:p>
        </w:tc>
        <w:tc>
          <w:tcPr>
            <w:tcW w:w="851" w:type="dxa"/>
            <w:noWrap/>
            <w:vAlign w:val="center"/>
          </w:tcPr>
          <w:p w14:paraId="2D18C49B" w14:textId="5B06AC9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(23%)</w:t>
            </w:r>
          </w:p>
        </w:tc>
        <w:tc>
          <w:tcPr>
            <w:tcW w:w="850" w:type="dxa"/>
            <w:noWrap/>
            <w:vAlign w:val="center"/>
          </w:tcPr>
          <w:p w14:paraId="2A3B303F" w14:textId="446640D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(28%)</w:t>
            </w:r>
          </w:p>
        </w:tc>
      </w:tr>
      <w:tr w:rsidR="00E8184D" w:rsidRPr="005045BF" w14:paraId="11EDBD8F"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B404D96" w14:textId="5A0F77BC"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 xml:space="preserve">Secretaría General </w:t>
            </w:r>
          </w:p>
        </w:tc>
        <w:tc>
          <w:tcPr>
            <w:tcW w:w="709" w:type="dxa"/>
            <w:noWrap/>
            <w:vAlign w:val="center"/>
          </w:tcPr>
          <w:p w14:paraId="1CED63AA" w14:textId="2B384FF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123 </w:t>
            </w:r>
          </w:p>
        </w:tc>
        <w:tc>
          <w:tcPr>
            <w:tcW w:w="709" w:type="dxa"/>
            <w:noWrap/>
            <w:vAlign w:val="center"/>
          </w:tcPr>
          <w:p w14:paraId="5A152116" w14:textId="2197FA0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139 </w:t>
            </w:r>
          </w:p>
        </w:tc>
        <w:tc>
          <w:tcPr>
            <w:tcW w:w="708" w:type="dxa"/>
            <w:noWrap/>
            <w:vAlign w:val="center"/>
          </w:tcPr>
          <w:p w14:paraId="77A328E6" w14:textId="1C9CD2A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117 </w:t>
            </w:r>
          </w:p>
        </w:tc>
        <w:tc>
          <w:tcPr>
            <w:tcW w:w="709" w:type="dxa"/>
            <w:noWrap/>
            <w:vAlign w:val="center"/>
          </w:tcPr>
          <w:p w14:paraId="4964EC93" w14:textId="398E93B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50 </w:t>
            </w:r>
          </w:p>
        </w:tc>
        <w:tc>
          <w:tcPr>
            <w:tcW w:w="709" w:type="dxa"/>
            <w:noWrap/>
            <w:vAlign w:val="center"/>
          </w:tcPr>
          <w:p w14:paraId="3FD4A855" w14:textId="5E60549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50 </w:t>
            </w:r>
          </w:p>
        </w:tc>
        <w:tc>
          <w:tcPr>
            <w:tcW w:w="709" w:type="dxa"/>
            <w:noWrap/>
            <w:vAlign w:val="center"/>
          </w:tcPr>
          <w:p w14:paraId="5C4A920E" w14:textId="157AAC0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44 </w:t>
            </w:r>
          </w:p>
        </w:tc>
        <w:tc>
          <w:tcPr>
            <w:tcW w:w="850" w:type="dxa"/>
            <w:noWrap/>
            <w:vAlign w:val="center"/>
          </w:tcPr>
          <w:p w14:paraId="33D2005F" w14:textId="23A6285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145%</w:t>
            </w:r>
          </w:p>
        </w:tc>
        <w:tc>
          <w:tcPr>
            <w:tcW w:w="851" w:type="dxa"/>
            <w:noWrap/>
            <w:vAlign w:val="center"/>
          </w:tcPr>
          <w:p w14:paraId="1A651BD3" w14:textId="1A23D01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178%</w:t>
            </w:r>
          </w:p>
        </w:tc>
        <w:tc>
          <w:tcPr>
            <w:tcW w:w="850" w:type="dxa"/>
            <w:noWrap/>
            <w:vAlign w:val="center"/>
          </w:tcPr>
          <w:p w14:paraId="33E922ED" w14:textId="6AF3000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166%</w:t>
            </w:r>
          </w:p>
        </w:tc>
      </w:tr>
      <w:tr w:rsidR="00E8184D" w:rsidRPr="005045BF" w14:paraId="1D19DBC8"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88DDA28" w14:textId="1E7145DC"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lastRenderedPageBreak/>
              <w:t>Despacho del Viceministro Técnico</w:t>
            </w:r>
          </w:p>
        </w:tc>
        <w:tc>
          <w:tcPr>
            <w:tcW w:w="709" w:type="dxa"/>
            <w:noWrap/>
            <w:vAlign w:val="center"/>
          </w:tcPr>
          <w:p w14:paraId="24F72E1D" w14:textId="49957F3C" w:rsidR="00E8184D" w:rsidRPr="005045BF" w:rsidRDefault="00E8184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158 </w:t>
            </w:r>
          </w:p>
        </w:tc>
        <w:tc>
          <w:tcPr>
            <w:tcW w:w="709" w:type="dxa"/>
            <w:noWrap/>
            <w:vAlign w:val="center"/>
          </w:tcPr>
          <w:p w14:paraId="39B0D27F" w14:textId="38B719D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173 </w:t>
            </w:r>
          </w:p>
        </w:tc>
        <w:tc>
          <w:tcPr>
            <w:tcW w:w="708" w:type="dxa"/>
            <w:noWrap/>
            <w:vAlign w:val="center"/>
          </w:tcPr>
          <w:p w14:paraId="4F88224F" w14:textId="24D54D9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147 </w:t>
            </w:r>
          </w:p>
        </w:tc>
        <w:tc>
          <w:tcPr>
            <w:tcW w:w="709" w:type="dxa"/>
            <w:noWrap/>
            <w:vAlign w:val="center"/>
          </w:tcPr>
          <w:p w14:paraId="3499182D" w14:textId="260DD3B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44 </w:t>
            </w:r>
          </w:p>
        </w:tc>
        <w:tc>
          <w:tcPr>
            <w:tcW w:w="709" w:type="dxa"/>
            <w:noWrap/>
            <w:vAlign w:val="center"/>
          </w:tcPr>
          <w:p w14:paraId="70414A44" w14:textId="5B2F034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59 </w:t>
            </w:r>
          </w:p>
        </w:tc>
        <w:tc>
          <w:tcPr>
            <w:tcW w:w="709" w:type="dxa"/>
            <w:noWrap/>
            <w:vAlign w:val="center"/>
          </w:tcPr>
          <w:p w14:paraId="13CAFD54" w14:textId="5EE86C2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59 </w:t>
            </w:r>
          </w:p>
        </w:tc>
        <w:tc>
          <w:tcPr>
            <w:tcW w:w="850" w:type="dxa"/>
            <w:noWrap/>
            <w:vAlign w:val="center"/>
          </w:tcPr>
          <w:p w14:paraId="6D654545" w14:textId="3866684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262%</w:t>
            </w:r>
          </w:p>
        </w:tc>
        <w:tc>
          <w:tcPr>
            <w:tcW w:w="851" w:type="dxa"/>
            <w:noWrap/>
            <w:vAlign w:val="center"/>
          </w:tcPr>
          <w:p w14:paraId="611F6C63" w14:textId="07543E0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190%</w:t>
            </w:r>
          </w:p>
        </w:tc>
        <w:tc>
          <w:tcPr>
            <w:tcW w:w="850" w:type="dxa"/>
            <w:noWrap/>
            <w:vAlign w:val="center"/>
          </w:tcPr>
          <w:p w14:paraId="0D8E09C7" w14:textId="45DC11D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149%</w:t>
            </w:r>
          </w:p>
        </w:tc>
      </w:tr>
      <w:tr w:rsidR="00E8184D" w:rsidRPr="005045BF" w14:paraId="58595BC9"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4113BE3" w14:textId="7A91C53C"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Despacho del Viceministerio General</w:t>
            </w:r>
          </w:p>
        </w:tc>
        <w:tc>
          <w:tcPr>
            <w:tcW w:w="709" w:type="dxa"/>
            <w:noWrap/>
            <w:vAlign w:val="center"/>
          </w:tcPr>
          <w:p w14:paraId="243317BB" w14:textId="63679C4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200 </w:t>
            </w:r>
          </w:p>
        </w:tc>
        <w:tc>
          <w:tcPr>
            <w:tcW w:w="709" w:type="dxa"/>
            <w:noWrap/>
            <w:vAlign w:val="center"/>
          </w:tcPr>
          <w:p w14:paraId="5722377A" w14:textId="18E3591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222 </w:t>
            </w:r>
          </w:p>
        </w:tc>
        <w:tc>
          <w:tcPr>
            <w:tcW w:w="708" w:type="dxa"/>
            <w:noWrap/>
            <w:vAlign w:val="center"/>
          </w:tcPr>
          <w:p w14:paraId="56B7154A" w14:textId="45ECB2E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212 </w:t>
            </w:r>
          </w:p>
        </w:tc>
        <w:tc>
          <w:tcPr>
            <w:tcW w:w="709" w:type="dxa"/>
            <w:noWrap/>
            <w:vAlign w:val="center"/>
          </w:tcPr>
          <w:p w14:paraId="48B8AD25" w14:textId="14CE915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112 </w:t>
            </w:r>
          </w:p>
        </w:tc>
        <w:tc>
          <w:tcPr>
            <w:tcW w:w="709" w:type="dxa"/>
            <w:noWrap/>
            <w:vAlign w:val="center"/>
          </w:tcPr>
          <w:p w14:paraId="6FD7488B" w14:textId="64DC8BA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60 </w:t>
            </w:r>
          </w:p>
        </w:tc>
        <w:tc>
          <w:tcPr>
            <w:tcW w:w="709" w:type="dxa"/>
            <w:noWrap/>
            <w:vAlign w:val="center"/>
          </w:tcPr>
          <w:p w14:paraId="3106F01D" w14:textId="4003913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63 </w:t>
            </w:r>
          </w:p>
        </w:tc>
        <w:tc>
          <w:tcPr>
            <w:tcW w:w="850" w:type="dxa"/>
            <w:noWrap/>
            <w:vAlign w:val="center"/>
          </w:tcPr>
          <w:p w14:paraId="72364680" w14:textId="4BBC0B8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79%</w:t>
            </w:r>
          </w:p>
        </w:tc>
        <w:tc>
          <w:tcPr>
            <w:tcW w:w="851" w:type="dxa"/>
            <w:noWrap/>
            <w:vAlign w:val="center"/>
          </w:tcPr>
          <w:p w14:paraId="273B7EA8" w14:textId="26A6598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269%</w:t>
            </w:r>
          </w:p>
        </w:tc>
        <w:tc>
          <w:tcPr>
            <w:tcW w:w="850" w:type="dxa"/>
            <w:noWrap/>
            <w:vAlign w:val="center"/>
          </w:tcPr>
          <w:p w14:paraId="3076CB13" w14:textId="56C453E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240%</w:t>
            </w:r>
          </w:p>
        </w:tc>
      </w:tr>
      <w:tr w:rsidR="00E8184D" w:rsidRPr="005045BF" w14:paraId="51422BDA"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7231D96" w14:textId="45489777"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Dirección Administrativa</w:t>
            </w:r>
          </w:p>
        </w:tc>
        <w:tc>
          <w:tcPr>
            <w:tcW w:w="709" w:type="dxa"/>
            <w:noWrap/>
            <w:vAlign w:val="center"/>
          </w:tcPr>
          <w:p w14:paraId="1932EF18" w14:textId="54D26F5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100 </w:t>
            </w:r>
          </w:p>
        </w:tc>
        <w:tc>
          <w:tcPr>
            <w:tcW w:w="709" w:type="dxa"/>
            <w:noWrap/>
            <w:vAlign w:val="center"/>
          </w:tcPr>
          <w:p w14:paraId="520B18E6" w14:textId="5B5BEC1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100 </w:t>
            </w:r>
          </w:p>
        </w:tc>
        <w:tc>
          <w:tcPr>
            <w:tcW w:w="708" w:type="dxa"/>
            <w:noWrap/>
            <w:vAlign w:val="center"/>
          </w:tcPr>
          <w:p w14:paraId="0EC71DB4" w14:textId="398C168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58 </w:t>
            </w:r>
          </w:p>
        </w:tc>
        <w:tc>
          <w:tcPr>
            <w:tcW w:w="709" w:type="dxa"/>
            <w:noWrap/>
            <w:vAlign w:val="center"/>
          </w:tcPr>
          <w:p w14:paraId="07CB3652" w14:textId="0591400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74 </w:t>
            </w:r>
          </w:p>
        </w:tc>
        <w:tc>
          <w:tcPr>
            <w:tcW w:w="709" w:type="dxa"/>
            <w:noWrap/>
            <w:vAlign w:val="center"/>
          </w:tcPr>
          <w:p w14:paraId="19EF968C" w14:textId="707E029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84 </w:t>
            </w:r>
          </w:p>
        </w:tc>
        <w:tc>
          <w:tcPr>
            <w:tcW w:w="709" w:type="dxa"/>
            <w:noWrap/>
            <w:vAlign w:val="center"/>
          </w:tcPr>
          <w:p w14:paraId="176F3986" w14:textId="1CBEC14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74 </w:t>
            </w:r>
          </w:p>
        </w:tc>
        <w:tc>
          <w:tcPr>
            <w:tcW w:w="850" w:type="dxa"/>
            <w:noWrap/>
            <w:vAlign w:val="center"/>
          </w:tcPr>
          <w:p w14:paraId="20FE9A28" w14:textId="0812B3F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36%</w:t>
            </w:r>
          </w:p>
        </w:tc>
        <w:tc>
          <w:tcPr>
            <w:tcW w:w="851" w:type="dxa"/>
            <w:noWrap/>
            <w:vAlign w:val="center"/>
          </w:tcPr>
          <w:p w14:paraId="626CA727" w14:textId="44D3749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19%</w:t>
            </w:r>
          </w:p>
        </w:tc>
        <w:tc>
          <w:tcPr>
            <w:tcW w:w="850" w:type="dxa"/>
            <w:noWrap/>
            <w:vAlign w:val="center"/>
          </w:tcPr>
          <w:p w14:paraId="7D556CF7" w14:textId="5A3375C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(22%)</w:t>
            </w:r>
          </w:p>
        </w:tc>
      </w:tr>
      <w:tr w:rsidR="00E8184D" w:rsidRPr="005045BF" w14:paraId="27F1B5F7"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299283A" w14:textId="0CE79610"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Dirección General del Presupuesto Público Nacional</w:t>
            </w:r>
          </w:p>
        </w:tc>
        <w:tc>
          <w:tcPr>
            <w:tcW w:w="709" w:type="dxa"/>
            <w:noWrap/>
            <w:vAlign w:val="center"/>
          </w:tcPr>
          <w:p w14:paraId="78A937B2" w14:textId="0E06D3B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138 </w:t>
            </w:r>
          </w:p>
        </w:tc>
        <w:tc>
          <w:tcPr>
            <w:tcW w:w="709" w:type="dxa"/>
            <w:noWrap/>
            <w:vAlign w:val="center"/>
          </w:tcPr>
          <w:p w14:paraId="0ECAA6F8" w14:textId="28E48F4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159 </w:t>
            </w:r>
          </w:p>
        </w:tc>
        <w:tc>
          <w:tcPr>
            <w:tcW w:w="708" w:type="dxa"/>
            <w:noWrap/>
            <w:vAlign w:val="center"/>
          </w:tcPr>
          <w:p w14:paraId="0F7442F3" w14:textId="1827420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136 </w:t>
            </w:r>
          </w:p>
        </w:tc>
        <w:tc>
          <w:tcPr>
            <w:tcW w:w="709" w:type="dxa"/>
            <w:noWrap/>
            <w:vAlign w:val="center"/>
          </w:tcPr>
          <w:p w14:paraId="7A39295C" w14:textId="1EDA790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15 </w:t>
            </w:r>
          </w:p>
        </w:tc>
        <w:tc>
          <w:tcPr>
            <w:tcW w:w="709" w:type="dxa"/>
            <w:noWrap/>
            <w:vAlign w:val="center"/>
          </w:tcPr>
          <w:p w14:paraId="7DF49A64" w14:textId="3E60B66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100 </w:t>
            </w:r>
          </w:p>
        </w:tc>
        <w:tc>
          <w:tcPr>
            <w:tcW w:w="709" w:type="dxa"/>
            <w:noWrap/>
            <w:vAlign w:val="center"/>
          </w:tcPr>
          <w:p w14:paraId="2BD3E4CB" w14:textId="6576E23E" w:rsidR="00E8184D" w:rsidRPr="005045BF" w:rsidRDefault="006809F0"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0</w:t>
            </w:r>
            <w:r w:rsidR="00E8184D" w:rsidRPr="005045BF">
              <w:rPr>
                <w:rFonts w:ascii="Arial" w:hAnsi="Arial" w:cs="Arial"/>
                <w:color w:val="000000"/>
                <w:sz w:val="18"/>
                <w:szCs w:val="18"/>
              </w:rPr>
              <w:t> </w:t>
            </w:r>
          </w:p>
        </w:tc>
        <w:tc>
          <w:tcPr>
            <w:tcW w:w="850" w:type="dxa"/>
            <w:noWrap/>
            <w:vAlign w:val="center"/>
          </w:tcPr>
          <w:p w14:paraId="7AFCF9F6" w14:textId="508F3C4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793%</w:t>
            </w:r>
          </w:p>
        </w:tc>
        <w:tc>
          <w:tcPr>
            <w:tcW w:w="851" w:type="dxa"/>
            <w:noWrap/>
            <w:vAlign w:val="center"/>
          </w:tcPr>
          <w:p w14:paraId="560E57BD" w14:textId="54148CC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59%</w:t>
            </w:r>
          </w:p>
        </w:tc>
        <w:tc>
          <w:tcPr>
            <w:tcW w:w="850" w:type="dxa"/>
            <w:noWrap/>
            <w:vAlign w:val="center"/>
          </w:tcPr>
          <w:p w14:paraId="7F48D3C9" w14:textId="3368836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r>
      <w:tr w:rsidR="00E8184D" w:rsidRPr="005045BF" w14:paraId="6BB17459"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EDE8697" w14:textId="2B749185"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Dirección General de Crédito Público y Tesoro Nacional</w:t>
            </w:r>
          </w:p>
        </w:tc>
        <w:tc>
          <w:tcPr>
            <w:tcW w:w="709" w:type="dxa"/>
            <w:noWrap/>
            <w:vAlign w:val="center"/>
          </w:tcPr>
          <w:p w14:paraId="39DE4219" w14:textId="2FCA228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88 </w:t>
            </w:r>
          </w:p>
        </w:tc>
        <w:tc>
          <w:tcPr>
            <w:tcW w:w="709" w:type="dxa"/>
            <w:noWrap/>
            <w:vAlign w:val="center"/>
          </w:tcPr>
          <w:p w14:paraId="1E9A7AA6" w14:textId="3C8811A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100 </w:t>
            </w:r>
          </w:p>
        </w:tc>
        <w:tc>
          <w:tcPr>
            <w:tcW w:w="708" w:type="dxa"/>
            <w:noWrap/>
            <w:vAlign w:val="center"/>
          </w:tcPr>
          <w:p w14:paraId="275FE34F" w14:textId="69AEAA0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100 </w:t>
            </w:r>
          </w:p>
        </w:tc>
        <w:tc>
          <w:tcPr>
            <w:tcW w:w="709" w:type="dxa"/>
            <w:noWrap/>
            <w:vAlign w:val="center"/>
          </w:tcPr>
          <w:p w14:paraId="24A01F99" w14:textId="433771F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100 </w:t>
            </w:r>
          </w:p>
        </w:tc>
        <w:tc>
          <w:tcPr>
            <w:tcW w:w="709" w:type="dxa"/>
            <w:noWrap/>
            <w:vAlign w:val="center"/>
          </w:tcPr>
          <w:p w14:paraId="2DE8F884" w14:textId="38023AB2" w:rsidR="00E8184D" w:rsidRPr="005045BF" w:rsidRDefault="00EF6518"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045BF">
              <w:rPr>
                <w:rFonts w:ascii="Arial" w:hAnsi="Arial" w:cs="Arial"/>
                <w:color w:val="000000"/>
                <w:sz w:val="18"/>
                <w:szCs w:val="18"/>
              </w:rPr>
              <w:t>0</w:t>
            </w:r>
            <w:r w:rsidR="00E8184D" w:rsidRPr="005045BF">
              <w:rPr>
                <w:rFonts w:ascii="Arial" w:hAnsi="Arial" w:cs="Arial"/>
                <w:color w:val="000000"/>
                <w:sz w:val="18"/>
                <w:szCs w:val="18"/>
              </w:rPr>
              <w:t> </w:t>
            </w:r>
          </w:p>
        </w:tc>
        <w:tc>
          <w:tcPr>
            <w:tcW w:w="709" w:type="dxa"/>
            <w:noWrap/>
            <w:vAlign w:val="center"/>
          </w:tcPr>
          <w:p w14:paraId="5D92A1D0" w14:textId="411BE61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100 </w:t>
            </w:r>
          </w:p>
        </w:tc>
        <w:tc>
          <w:tcPr>
            <w:tcW w:w="850" w:type="dxa"/>
            <w:noWrap/>
            <w:vAlign w:val="center"/>
          </w:tcPr>
          <w:p w14:paraId="5D569BCD" w14:textId="23DE983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(12%)</w:t>
            </w:r>
          </w:p>
        </w:tc>
        <w:tc>
          <w:tcPr>
            <w:tcW w:w="851" w:type="dxa"/>
            <w:noWrap/>
            <w:vAlign w:val="center"/>
          </w:tcPr>
          <w:p w14:paraId="5EA3EF3F" w14:textId="4B85141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0" w:type="dxa"/>
            <w:noWrap/>
            <w:vAlign w:val="center"/>
          </w:tcPr>
          <w:p w14:paraId="521E33AE" w14:textId="4B60161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0%</w:t>
            </w:r>
          </w:p>
        </w:tc>
      </w:tr>
      <w:tr w:rsidR="00E8184D" w:rsidRPr="005045BF" w14:paraId="54D3F84B"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11C967E1" w14:textId="31FF6D84"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F243E"/>
                <w:sz w:val="18"/>
                <w:szCs w:val="18"/>
              </w:rPr>
              <w:t>Dirección General de Apoyo Fiscal</w:t>
            </w:r>
          </w:p>
        </w:tc>
        <w:tc>
          <w:tcPr>
            <w:tcW w:w="709" w:type="dxa"/>
            <w:noWrap/>
            <w:vAlign w:val="center"/>
          </w:tcPr>
          <w:p w14:paraId="76A2EBCA" w14:textId="2D631A3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74 </w:t>
            </w:r>
          </w:p>
        </w:tc>
        <w:tc>
          <w:tcPr>
            <w:tcW w:w="709" w:type="dxa"/>
            <w:noWrap/>
            <w:vAlign w:val="center"/>
          </w:tcPr>
          <w:p w14:paraId="633CA868" w14:textId="5ED6E10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108 </w:t>
            </w:r>
          </w:p>
        </w:tc>
        <w:tc>
          <w:tcPr>
            <w:tcW w:w="708" w:type="dxa"/>
            <w:noWrap/>
            <w:vAlign w:val="center"/>
          </w:tcPr>
          <w:p w14:paraId="291579B8" w14:textId="48927E0E" w:rsidR="00E8184D" w:rsidRPr="005045BF" w:rsidRDefault="00EF6518"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0</w:t>
            </w:r>
            <w:r w:rsidR="00E8184D" w:rsidRPr="005045BF">
              <w:rPr>
                <w:rFonts w:ascii="Arial" w:hAnsi="Arial" w:cs="Arial"/>
                <w:color w:val="0F243E"/>
                <w:sz w:val="18"/>
                <w:szCs w:val="18"/>
              </w:rPr>
              <w:t> </w:t>
            </w:r>
          </w:p>
        </w:tc>
        <w:tc>
          <w:tcPr>
            <w:tcW w:w="709" w:type="dxa"/>
            <w:noWrap/>
            <w:vAlign w:val="center"/>
          </w:tcPr>
          <w:p w14:paraId="37EB5CD0" w14:textId="5400072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74 </w:t>
            </w:r>
          </w:p>
        </w:tc>
        <w:tc>
          <w:tcPr>
            <w:tcW w:w="709" w:type="dxa"/>
            <w:noWrap/>
            <w:vAlign w:val="center"/>
          </w:tcPr>
          <w:p w14:paraId="5B5470A7" w14:textId="201FAEA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61 </w:t>
            </w:r>
          </w:p>
        </w:tc>
        <w:tc>
          <w:tcPr>
            <w:tcW w:w="709" w:type="dxa"/>
            <w:noWrap/>
            <w:vAlign w:val="center"/>
          </w:tcPr>
          <w:p w14:paraId="51728F62" w14:textId="5B0AE82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00000"/>
                <w:sz w:val="18"/>
                <w:szCs w:val="18"/>
              </w:rPr>
              <w:t xml:space="preserve">   47 </w:t>
            </w:r>
          </w:p>
        </w:tc>
        <w:tc>
          <w:tcPr>
            <w:tcW w:w="850" w:type="dxa"/>
            <w:noWrap/>
            <w:vAlign w:val="center"/>
          </w:tcPr>
          <w:p w14:paraId="32F37ED7" w14:textId="63CA2B7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w:t>
            </w:r>
          </w:p>
        </w:tc>
        <w:tc>
          <w:tcPr>
            <w:tcW w:w="851" w:type="dxa"/>
            <w:noWrap/>
            <w:vAlign w:val="center"/>
          </w:tcPr>
          <w:p w14:paraId="4255C896" w14:textId="403B32A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77%</w:t>
            </w:r>
          </w:p>
        </w:tc>
        <w:tc>
          <w:tcPr>
            <w:tcW w:w="850" w:type="dxa"/>
            <w:noWrap/>
            <w:vAlign w:val="center"/>
          </w:tcPr>
          <w:p w14:paraId="6FFCEB18" w14:textId="1257629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r>
      <w:tr w:rsidR="00E8184D" w:rsidRPr="005045BF" w14:paraId="6A03FD23"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2E949C2" w14:textId="2F191E65"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 xml:space="preserve"> Dirección General de Política de Macroeconómica </w:t>
            </w:r>
          </w:p>
        </w:tc>
        <w:tc>
          <w:tcPr>
            <w:tcW w:w="709" w:type="dxa"/>
            <w:noWrap/>
            <w:vAlign w:val="center"/>
          </w:tcPr>
          <w:p w14:paraId="2ABF82A0" w14:textId="14A375C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100 </w:t>
            </w:r>
          </w:p>
        </w:tc>
        <w:tc>
          <w:tcPr>
            <w:tcW w:w="709" w:type="dxa"/>
            <w:noWrap/>
            <w:vAlign w:val="center"/>
          </w:tcPr>
          <w:p w14:paraId="1003043A" w14:textId="764BD78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114 </w:t>
            </w:r>
          </w:p>
        </w:tc>
        <w:tc>
          <w:tcPr>
            <w:tcW w:w="708" w:type="dxa"/>
            <w:noWrap/>
            <w:vAlign w:val="center"/>
          </w:tcPr>
          <w:p w14:paraId="5EC5DF37" w14:textId="07D6D19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96 </w:t>
            </w:r>
          </w:p>
        </w:tc>
        <w:tc>
          <w:tcPr>
            <w:tcW w:w="709" w:type="dxa"/>
            <w:noWrap/>
            <w:vAlign w:val="center"/>
          </w:tcPr>
          <w:p w14:paraId="68111905" w14:textId="267EC76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72F9BF10" w14:textId="68B442E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7223B861" w14:textId="6676C61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850" w:type="dxa"/>
            <w:noWrap/>
            <w:vAlign w:val="center"/>
          </w:tcPr>
          <w:p w14:paraId="5F654CE9" w14:textId="5DF29FE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4C44613B" w14:textId="7106721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7653056C" w14:textId="1F52DA0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4FB0CEF0"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6132020" w14:textId="71AFE06E"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Dirección General de Participaciones Estatales</w:t>
            </w:r>
          </w:p>
        </w:tc>
        <w:tc>
          <w:tcPr>
            <w:tcW w:w="709" w:type="dxa"/>
            <w:noWrap/>
            <w:vAlign w:val="center"/>
          </w:tcPr>
          <w:p w14:paraId="16C4417F" w14:textId="08B42F9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79 </w:t>
            </w:r>
          </w:p>
        </w:tc>
        <w:tc>
          <w:tcPr>
            <w:tcW w:w="709" w:type="dxa"/>
            <w:noWrap/>
            <w:vAlign w:val="center"/>
          </w:tcPr>
          <w:p w14:paraId="02115EC3" w14:textId="6A802FA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80 </w:t>
            </w:r>
          </w:p>
        </w:tc>
        <w:tc>
          <w:tcPr>
            <w:tcW w:w="708" w:type="dxa"/>
            <w:noWrap/>
            <w:vAlign w:val="center"/>
          </w:tcPr>
          <w:p w14:paraId="6F6D061A" w14:textId="06EDDA7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54 </w:t>
            </w:r>
          </w:p>
        </w:tc>
        <w:tc>
          <w:tcPr>
            <w:tcW w:w="709" w:type="dxa"/>
            <w:noWrap/>
            <w:vAlign w:val="center"/>
          </w:tcPr>
          <w:p w14:paraId="448FF42E" w14:textId="759A796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6197664B" w14:textId="423174A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083C466F" w14:textId="7E5643F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850" w:type="dxa"/>
            <w:noWrap/>
            <w:vAlign w:val="center"/>
          </w:tcPr>
          <w:p w14:paraId="0B66B51E" w14:textId="3FECCCF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7E3EFA7D" w14:textId="488429D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511C8F43" w14:textId="1147213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2157061A"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4CFF9F9C" w14:textId="0341D0B4"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 xml:space="preserve"> Dirección General de Regulación Económica de la Seguridad Social </w:t>
            </w:r>
          </w:p>
        </w:tc>
        <w:tc>
          <w:tcPr>
            <w:tcW w:w="709" w:type="dxa"/>
            <w:noWrap/>
            <w:vAlign w:val="center"/>
          </w:tcPr>
          <w:p w14:paraId="059AF606" w14:textId="4AE6111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100 </w:t>
            </w:r>
          </w:p>
        </w:tc>
        <w:tc>
          <w:tcPr>
            <w:tcW w:w="709" w:type="dxa"/>
            <w:noWrap/>
            <w:vAlign w:val="center"/>
          </w:tcPr>
          <w:p w14:paraId="24DCE932" w14:textId="7C5A9FF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100 </w:t>
            </w:r>
          </w:p>
        </w:tc>
        <w:tc>
          <w:tcPr>
            <w:tcW w:w="708" w:type="dxa"/>
            <w:noWrap/>
            <w:vAlign w:val="center"/>
          </w:tcPr>
          <w:p w14:paraId="49EAF2AA" w14:textId="21E47E4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100 </w:t>
            </w:r>
          </w:p>
        </w:tc>
        <w:tc>
          <w:tcPr>
            <w:tcW w:w="709" w:type="dxa"/>
            <w:noWrap/>
            <w:vAlign w:val="center"/>
          </w:tcPr>
          <w:p w14:paraId="556C32E2" w14:textId="4E7B997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32E8DAC0" w14:textId="76BACEE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2A1CB8A4" w14:textId="779F827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0</w:t>
            </w:r>
          </w:p>
        </w:tc>
        <w:tc>
          <w:tcPr>
            <w:tcW w:w="850" w:type="dxa"/>
            <w:noWrap/>
            <w:vAlign w:val="center"/>
          </w:tcPr>
          <w:p w14:paraId="2AE42A98" w14:textId="7A80D39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0E42D9D8" w14:textId="70D2D0B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35ABF807" w14:textId="629EC99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1F523532"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291D9F4" w14:textId="0EF03CDF"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Dirección de Tecnología</w:t>
            </w:r>
          </w:p>
        </w:tc>
        <w:tc>
          <w:tcPr>
            <w:tcW w:w="709" w:type="dxa"/>
            <w:noWrap/>
            <w:vAlign w:val="center"/>
          </w:tcPr>
          <w:p w14:paraId="50633C8F" w14:textId="499D9AC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83 </w:t>
            </w:r>
          </w:p>
        </w:tc>
        <w:tc>
          <w:tcPr>
            <w:tcW w:w="709" w:type="dxa"/>
            <w:noWrap/>
            <w:vAlign w:val="center"/>
          </w:tcPr>
          <w:p w14:paraId="0A170867" w14:textId="71EC8EE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100 </w:t>
            </w:r>
          </w:p>
        </w:tc>
        <w:tc>
          <w:tcPr>
            <w:tcW w:w="708" w:type="dxa"/>
            <w:noWrap/>
            <w:vAlign w:val="center"/>
          </w:tcPr>
          <w:p w14:paraId="30AA11B7" w14:textId="6AB484A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71 </w:t>
            </w:r>
          </w:p>
        </w:tc>
        <w:tc>
          <w:tcPr>
            <w:tcW w:w="709" w:type="dxa"/>
            <w:noWrap/>
            <w:vAlign w:val="center"/>
          </w:tcPr>
          <w:p w14:paraId="07765919" w14:textId="3983F04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102 </w:t>
            </w:r>
          </w:p>
        </w:tc>
        <w:tc>
          <w:tcPr>
            <w:tcW w:w="709" w:type="dxa"/>
            <w:noWrap/>
            <w:vAlign w:val="center"/>
          </w:tcPr>
          <w:p w14:paraId="6244CFB9" w14:textId="1016701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133 </w:t>
            </w:r>
          </w:p>
        </w:tc>
        <w:tc>
          <w:tcPr>
            <w:tcW w:w="709" w:type="dxa"/>
            <w:noWrap/>
            <w:vAlign w:val="center"/>
          </w:tcPr>
          <w:p w14:paraId="04E1DC87" w14:textId="065A876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110 </w:t>
            </w:r>
          </w:p>
        </w:tc>
        <w:tc>
          <w:tcPr>
            <w:tcW w:w="850" w:type="dxa"/>
            <w:noWrap/>
            <w:vAlign w:val="center"/>
          </w:tcPr>
          <w:p w14:paraId="67D5E53B" w14:textId="740D710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(19%)</w:t>
            </w:r>
          </w:p>
        </w:tc>
        <w:tc>
          <w:tcPr>
            <w:tcW w:w="851" w:type="dxa"/>
            <w:noWrap/>
            <w:vAlign w:val="center"/>
          </w:tcPr>
          <w:p w14:paraId="13C7FF7F" w14:textId="6AE71D7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(25%)</w:t>
            </w:r>
          </w:p>
        </w:tc>
        <w:tc>
          <w:tcPr>
            <w:tcW w:w="850" w:type="dxa"/>
            <w:noWrap/>
            <w:vAlign w:val="center"/>
          </w:tcPr>
          <w:p w14:paraId="7AA176A9" w14:textId="103562B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(36%)</w:t>
            </w:r>
          </w:p>
        </w:tc>
      </w:tr>
      <w:tr w:rsidR="00E8184D" w:rsidRPr="005045BF" w14:paraId="001161DA"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FCF861F" w14:textId="315BE253"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Oficina Asesora de Jurídica</w:t>
            </w:r>
          </w:p>
        </w:tc>
        <w:tc>
          <w:tcPr>
            <w:tcW w:w="709" w:type="dxa"/>
            <w:noWrap/>
            <w:vAlign w:val="center"/>
          </w:tcPr>
          <w:p w14:paraId="47592DA0" w14:textId="71FEA81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32 </w:t>
            </w:r>
          </w:p>
        </w:tc>
        <w:tc>
          <w:tcPr>
            <w:tcW w:w="709" w:type="dxa"/>
            <w:noWrap/>
            <w:vAlign w:val="center"/>
          </w:tcPr>
          <w:p w14:paraId="43382F36" w14:textId="299544B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47 </w:t>
            </w:r>
          </w:p>
        </w:tc>
        <w:tc>
          <w:tcPr>
            <w:tcW w:w="708" w:type="dxa"/>
            <w:noWrap/>
            <w:vAlign w:val="center"/>
          </w:tcPr>
          <w:p w14:paraId="5D780D85" w14:textId="294641C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34 </w:t>
            </w:r>
          </w:p>
        </w:tc>
        <w:tc>
          <w:tcPr>
            <w:tcW w:w="709" w:type="dxa"/>
            <w:noWrap/>
            <w:vAlign w:val="center"/>
          </w:tcPr>
          <w:p w14:paraId="61AB9E87" w14:textId="42E172F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33 </w:t>
            </w:r>
          </w:p>
        </w:tc>
        <w:tc>
          <w:tcPr>
            <w:tcW w:w="709" w:type="dxa"/>
            <w:noWrap/>
            <w:vAlign w:val="center"/>
          </w:tcPr>
          <w:p w14:paraId="0FED7A83" w14:textId="5A09AA5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30 </w:t>
            </w:r>
          </w:p>
        </w:tc>
        <w:tc>
          <w:tcPr>
            <w:tcW w:w="709" w:type="dxa"/>
            <w:noWrap/>
            <w:vAlign w:val="center"/>
          </w:tcPr>
          <w:p w14:paraId="2481A26C" w14:textId="3FD9050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37 </w:t>
            </w:r>
          </w:p>
        </w:tc>
        <w:tc>
          <w:tcPr>
            <w:tcW w:w="850" w:type="dxa"/>
            <w:noWrap/>
            <w:vAlign w:val="center"/>
          </w:tcPr>
          <w:p w14:paraId="1C40D0DE" w14:textId="0367A7C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(4%)</w:t>
            </w:r>
          </w:p>
        </w:tc>
        <w:tc>
          <w:tcPr>
            <w:tcW w:w="851" w:type="dxa"/>
            <w:noWrap/>
            <w:vAlign w:val="center"/>
          </w:tcPr>
          <w:p w14:paraId="7D99A0FF" w14:textId="41C2915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55%</w:t>
            </w:r>
          </w:p>
        </w:tc>
        <w:tc>
          <w:tcPr>
            <w:tcW w:w="850" w:type="dxa"/>
            <w:noWrap/>
            <w:vAlign w:val="center"/>
          </w:tcPr>
          <w:p w14:paraId="09C25A5D" w14:textId="405CDDC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(8%)</w:t>
            </w:r>
          </w:p>
        </w:tc>
      </w:tr>
      <w:tr w:rsidR="00E8184D" w:rsidRPr="005045BF" w14:paraId="76CB7FA2"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5E3A749" w14:textId="2D06542F"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Subdirección de Servicios</w:t>
            </w:r>
          </w:p>
        </w:tc>
        <w:tc>
          <w:tcPr>
            <w:tcW w:w="709" w:type="dxa"/>
            <w:noWrap/>
            <w:vAlign w:val="center"/>
          </w:tcPr>
          <w:p w14:paraId="7995731C" w14:textId="3D5D5C2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709" w:type="dxa"/>
            <w:noWrap/>
            <w:vAlign w:val="center"/>
          </w:tcPr>
          <w:p w14:paraId="756DED9C" w14:textId="41A562A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8" w:type="dxa"/>
            <w:noWrap/>
            <w:vAlign w:val="center"/>
          </w:tcPr>
          <w:p w14:paraId="15415E01" w14:textId="00C60DF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07C0083C" w14:textId="4F29414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95 </w:t>
            </w:r>
          </w:p>
        </w:tc>
        <w:tc>
          <w:tcPr>
            <w:tcW w:w="709" w:type="dxa"/>
            <w:noWrap/>
            <w:vAlign w:val="center"/>
          </w:tcPr>
          <w:p w14:paraId="6D089E4A" w14:textId="7CB9A36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90 </w:t>
            </w:r>
          </w:p>
        </w:tc>
        <w:tc>
          <w:tcPr>
            <w:tcW w:w="709" w:type="dxa"/>
            <w:noWrap/>
            <w:vAlign w:val="center"/>
          </w:tcPr>
          <w:p w14:paraId="7EAD7B6F" w14:textId="78BF384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100 </w:t>
            </w:r>
          </w:p>
        </w:tc>
        <w:tc>
          <w:tcPr>
            <w:tcW w:w="850" w:type="dxa"/>
            <w:noWrap/>
            <w:vAlign w:val="center"/>
          </w:tcPr>
          <w:p w14:paraId="60654995" w14:textId="345D7B2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28C4C780" w14:textId="4D84036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20264255" w14:textId="4F0593C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19DAB274"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7EC5200" w14:textId="66D8543B"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Subdirección de Administración de Recursos Tecnológicos</w:t>
            </w:r>
          </w:p>
        </w:tc>
        <w:tc>
          <w:tcPr>
            <w:tcW w:w="709" w:type="dxa"/>
            <w:noWrap/>
            <w:vAlign w:val="center"/>
          </w:tcPr>
          <w:p w14:paraId="4012B66C" w14:textId="3A1969D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37 </w:t>
            </w:r>
          </w:p>
        </w:tc>
        <w:tc>
          <w:tcPr>
            <w:tcW w:w="709" w:type="dxa"/>
            <w:noWrap/>
            <w:vAlign w:val="center"/>
          </w:tcPr>
          <w:p w14:paraId="28ED20C8" w14:textId="0BB5B99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35 </w:t>
            </w:r>
          </w:p>
        </w:tc>
        <w:tc>
          <w:tcPr>
            <w:tcW w:w="708" w:type="dxa"/>
            <w:noWrap/>
            <w:vAlign w:val="center"/>
          </w:tcPr>
          <w:p w14:paraId="2C0F6070" w14:textId="79F582A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39 </w:t>
            </w:r>
          </w:p>
        </w:tc>
        <w:tc>
          <w:tcPr>
            <w:tcW w:w="709" w:type="dxa"/>
            <w:noWrap/>
            <w:vAlign w:val="center"/>
          </w:tcPr>
          <w:p w14:paraId="64F382F9" w14:textId="20030F0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29 </w:t>
            </w:r>
          </w:p>
        </w:tc>
        <w:tc>
          <w:tcPr>
            <w:tcW w:w="709" w:type="dxa"/>
            <w:noWrap/>
            <w:vAlign w:val="center"/>
          </w:tcPr>
          <w:p w14:paraId="6CF485F0" w14:textId="30642A7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39 </w:t>
            </w:r>
          </w:p>
        </w:tc>
        <w:tc>
          <w:tcPr>
            <w:tcW w:w="709" w:type="dxa"/>
            <w:noWrap/>
            <w:vAlign w:val="center"/>
          </w:tcPr>
          <w:p w14:paraId="7BC32F36" w14:textId="0DBE673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55 </w:t>
            </w:r>
          </w:p>
        </w:tc>
        <w:tc>
          <w:tcPr>
            <w:tcW w:w="850" w:type="dxa"/>
            <w:noWrap/>
            <w:vAlign w:val="center"/>
          </w:tcPr>
          <w:p w14:paraId="09F72188" w14:textId="23C8F0A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26%</w:t>
            </w:r>
          </w:p>
        </w:tc>
        <w:tc>
          <w:tcPr>
            <w:tcW w:w="851" w:type="dxa"/>
            <w:noWrap/>
            <w:vAlign w:val="center"/>
          </w:tcPr>
          <w:p w14:paraId="68CE1C12" w14:textId="6229445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(11%)</w:t>
            </w:r>
          </w:p>
        </w:tc>
        <w:tc>
          <w:tcPr>
            <w:tcW w:w="850" w:type="dxa"/>
            <w:noWrap/>
            <w:vAlign w:val="center"/>
          </w:tcPr>
          <w:p w14:paraId="4617CB2F" w14:textId="403FB06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(29%)</w:t>
            </w:r>
          </w:p>
        </w:tc>
      </w:tr>
      <w:tr w:rsidR="00E8184D" w:rsidRPr="005045BF" w14:paraId="4AA9CBD0"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5FCC096" w14:textId="14244E60"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Subdirección de Gestión de Talento Humano</w:t>
            </w:r>
          </w:p>
        </w:tc>
        <w:tc>
          <w:tcPr>
            <w:tcW w:w="709" w:type="dxa"/>
            <w:noWrap/>
            <w:vAlign w:val="center"/>
          </w:tcPr>
          <w:p w14:paraId="7C754063" w14:textId="49AC83C1" w:rsidR="00E8184D" w:rsidRPr="005045BF" w:rsidRDefault="00EF6518"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709" w:type="dxa"/>
            <w:noWrap/>
            <w:vAlign w:val="center"/>
          </w:tcPr>
          <w:p w14:paraId="39340695" w14:textId="3834D3F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24 </w:t>
            </w:r>
          </w:p>
        </w:tc>
        <w:tc>
          <w:tcPr>
            <w:tcW w:w="708" w:type="dxa"/>
            <w:noWrap/>
            <w:vAlign w:val="center"/>
          </w:tcPr>
          <w:p w14:paraId="1BED5C45" w14:textId="7A47668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w:t>
            </w:r>
            <w:r w:rsidR="00EF6518" w:rsidRPr="005045BF">
              <w:rPr>
                <w:rFonts w:ascii="Arial" w:hAnsi="Arial" w:cs="Arial"/>
                <w:color w:val="0F243E"/>
                <w:sz w:val="18"/>
                <w:szCs w:val="18"/>
              </w:rPr>
              <w:t>0</w:t>
            </w:r>
          </w:p>
        </w:tc>
        <w:tc>
          <w:tcPr>
            <w:tcW w:w="709" w:type="dxa"/>
            <w:noWrap/>
            <w:vAlign w:val="center"/>
          </w:tcPr>
          <w:p w14:paraId="7BF98A3F" w14:textId="009C4FC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15 </w:t>
            </w:r>
          </w:p>
        </w:tc>
        <w:tc>
          <w:tcPr>
            <w:tcW w:w="709" w:type="dxa"/>
            <w:noWrap/>
            <w:vAlign w:val="center"/>
          </w:tcPr>
          <w:p w14:paraId="2F398228" w14:textId="07AC768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38 </w:t>
            </w:r>
          </w:p>
        </w:tc>
        <w:tc>
          <w:tcPr>
            <w:tcW w:w="709" w:type="dxa"/>
            <w:noWrap/>
            <w:vAlign w:val="center"/>
          </w:tcPr>
          <w:p w14:paraId="4C430854" w14:textId="36FAAC30" w:rsidR="00E8184D" w:rsidRPr="005045BF" w:rsidRDefault="00EF6518"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0</w:t>
            </w:r>
            <w:r w:rsidR="00E8184D" w:rsidRPr="005045BF">
              <w:rPr>
                <w:rFonts w:ascii="Arial" w:hAnsi="Arial" w:cs="Arial"/>
                <w:color w:val="000000"/>
                <w:sz w:val="18"/>
                <w:szCs w:val="18"/>
              </w:rPr>
              <w:t> </w:t>
            </w:r>
          </w:p>
        </w:tc>
        <w:tc>
          <w:tcPr>
            <w:tcW w:w="850" w:type="dxa"/>
            <w:noWrap/>
            <w:vAlign w:val="center"/>
          </w:tcPr>
          <w:p w14:paraId="42A36983" w14:textId="6FA5366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1213AF1E" w14:textId="737339D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(38%)</w:t>
            </w:r>
          </w:p>
        </w:tc>
        <w:tc>
          <w:tcPr>
            <w:tcW w:w="850" w:type="dxa"/>
            <w:noWrap/>
            <w:vAlign w:val="center"/>
          </w:tcPr>
          <w:p w14:paraId="1831D44A" w14:textId="255CBA84" w:rsidR="00E8184D" w:rsidRPr="005045BF" w:rsidRDefault="00A84F6E"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SV</w:t>
            </w:r>
          </w:p>
        </w:tc>
      </w:tr>
      <w:tr w:rsidR="00E8184D" w:rsidRPr="005045BF" w14:paraId="79680094"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EFCB57D" w14:textId="4FDF84C7"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Subdirección Financiera</w:t>
            </w:r>
          </w:p>
        </w:tc>
        <w:tc>
          <w:tcPr>
            <w:tcW w:w="709" w:type="dxa"/>
            <w:noWrap/>
            <w:vAlign w:val="center"/>
          </w:tcPr>
          <w:p w14:paraId="6FCB6ED3" w14:textId="183FBFF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35 </w:t>
            </w:r>
          </w:p>
        </w:tc>
        <w:tc>
          <w:tcPr>
            <w:tcW w:w="709" w:type="dxa"/>
            <w:noWrap/>
            <w:vAlign w:val="center"/>
          </w:tcPr>
          <w:p w14:paraId="6A677C93" w14:textId="26E5DF7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38 </w:t>
            </w:r>
          </w:p>
        </w:tc>
        <w:tc>
          <w:tcPr>
            <w:tcW w:w="708" w:type="dxa"/>
            <w:noWrap/>
            <w:vAlign w:val="center"/>
          </w:tcPr>
          <w:p w14:paraId="1F231136" w14:textId="745FDA8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26 </w:t>
            </w:r>
          </w:p>
        </w:tc>
        <w:tc>
          <w:tcPr>
            <w:tcW w:w="709" w:type="dxa"/>
            <w:noWrap/>
            <w:vAlign w:val="center"/>
          </w:tcPr>
          <w:p w14:paraId="1F57F71F" w14:textId="49117A4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0CB02413" w14:textId="3E8D5B6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5C64AF23" w14:textId="4FF745C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850" w:type="dxa"/>
            <w:noWrap/>
            <w:vAlign w:val="center"/>
          </w:tcPr>
          <w:p w14:paraId="1D9FC16F" w14:textId="33D348F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14CC927F" w14:textId="5842B75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071CDD72" w14:textId="1281031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5F486184"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25EB2760" w14:textId="4CF5A035"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Pagaduría</w:t>
            </w:r>
          </w:p>
        </w:tc>
        <w:tc>
          <w:tcPr>
            <w:tcW w:w="709" w:type="dxa"/>
            <w:noWrap/>
            <w:vAlign w:val="center"/>
          </w:tcPr>
          <w:p w14:paraId="49526039" w14:textId="164E7BE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40 </w:t>
            </w:r>
          </w:p>
        </w:tc>
        <w:tc>
          <w:tcPr>
            <w:tcW w:w="709" w:type="dxa"/>
            <w:noWrap/>
            <w:vAlign w:val="center"/>
          </w:tcPr>
          <w:p w14:paraId="78423615" w14:textId="50430C0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40 </w:t>
            </w:r>
          </w:p>
        </w:tc>
        <w:tc>
          <w:tcPr>
            <w:tcW w:w="708" w:type="dxa"/>
            <w:noWrap/>
            <w:vAlign w:val="center"/>
          </w:tcPr>
          <w:p w14:paraId="1F21B97E" w14:textId="74BFC68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40 </w:t>
            </w:r>
          </w:p>
        </w:tc>
        <w:tc>
          <w:tcPr>
            <w:tcW w:w="709" w:type="dxa"/>
            <w:noWrap/>
            <w:vAlign w:val="center"/>
          </w:tcPr>
          <w:p w14:paraId="6BD5E5F8" w14:textId="3BFA490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50 </w:t>
            </w:r>
          </w:p>
        </w:tc>
        <w:tc>
          <w:tcPr>
            <w:tcW w:w="709" w:type="dxa"/>
            <w:noWrap/>
            <w:vAlign w:val="center"/>
          </w:tcPr>
          <w:p w14:paraId="07E45B13" w14:textId="0BD18C4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40 </w:t>
            </w:r>
          </w:p>
        </w:tc>
        <w:tc>
          <w:tcPr>
            <w:tcW w:w="709" w:type="dxa"/>
            <w:noWrap/>
            <w:vAlign w:val="center"/>
          </w:tcPr>
          <w:p w14:paraId="5E86A4AB" w14:textId="01006D9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40 </w:t>
            </w:r>
          </w:p>
        </w:tc>
        <w:tc>
          <w:tcPr>
            <w:tcW w:w="850" w:type="dxa"/>
            <w:noWrap/>
            <w:vAlign w:val="center"/>
          </w:tcPr>
          <w:p w14:paraId="6E6819DF" w14:textId="471BDB7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(20%)</w:t>
            </w:r>
          </w:p>
        </w:tc>
        <w:tc>
          <w:tcPr>
            <w:tcW w:w="851" w:type="dxa"/>
            <w:noWrap/>
            <w:vAlign w:val="center"/>
          </w:tcPr>
          <w:p w14:paraId="2AB5737A" w14:textId="7A5F67F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850" w:type="dxa"/>
            <w:noWrap/>
            <w:vAlign w:val="center"/>
          </w:tcPr>
          <w:p w14:paraId="0E1BE5B7" w14:textId="3924187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r>
      <w:tr w:rsidR="00E8184D" w:rsidRPr="005045BF" w14:paraId="2D4B5166"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6D1DC17" w14:textId="060FE9E6"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Contabilidad</w:t>
            </w:r>
          </w:p>
        </w:tc>
        <w:tc>
          <w:tcPr>
            <w:tcW w:w="709" w:type="dxa"/>
            <w:noWrap/>
            <w:vAlign w:val="center"/>
          </w:tcPr>
          <w:p w14:paraId="6BF56812" w14:textId="5C3D675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709" w:type="dxa"/>
            <w:noWrap/>
            <w:vAlign w:val="center"/>
          </w:tcPr>
          <w:p w14:paraId="40A67559" w14:textId="3AB36D3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8" w:type="dxa"/>
            <w:noWrap/>
            <w:vAlign w:val="center"/>
          </w:tcPr>
          <w:p w14:paraId="4CF0A615" w14:textId="1070EE2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472049CC" w14:textId="71BDD2B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44 </w:t>
            </w:r>
          </w:p>
        </w:tc>
        <w:tc>
          <w:tcPr>
            <w:tcW w:w="709" w:type="dxa"/>
            <w:noWrap/>
            <w:vAlign w:val="center"/>
          </w:tcPr>
          <w:p w14:paraId="3CBBEC9A" w14:textId="1A4ACFB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35 </w:t>
            </w:r>
          </w:p>
        </w:tc>
        <w:tc>
          <w:tcPr>
            <w:tcW w:w="709" w:type="dxa"/>
            <w:noWrap/>
            <w:vAlign w:val="center"/>
          </w:tcPr>
          <w:p w14:paraId="1070B374" w14:textId="4310644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32 </w:t>
            </w:r>
          </w:p>
        </w:tc>
        <w:tc>
          <w:tcPr>
            <w:tcW w:w="850" w:type="dxa"/>
            <w:noWrap/>
            <w:vAlign w:val="center"/>
          </w:tcPr>
          <w:p w14:paraId="4EA12502" w14:textId="1729D0E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17159C97" w14:textId="4687401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3324FEAF" w14:textId="5B2FC65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4CE983A1"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D7E7705" w14:textId="2B8CCB76"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Administración de Personal</w:t>
            </w:r>
          </w:p>
        </w:tc>
        <w:tc>
          <w:tcPr>
            <w:tcW w:w="709" w:type="dxa"/>
            <w:noWrap/>
            <w:vAlign w:val="center"/>
          </w:tcPr>
          <w:p w14:paraId="37A8C0CD" w14:textId="41E707F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709" w:type="dxa"/>
            <w:noWrap/>
            <w:vAlign w:val="center"/>
          </w:tcPr>
          <w:p w14:paraId="5FF944F9" w14:textId="5729C07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8" w:type="dxa"/>
            <w:noWrap/>
            <w:vAlign w:val="center"/>
          </w:tcPr>
          <w:p w14:paraId="78D7EFC0" w14:textId="77C9430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0F159D27" w14:textId="7C37189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19 </w:t>
            </w:r>
          </w:p>
        </w:tc>
        <w:tc>
          <w:tcPr>
            <w:tcW w:w="709" w:type="dxa"/>
            <w:noWrap/>
            <w:vAlign w:val="center"/>
          </w:tcPr>
          <w:p w14:paraId="4B3A9325" w14:textId="5BF3DEC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14 </w:t>
            </w:r>
          </w:p>
        </w:tc>
        <w:tc>
          <w:tcPr>
            <w:tcW w:w="709" w:type="dxa"/>
            <w:noWrap/>
            <w:vAlign w:val="center"/>
          </w:tcPr>
          <w:p w14:paraId="212BD234" w14:textId="08B1E40D"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29 </w:t>
            </w:r>
          </w:p>
        </w:tc>
        <w:tc>
          <w:tcPr>
            <w:tcW w:w="850" w:type="dxa"/>
            <w:noWrap/>
            <w:vAlign w:val="center"/>
          </w:tcPr>
          <w:p w14:paraId="292BCD9D" w14:textId="0AC8516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107BC6C5" w14:textId="5C75FF8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77853906" w14:textId="71FC251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0B4DDBE1"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356B996C" w14:textId="53663C77"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Historias Laborales</w:t>
            </w:r>
          </w:p>
        </w:tc>
        <w:tc>
          <w:tcPr>
            <w:tcW w:w="709" w:type="dxa"/>
            <w:noWrap/>
            <w:vAlign w:val="center"/>
          </w:tcPr>
          <w:p w14:paraId="7BE98738" w14:textId="7129064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709" w:type="dxa"/>
            <w:noWrap/>
            <w:vAlign w:val="center"/>
          </w:tcPr>
          <w:p w14:paraId="48F55805" w14:textId="4DE2C0E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8" w:type="dxa"/>
            <w:noWrap/>
            <w:vAlign w:val="center"/>
          </w:tcPr>
          <w:p w14:paraId="073E8838" w14:textId="0F0F92E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04FC7C01" w14:textId="2DD3B0F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30 </w:t>
            </w:r>
          </w:p>
        </w:tc>
        <w:tc>
          <w:tcPr>
            <w:tcW w:w="709" w:type="dxa"/>
            <w:noWrap/>
            <w:vAlign w:val="center"/>
          </w:tcPr>
          <w:p w14:paraId="652DD38E" w14:textId="2D37EAC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74 </w:t>
            </w:r>
          </w:p>
        </w:tc>
        <w:tc>
          <w:tcPr>
            <w:tcW w:w="709" w:type="dxa"/>
            <w:noWrap/>
            <w:vAlign w:val="center"/>
          </w:tcPr>
          <w:p w14:paraId="2A19DA56" w14:textId="0BE3A7F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75 </w:t>
            </w:r>
          </w:p>
        </w:tc>
        <w:tc>
          <w:tcPr>
            <w:tcW w:w="850" w:type="dxa"/>
            <w:noWrap/>
            <w:vAlign w:val="center"/>
          </w:tcPr>
          <w:p w14:paraId="3CD9D05C" w14:textId="3C6BD8F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1" w:type="dxa"/>
            <w:noWrap/>
            <w:vAlign w:val="center"/>
          </w:tcPr>
          <w:p w14:paraId="0B1B3F54" w14:textId="33F7D60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2F592E31" w14:textId="4E89008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523C5785"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44F9048E" w14:textId="142A8FD4"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 xml:space="preserve"> Grupo de Logistica y Suministros </w:t>
            </w:r>
          </w:p>
        </w:tc>
        <w:tc>
          <w:tcPr>
            <w:tcW w:w="709" w:type="dxa"/>
            <w:noWrap/>
            <w:vAlign w:val="center"/>
          </w:tcPr>
          <w:p w14:paraId="20308FCF" w14:textId="4DAD36C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w:t>
            </w:r>
            <w:r w:rsidR="009E4B0D" w:rsidRPr="005045BF">
              <w:rPr>
                <w:rFonts w:ascii="Arial" w:hAnsi="Arial" w:cs="Arial"/>
                <w:color w:val="000000"/>
                <w:sz w:val="18"/>
                <w:szCs w:val="18"/>
              </w:rPr>
              <w:t>0</w:t>
            </w:r>
            <w:r w:rsidRPr="005045BF">
              <w:rPr>
                <w:rFonts w:ascii="Arial" w:hAnsi="Arial" w:cs="Arial"/>
                <w:color w:val="000000"/>
                <w:sz w:val="18"/>
                <w:szCs w:val="18"/>
              </w:rPr>
              <w:t xml:space="preserve"> </w:t>
            </w:r>
          </w:p>
        </w:tc>
        <w:tc>
          <w:tcPr>
            <w:tcW w:w="709" w:type="dxa"/>
            <w:noWrap/>
            <w:vAlign w:val="center"/>
          </w:tcPr>
          <w:p w14:paraId="0209B1F9" w14:textId="78E516D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8" w:type="dxa"/>
            <w:noWrap/>
            <w:vAlign w:val="center"/>
          </w:tcPr>
          <w:p w14:paraId="48FD52A8" w14:textId="07AB6A3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3958CF86" w14:textId="0E753F3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824 </w:t>
            </w:r>
          </w:p>
        </w:tc>
        <w:tc>
          <w:tcPr>
            <w:tcW w:w="709" w:type="dxa"/>
            <w:noWrap/>
            <w:vAlign w:val="center"/>
          </w:tcPr>
          <w:p w14:paraId="1F1E2604" w14:textId="4306C61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949 </w:t>
            </w:r>
          </w:p>
        </w:tc>
        <w:tc>
          <w:tcPr>
            <w:tcW w:w="709" w:type="dxa"/>
            <w:noWrap/>
            <w:vAlign w:val="center"/>
          </w:tcPr>
          <w:p w14:paraId="62A5353A" w14:textId="75E9770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966 </w:t>
            </w:r>
          </w:p>
        </w:tc>
        <w:tc>
          <w:tcPr>
            <w:tcW w:w="850" w:type="dxa"/>
            <w:noWrap/>
            <w:vAlign w:val="center"/>
          </w:tcPr>
          <w:p w14:paraId="76F7E0BD" w14:textId="5769CA6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w:t>
            </w:r>
            <w:r w:rsidR="009E4B0D" w:rsidRPr="005045BF">
              <w:rPr>
                <w:rFonts w:ascii="Arial" w:hAnsi="Arial" w:cs="Arial"/>
                <w:color w:val="0F243E"/>
                <w:sz w:val="18"/>
                <w:szCs w:val="18"/>
              </w:rPr>
              <w:t>100</w:t>
            </w:r>
            <w:r w:rsidRPr="005045BF">
              <w:rPr>
                <w:rFonts w:ascii="Arial" w:hAnsi="Arial" w:cs="Arial"/>
                <w:color w:val="0F243E"/>
                <w:sz w:val="18"/>
                <w:szCs w:val="18"/>
              </w:rPr>
              <w:t>%)</w:t>
            </w:r>
          </w:p>
        </w:tc>
        <w:tc>
          <w:tcPr>
            <w:tcW w:w="851" w:type="dxa"/>
            <w:noWrap/>
            <w:vAlign w:val="center"/>
          </w:tcPr>
          <w:p w14:paraId="1E75975E" w14:textId="6EADC09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c>
          <w:tcPr>
            <w:tcW w:w="850" w:type="dxa"/>
            <w:noWrap/>
            <w:vAlign w:val="center"/>
          </w:tcPr>
          <w:p w14:paraId="203CA96C" w14:textId="0F9F725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0233189A"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6FF66780" w14:textId="3FDC6F63"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Infraestructura</w:t>
            </w:r>
          </w:p>
        </w:tc>
        <w:tc>
          <w:tcPr>
            <w:tcW w:w="709" w:type="dxa"/>
            <w:noWrap/>
            <w:vAlign w:val="center"/>
          </w:tcPr>
          <w:p w14:paraId="5AED7FB3" w14:textId="4D30BEC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21 </w:t>
            </w:r>
          </w:p>
        </w:tc>
        <w:tc>
          <w:tcPr>
            <w:tcW w:w="709" w:type="dxa"/>
            <w:noWrap/>
            <w:vAlign w:val="center"/>
          </w:tcPr>
          <w:p w14:paraId="6448ECF0" w14:textId="3BF1FAD6"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36 </w:t>
            </w:r>
          </w:p>
        </w:tc>
        <w:tc>
          <w:tcPr>
            <w:tcW w:w="708" w:type="dxa"/>
            <w:noWrap/>
            <w:vAlign w:val="center"/>
          </w:tcPr>
          <w:p w14:paraId="5CB69724" w14:textId="6646152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w:t>
            </w:r>
            <w:r w:rsidR="00346427" w:rsidRPr="005045BF">
              <w:rPr>
                <w:rFonts w:ascii="Arial" w:hAnsi="Arial" w:cs="Arial"/>
                <w:color w:val="0F243E"/>
                <w:sz w:val="18"/>
                <w:szCs w:val="18"/>
              </w:rPr>
              <w:t>0</w:t>
            </w:r>
          </w:p>
        </w:tc>
        <w:tc>
          <w:tcPr>
            <w:tcW w:w="709" w:type="dxa"/>
            <w:noWrap/>
            <w:vAlign w:val="center"/>
          </w:tcPr>
          <w:p w14:paraId="63D125C1" w14:textId="53E8E11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30 </w:t>
            </w:r>
          </w:p>
        </w:tc>
        <w:tc>
          <w:tcPr>
            <w:tcW w:w="709" w:type="dxa"/>
            <w:noWrap/>
            <w:vAlign w:val="center"/>
          </w:tcPr>
          <w:p w14:paraId="69A2499B" w14:textId="281041C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39 </w:t>
            </w:r>
          </w:p>
        </w:tc>
        <w:tc>
          <w:tcPr>
            <w:tcW w:w="709" w:type="dxa"/>
            <w:noWrap/>
            <w:vAlign w:val="center"/>
          </w:tcPr>
          <w:p w14:paraId="11EEC01D" w14:textId="12B7D33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37 </w:t>
            </w:r>
          </w:p>
        </w:tc>
        <w:tc>
          <w:tcPr>
            <w:tcW w:w="850" w:type="dxa"/>
            <w:noWrap/>
            <w:vAlign w:val="center"/>
          </w:tcPr>
          <w:p w14:paraId="0F4CD53B" w14:textId="5FD294E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(30%)</w:t>
            </w:r>
          </w:p>
        </w:tc>
        <w:tc>
          <w:tcPr>
            <w:tcW w:w="851" w:type="dxa"/>
            <w:noWrap/>
            <w:vAlign w:val="center"/>
          </w:tcPr>
          <w:p w14:paraId="119CF0DC" w14:textId="6839A41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(6%)</w:t>
            </w:r>
          </w:p>
        </w:tc>
        <w:tc>
          <w:tcPr>
            <w:tcW w:w="850" w:type="dxa"/>
            <w:noWrap/>
            <w:vAlign w:val="center"/>
          </w:tcPr>
          <w:p w14:paraId="4CD0D2C8" w14:textId="06D1327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(100%)</w:t>
            </w:r>
          </w:p>
        </w:tc>
      </w:tr>
      <w:tr w:rsidR="00E8184D" w:rsidRPr="005045BF" w14:paraId="2EE77E25"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7D438C88" w14:textId="06AA0BB9"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Gestión de Información</w:t>
            </w:r>
          </w:p>
        </w:tc>
        <w:tc>
          <w:tcPr>
            <w:tcW w:w="709" w:type="dxa"/>
            <w:noWrap/>
            <w:vAlign w:val="center"/>
          </w:tcPr>
          <w:p w14:paraId="23732D47" w14:textId="6213CCB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21 </w:t>
            </w:r>
          </w:p>
        </w:tc>
        <w:tc>
          <w:tcPr>
            <w:tcW w:w="709" w:type="dxa"/>
            <w:noWrap/>
            <w:vAlign w:val="center"/>
          </w:tcPr>
          <w:p w14:paraId="149CCE8B" w14:textId="0F5F260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30 </w:t>
            </w:r>
          </w:p>
        </w:tc>
        <w:tc>
          <w:tcPr>
            <w:tcW w:w="708" w:type="dxa"/>
            <w:noWrap/>
            <w:vAlign w:val="center"/>
          </w:tcPr>
          <w:p w14:paraId="5EAC647D" w14:textId="21E135A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14 </w:t>
            </w:r>
          </w:p>
        </w:tc>
        <w:tc>
          <w:tcPr>
            <w:tcW w:w="709" w:type="dxa"/>
            <w:noWrap/>
            <w:vAlign w:val="center"/>
          </w:tcPr>
          <w:p w14:paraId="1697FFE1" w14:textId="377A7B1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16 </w:t>
            </w:r>
          </w:p>
        </w:tc>
        <w:tc>
          <w:tcPr>
            <w:tcW w:w="709" w:type="dxa"/>
            <w:noWrap/>
            <w:vAlign w:val="center"/>
          </w:tcPr>
          <w:p w14:paraId="604026DD" w14:textId="70D157A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26 </w:t>
            </w:r>
          </w:p>
        </w:tc>
        <w:tc>
          <w:tcPr>
            <w:tcW w:w="709" w:type="dxa"/>
            <w:noWrap/>
            <w:vAlign w:val="center"/>
          </w:tcPr>
          <w:p w14:paraId="181FDB1B" w14:textId="0798A16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40 </w:t>
            </w:r>
          </w:p>
        </w:tc>
        <w:tc>
          <w:tcPr>
            <w:tcW w:w="850" w:type="dxa"/>
            <w:noWrap/>
            <w:vAlign w:val="center"/>
          </w:tcPr>
          <w:p w14:paraId="19256717" w14:textId="6C33E2F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28%</w:t>
            </w:r>
          </w:p>
        </w:tc>
        <w:tc>
          <w:tcPr>
            <w:tcW w:w="851" w:type="dxa"/>
            <w:noWrap/>
            <w:vAlign w:val="center"/>
          </w:tcPr>
          <w:p w14:paraId="4AF08D62" w14:textId="5EB39EB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17%</w:t>
            </w:r>
          </w:p>
        </w:tc>
        <w:tc>
          <w:tcPr>
            <w:tcW w:w="850" w:type="dxa"/>
            <w:noWrap/>
            <w:vAlign w:val="center"/>
          </w:tcPr>
          <w:p w14:paraId="096CD301" w14:textId="7032E699"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(65%)</w:t>
            </w:r>
          </w:p>
        </w:tc>
      </w:tr>
      <w:tr w:rsidR="00E8184D" w:rsidRPr="005045BF" w14:paraId="33D03995"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50D09300" w14:textId="1DC597DE"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Grupo de Logística y Servicios Especiales</w:t>
            </w:r>
          </w:p>
        </w:tc>
        <w:tc>
          <w:tcPr>
            <w:tcW w:w="709" w:type="dxa"/>
            <w:noWrap/>
            <w:vAlign w:val="center"/>
          </w:tcPr>
          <w:p w14:paraId="6CA456DE" w14:textId="37762CFE" w:rsidR="00E8184D" w:rsidRPr="005045BF" w:rsidRDefault="009E4B0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318</w:t>
            </w:r>
          </w:p>
        </w:tc>
        <w:tc>
          <w:tcPr>
            <w:tcW w:w="709" w:type="dxa"/>
            <w:noWrap/>
            <w:vAlign w:val="center"/>
          </w:tcPr>
          <w:p w14:paraId="77A563C1" w14:textId="74239B8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324 </w:t>
            </w:r>
          </w:p>
        </w:tc>
        <w:tc>
          <w:tcPr>
            <w:tcW w:w="708" w:type="dxa"/>
            <w:noWrap/>
            <w:vAlign w:val="center"/>
          </w:tcPr>
          <w:p w14:paraId="1EF0CC8A" w14:textId="70D211C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212 </w:t>
            </w:r>
          </w:p>
        </w:tc>
        <w:tc>
          <w:tcPr>
            <w:tcW w:w="709" w:type="dxa"/>
            <w:noWrap/>
            <w:vAlign w:val="center"/>
          </w:tcPr>
          <w:p w14:paraId="16E3937E" w14:textId="4DDDE86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0 </w:t>
            </w:r>
          </w:p>
        </w:tc>
        <w:tc>
          <w:tcPr>
            <w:tcW w:w="709" w:type="dxa"/>
            <w:noWrap/>
            <w:vAlign w:val="center"/>
          </w:tcPr>
          <w:p w14:paraId="339DF595" w14:textId="58BCCBF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4DE3206E" w14:textId="059614B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850" w:type="dxa"/>
            <w:noWrap/>
            <w:vAlign w:val="center"/>
          </w:tcPr>
          <w:p w14:paraId="1D600ADB" w14:textId="3AFD9B8C" w:rsidR="00E8184D" w:rsidRPr="005045BF" w:rsidRDefault="009E4B0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1" w:type="dxa"/>
            <w:noWrap/>
            <w:vAlign w:val="center"/>
          </w:tcPr>
          <w:p w14:paraId="088D46CF" w14:textId="235E03A3"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0" w:type="dxa"/>
            <w:noWrap/>
            <w:vAlign w:val="center"/>
          </w:tcPr>
          <w:p w14:paraId="2EE21F1C" w14:textId="68BE5C4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r>
      <w:tr w:rsidR="00E8184D" w:rsidRPr="005045BF" w14:paraId="5984DDCE"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9BE9E89" w14:textId="405FCF74" w:rsidR="00E8184D" w:rsidRPr="005045BF" w:rsidRDefault="00E8184D" w:rsidP="00675E4F">
            <w:pPr>
              <w:widowControl w:val="0"/>
              <w:rPr>
                <w:rFonts w:ascii="Arial" w:hAnsi="Arial" w:cs="Arial"/>
                <w:b w:val="0"/>
                <w:bCs w:val="0"/>
                <w:color w:val="0F243E" w:themeColor="text2" w:themeShade="80"/>
                <w:sz w:val="18"/>
                <w:szCs w:val="18"/>
              </w:rPr>
            </w:pPr>
            <w:r w:rsidRPr="005045BF">
              <w:rPr>
                <w:rFonts w:ascii="Arial" w:hAnsi="Arial" w:cs="Arial"/>
                <w:b w:val="0"/>
                <w:bCs w:val="0"/>
                <w:color w:val="0F243E"/>
                <w:sz w:val="18"/>
                <w:szCs w:val="18"/>
              </w:rPr>
              <w:t xml:space="preserve">Grupo de Bienes y Suministros </w:t>
            </w:r>
          </w:p>
        </w:tc>
        <w:tc>
          <w:tcPr>
            <w:tcW w:w="709" w:type="dxa"/>
            <w:noWrap/>
            <w:vAlign w:val="center"/>
          </w:tcPr>
          <w:p w14:paraId="70D4981A" w14:textId="0EE0239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 xml:space="preserve">     46 </w:t>
            </w:r>
          </w:p>
        </w:tc>
        <w:tc>
          <w:tcPr>
            <w:tcW w:w="709" w:type="dxa"/>
            <w:noWrap/>
            <w:vAlign w:val="center"/>
          </w:tcPr>
          <w:p w14:paraId="26DC0F57" w14:textId="0040AB6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85 </w:t>
            </w:r>
          </w:p>
        </w:tc>
        <w:tc>
          <w:tcPr>
            <w:tcW w:w="708" w:type="dxa"/>
            <w:noWrap/>
            <w:vAlign w:val="center"/>
          </w:tcPr>
          <w:p w14:paraId="634533AD" w14:textId="6133F6AF"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83 </w:t>
            </w:r>
          </w:p>
        </w:tc>
        <w:tc>
          <w:tcPr>
            <w:tcW w:w="709" w:type="dxa"/>
            <w:noWrap/>
            <w:vAlign w:val="center"/>
          </w:tcPr>
          <w:p w14:paraId="70DC6117" w14:textId="398E1BC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5185A91D" w14:textId="7011F8C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0FB59DD2" w14:textId="2B900BD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850" w:type="dxa"/>
            <w:noWrap/>
            <w:vAlign w:val="center"/>
          </w:tcPr>
          <w:p w14:paraId="4574446D" w14:textId="79D42FF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1" w:type="dxa"/>
            <w:noWrap/>
            <w:vAlign w:val="center"/>
          </w:tcPr>
          <w:p w14:paraId="1871D9D9" w14:textId="69E613D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0" w:type="dxa"/>
            <w:noWrap/>
            <w:vAlign w:val="center"/>
          </w:tcPr>
          <w:p w14:paraId="62BF21E9" w14:textId="3A94CE7E"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r>
      <w:tr w:rsidR="00E8184D" w:rsidRPr="005045BF" w14:paraId="3902192E"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558A6353" w14:textId="2DB056E3"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00000"/>
                <w:sz w:val="18"/>
                <w:szCs w:val="18"/>
              </w:rPr>
              <w:t xml:space="preserve">Grupo de Política y Administración Judicial </w:t>
            </w:r>
          </w:p>
        </w:tc>
        <w:tc>
          <w:tcPr>
            <w:tcW w:w="709" w:type="dxa"/>
            <w:noWrap/>
            <w:vAlign w:val="center"/>
          </w:tcPr>
          <w:p w14:paraId="39114FAE" w14:textId="23D4C481"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682A8898" w14:textId="2EE46B4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0</w:t>
            </w:r>
          </w:p>
        </w:tc>
        <w:tc>
          <w:tcPr>
            <w:tcW w:w="708" w:type="dxa"/>
            <w:noWrap/>
            <w:vAlign w:val="center"/>
          </w:tcPr>
          <w:p w14:paraId="42C72CE0" w14:textId="59073B3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0</w:t>
            </w:r>
          </w:p>
        </w:tc>
        <w:tc>
          <w:tcPr>
            <w:tcW w:w="709" w:type="dxa"/>
            <w:noWrap/>
            <w:vAlign w:val="center"/>
          </w:tcPr>
          <w:p w14:paraId="6E11584D" w14:textId="3BA43FA2"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15 </w:t>
            </w:r>
          </w:p>
        </w:tc>
        <w:tc>
          <w:tcPr>
            <w:tcW w:w="709" w:type="dxa"/>
            <w:noWrap/>
            <w:vAlign w:val="center"/>
          </w:tcPr>
          <w:p w14:paraId="2A757464" w14:textId="2729F0BC"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11 </w:t>
            </w:r>
          </w:p>
        </w:tc>
        <w:tc>
          <w:tcPr>
            <w:tcW w:w="709" w:type="dxa"/>
            <w:noWrap/>
            <w:vAlign w:val="center"/>
          </w:tcPr>
          <w:p w14:paraId="76FEE1E3" w14:textId="7E346ACB"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 xml:space="preserve">       0   </w:t>
            </w:r>
          </w:p>
        </w:tc>
        <w:tc>
          <w:tcPr>
            <w:tcW w:w="850" w:type="dxa"/>
            <w:noWrap/>
            <w:vAlign w:val="center"/>
          </w:tcPr>
          <w:p w14:paraId="2B2CBF32" w14:textId="58F454F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c>
          <w:tcPr>
            <w:tcW w:w="851" w:type="dxa"/>
            <w:noWrap/>
            <w:vAlign w:val="center"/>
          </w:tcPr>
          <w:p w14:paraId="6EAFB335" w14:textId="682F051F" w:rsidR="00E8184D" w:rsidRPr="005045BF" w:rsidRDefault="00D5617E"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w:t>
            </w:r>
            <w:r w:rsidR="00E8184D" w:rsidRPr="005045BF">
              <w:rPr>
                <w:rFonts w:ascii="Arial" w:hAnsi="Arial" w:cs="Arial"/>
                <w:color w:val="0F243E"/>
                <w:sz w:val="18"/>
                <w:szCs w:val="18"/>
              </w:rPr>
              <w:t>100%</w:t>
            </w:r>
            <w:r w:rsidRPr="005045BF">
              <w:rPr>
                <w:rFonts w:ascii="Arial" w:hAnsi="Arial" w:cs="Arial"/>
                <w:color w:val="0F243E"/>
                <w:sz w:val="18"/>
                <w:szCs w:val="18"/>
              </w:rPr>
              <w:t>)</w:t>
            </w:r>
          </w:p>
        </w:tc>
        <w:tc>
          <w:tcPr>
            <w:tcW w:w="850" w:type="dxa"/>
            <w:noWrap/>
            <w:vAlign w:val="center"/>
          </w:tcPr>
          <w:p w14:paraId="657AF47C" w14:textId="55632A7E" w:rsidR="00E8184D" w:rsidRPr="005045BF" w:rsidRDefault="00A84F6E"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SV</w:t>
            </w:r>
          </w:p>
        </w:tc>
      </w:tr>
      <w:tr w:rsidR="00E8184D" w:rsidRPr="005045BF" w14:paraId="3FDD4D15"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noWrap/>
            <w:vAlign w:val="center"/>
          </w:tcPr>
          <w:p w14:paraId="0DFAE23F" w14:textId="72F008F9" w:rsidR="00E8184D" w:rsidRPr="005045BF" w:rsidRDefault="00E8184D" w:rsidP="00675E4F">
            <w:pPr>
              <w:widowControl w:val="0"/>
              <w:rPr>
                <w:rFonts w:ascii="Arial" w:hAnsi="Arial" w:cs="Arial"/>
                <w:b w:val="0"/>
                <w:bCs w:val="0"/>
                <w:color w:val="0F243E"/>
                <w:sz w:val="18"/>
                <w:szCs w:val="18"/>
              </w:rPr>
            </w:pPr>
            <w:r w:rsidRPr="005045BF">
              <w:rPr>
                <w:rFonts w:ascii="Arial" w:hAnsi="Arial" w:cs="Arial"/>
                <w:b w:val="0"/>
                <w:bCs w:val="0"/>
                <w:color w:val="000000"/>
                <w:sz w:val="18"/>
                <w:szCs w:val="18"/>
              </w:rPr>
              <w:t>Grupo de Asuntos Jurídicos</w:t>
            </w:r>
          </w:p>
        </w:tc>
        <w:tc>
          <w:tcPr>
            <w:tcW w:w="709" w:type="dxa"/>
            <w:noWrap/>
            <w:vAlign w:val="center"/>
          </w:tcPr>
          <w:p w14:paraId="6CC64A46" w14:textId="12378B65"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0E1C52E6" w14:textId="1C262DAA"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0</w:t>
            </w:r>
          </w:p>
        </w:tc>
        <w:tc>
          <w:tcPr>
            <w:tcW w:w="708" w:type="dxa"/>
            <w:noWrap/>
            <w:vAlign w:val="center"/>
          </w:tcPr>
          <w:p w14:paraId="6FA4F195" w14:textId="2A1CBEF4"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 xml:space="preserve">  15 </w:t>
            </w:r>
          </w:p>
        </w:tc>
        <w:tc>
          <w:tcPr>
            <w:tcW w:w="709" w:type="dxa"/>
            <w:noWrap/>
            <w:vAlign w:val="center"/>
          </w:tcPr>
          <w:p w14:paraId="25D4CB87" w14:textId="23657407"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6F90D12F" w14:textId="06210810"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709" w:type="dxa"/>
            <w:noWrap/>
            <w:vAlign w:val="center"/>
          </w:tcPr>
          <w:p w14:paraId="21B5DB6E" w14:textId="3C3F074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sz w:val="18"/>
                <w:szCs w:val="18"/>
              </w:rPr>
              <w:t>0</w:t>
            </w:r>
          </w:p>
        </w:tc>
        <w:tc>
          <w:tcPr>
            <w:tcW w:w="850" w:type="dxa"/>
            <w:noWrap/>
            <w:vAlign w:val="center"/>
          </w:tcPr>
          <w:p w14:paraId="58AFDF67" w14:textId="2CBC55F0" w:rsidR="00E8184D" w:rsidRPr="005045BF" w:rsidRDefault="00A84F6E"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SV</w:t>
            </w:r>
          </w:p>
        </w:tc>
        <w:tc>
          <w:tcPr>
            <w:tcW w:w="851" w:type="dxa"/>
            <w:noWrap/>
            <w:vAlign w:val="center"/>
          </w:tcPr>
          <w:p w14:paraId="6E1A6774" w14:textId="50418A49" w:rsidR="00E8184D" w:rsidRPr="005045BF" w:rsidRDefault="00A84F6E"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SV</w:t>
            </w:r>
          </w:p>
        </w:tc>
        <w:tc>
          <w:tcPr>
            <w:tcW w:w="850" w:type="dxa"/>
            <w:noWrap/>
            <w:vAlign w:val="center"/>
          </w:tcPr>
          <w:p w14:paraId="05FFC2B5" w14:textId="0E2C73C8" w:rsidR="00E8184D" w:rsidRPr="005045BF" w:rsidRDefault="00E8184D"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18"/>
                <w:szCs w:val="18"/>
              </w:rPr>
            </w:pPr>
            <w:r w:rsidRPr="005045BF">
              <w:rPr>
                <w:rFonts w:ascii="Arial" w:hAnsi="Arial" w:cs="Arial"/>
                <w:color w:val="0F243E"/>
                <w:sz w:val="18"/>
                <w:szCs w:val="18"/>
              </w:rPr>
              <w:t>100%</w:t>
            </w:r>
          </w:p>
        </w:tc>
      </w:tr>
      <w:tr w:rsidR="00D92CBD" w:rsidRPr="005045BF" w14:paraId="2C0BB20D"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558EC370" w14:textId="77777777" w:rsidR="00D92CBD" w:rsidRPr="005045BF" w:rsidRDefault="00D92CBD" w:rsidP="00675E4F">
            <w:pPr>
              <w:widowControl w:val="0"/>
              <w:rPr>
                <w:rFonts w:ascii="Arial" w:hAnsi="Arial" w:cs="Arial"/>
                <w:color w:val="FFFFFF" w:themeColor="background1"/>
                <w:sz w:val="18"/>
                <w:szCs w:val="18"/>
              </w:rPr>
            </w:pPr>
            <w:r w:rsidRPr="005045BF">
              <w:rPr>
                <w:rFonts w:ascii="Arial" w:hAnsi="Arial" w:cs="Arial"/>
                <w:color w:val="FFFFFF" w:themeColor="background1"/>
                <w:sz w:val="18"/>
                <w:szCs w:val="18"/>
              </w:rPr>
              <w:t>Total</w:t>
            </w:r>
          </w:p>
        </w:tc>
        <w:tc>
          <w:tcPr>
            <w:tcW w:w="709" w:type="dxa"/>
            <w:shd w:val="clear" w:color="auto" w:fill="4F81BD" w:themeFill="accent1"/>
            <w:noWrap/>
            <w:vAlign w:val="center"/>
          </w:tcPr>
          <w:p w14:paraId="60EC92F7" w14:textId="04E58C70"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2.307 </w:t>
            </w:r>
          </w:p>
        </w:tc>
        <w:tc>
          <w:tcPr>
            <w:tcW w:w="709" w:type="dxa"/>
            <w:shd w:val="clear" w:color="auto" w:fill="4F81BD" w:themeFill="accent1"/>
            <w:noWrap/>
            <w:vAlign w:val="center"/>
          </w:tcPr>
          <w:p w14:paraId="6ECEE5D8" w14:textId="7C5FB1C9"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2.497 </w:t>
            </w:r>
          </w:p>
        </w:tc>
        <w:tc>
          <w:tcPr>
            <w:tcW w:w="708" w:type="dxa"/>
            <w:shd w:val="clear" w:color="auto" w:fill="4F81BD" w:themeFill="accent1"/>
            <w:noWrap/>
            <w:vAlign w:val="center"/>
          </w:tcPr>
          <w:p w14:paraId="125480B0" w14:textId="2CF77EAE"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1.976 </w:t>
            </w:r>
          </w:p>
        </w:tc>
        <w:tc>
          <w:tcPr>
            <w:tcW w:w="709" w:type="dxa"/>
            <w:shd w:val="clear" w:color="auto" w:fill="4F81BD" w:themeFill="accent1"/>
            <w:noWrap/>
            <w:vAlign w:val="center"/>
          </w:tcPr>
          <w:p w14:paraId="4ED9A519" w14:textId="7943717A"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2.330 </w:t>
            </w:r>
          </w:p>
        </w:tc>
        <w:tc>
          <w:tcPr>
            <w:tcW w:w="709" w:type="dxa"/>
            <w:shd w:val="clear" w:color="auto" w:fill="4F81BD" w:themeFill="accent1"/>
            <w:noWrap/>
            <w:vAlign w:val="center"/>
          </w:tcPr>
          <w:p w14:paraId="0E9F7CA9" w14:textId="2B653D2C"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2.506 </w:t>
            </w:r>
          </w:p>
        </w:tc>
        <w:tc>
          <w:tcPr>
            <w:tcW w:w="709" w:type="dxa"/>
            <w:shd w:val="clear" w:color="auto" w:fill="4F81BD" w:themeFill="accent1"/>
            <w:noWrap/>
            <w:vAlign w:val="center"/>
          </w:tcPr>
          <w:p w14:paraId="177E2B4D" w14:textId="65E89188" w:rsidR="00D92CBD" w:rsidRPr="005045BF" w:rsidRDefault="00D92CBD" w:rsidP="00675E4F">
            <w:pPr>
              <w:widowControl w:val="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 xml:space="preserve">2.493 </w:t>
            </w:r>
          </w:p>
        </w:tc>
        <w:tc>
          <w:tcPr>
            <w:tcW w:w="850" w:type="dxa"/>
            <w:shd w:val="clear" w:color="auto" w:fill="4F81BD" w:themeFill="accent1"/>
            <w:noWrap/>
            <w:vAlign w:val="center"/>
          </w:tcPr>
          <w:p w14:paraId="5E4FDC86" w14:textId="750E6789" w:rsidR="00D92CBD" w:rsidRPr="005045BF" w:rsidRDefault="00CC3456"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18"/>
                <w:szCs w:val="18"/>
              </w:rPr>
            </w:pPr>
            <w:r w:rsidRPr="005045BF">
              <w:rPr>
                <w:rFonts w:ascii="Arial" w:hAnsi="Arial" w:cs="Arial"/>
                <w:b/>
                <w:bCs/>
                <w:color w:val="FFFFFF"/>
                <w:sz w:val="18"/>
                <w:szCs w:val="18"/>
              </w:rPr>
              <w:t>(</w:t>
            </w:r>
            <w:r w:rsidR="00D92CBD" w:rsidRPr="005045BF">
              <w:rPr>
                <w:rFonts w:ascii="Arial" w:hAnsi="Arial" w:cs="Arial"/>
                <w:b/>
                <w:bCs/>
                <w:color w:val="FFFFFF"/>
                <w:sz w:val="18"/>
                <w:szCs w:val="18"/>
              </w:rPr>
              <w:t>1%</w:t>
            </w:r>
            <w:r w:rsidRPr="005045BF">
              <w:rPr>
                <w:rFonts w:ascii="Arial" w:hAnsi="Arial" w:cs="Arial"/>
                <w:b/>
                <w:bCs/>
                <w:color w:val="FFFFFF"/>
                <w:sz w:val="18"/>
                <w:szCs w:val="18"/>
              </w:rPr>
              <w:t>)</w:t>
            </w:r>
          </w:p>
        </w:tc>
        <w:tc>
          <w:tcPr>
            <w:tcW w:w="851" w:type="dxa"/>
            <w:shd w:val="clear" w:color="auto" w:fill="4F81BD" w:themeFill="accent1"/>
            <w:noWrap/>
            <w:vAlign w:val="center"/>
          </w:tcPr>
          <w:p w14:paraId="38CBD952" w14:textId="5645E21F" w:rsidR="00D92CBD" w:rsidRPr="005045BF" w:rsidRDefault="00FC2F1B"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sz w:val="18"/>
                <w:szCs w:val="18"/>
              </w:rPr>
              <w:t>(</w:t>
            </w:r>
            <w:r w:rsidR="00D92CBD" w:rsidRPr="005045BF">
              <w:rPr>
                <w:rFonts w:ascii="Arial" w:hAnsi="Arial" w:cs="Arial"/>
                <w:b/>
                <w:bCs/>
                <w:color w:val="FFFFFF"/>
                <w:sz w:val="18"/>
                <w:szCs w:val="18"/>
              </w:rPr>
              <w:t>0</w:t>
            </w:r>
            <w:r w:rsidR="00CC3456" w:rsidRPr="005045BF">
              <w:rPr>
                <w:rFonts w:ascii="Arial" w:hAnsi="Arial" w:cs="Arial"/>
                <w:b/>
                <w:bCs/>
                <w:color w:val="FFFFFF"/>
                <w:sz w:val="18"/>
                <w:szCs w:val="18"/>
              </w:rPr>
              <w:t>,3</w:t>
            </w:r>
            <w:r w:rsidR="00D92CBD" w:rsidRPr="005045BF">
              <w:rPr>
                <w:rFonts w:ascii="Arial" w:hAnsi="Arial" w:cs="Arial"/>
                <w:b/>
                <w:bCs/>
                <w:color w:val="FFFFFF"/>
                <w:sz w:val="18"/>
                <w:szCs w:val="18"/>
              </w:rPr>
              <w:t>%</w:t>
            </w:r>
            <w:r w:rsidRPr="005045BF">
              <w:rPr>
                <w:rFonts w:ascii="Arial" w:hAnsi="Arial" w:cs="Arial"/>
                <w:b/>
                <w:bCs/>
                <w:color w:val="FFFFFF"/>
                <w:sz w:val="18"/>
                <w:szCs w:val="18"/>
              </w:rPr>
              <w:t>)</w:t>
            </w:r>
          </w:p>
        </w:tc>
        <w:tc>
          <w:tcPr>
            <w:tcW w:w="850" w:type="dxa"/>
            <w:shd w:val="clear" w:color="auto" w:fill="4F81BD" w:themeFill="accent1"/>
            <w:noWrap/>
            <w:vAlign w:val="center"/>
          </w:tcPr>
          <w:p w14:paraId="7F5CF40E" w14:textId="77C88790" w:rsidR="00D92CBD" w:rsidRPr="005045BF" w:rsidRDefault="00CC3456" w:rsidP="00675E4F">
            <w:pPr>
              <w:widowControl w:val="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sz w:val="18"/>
                <w:szCs w:val="18"/>
              </w:rPr>
              <w:t>(</w:t>
            </w:r>
            <w:r w:rsidR="00D92CBD" w:rsidRPr="005045BF">
              <w:rPr>
                <w:rFonts w:ascii="Arial" w:hAnsi="Arial" w:cs="Arial"/>
                <w:b/>
                <w:bCs/>
                <w:color w:val="FFFFFF"/>
                <w:sz w:val="18"/>
                <w:szCs w:val="18"/>
              </w:rPr>
              <w:t>21%</w:t>
            </w:r>
            <w:r w:rsidRPr="005045BF">
              <w:rPr>
                <w:rFonts w:ascii="Arial" w:hAnsi="Arial" w:cs="Arial"/>
                <w:b/>
                <w:bCs/>
                <w:color w:val="FFFFFF"/>
                <w:sz w:val="18"/>
                <w:szCs w:val="18"/>
              </w:rPr>
              <w:t>)</w:t>
            </w:r>
          </w:p>
        </w:tc>
      </w:tr>
      <w:tr w:rsidR="00D15567" w:rsidRPr="005045BF" w14:paraId="503E2DEA"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57BA6507" w14:textId="77777777" w:rsidR="006B26E4" w:rsidRPr="005045BF" w:rsidRDefault="006B26E4" w:rsidP="00675E4F">
            <w:pPr>
              <w:widowControl w:val="0"/>
              <w:rPr>
                <w:rFonts w:ascii="Arial" w:hAnsi="Arial" w:cs="Arial"/>
                <w:color w:val="FFFFFF" w:themeColor="background1"/>
                <w:sz w:val="18"/>
                <w:szCs w:val="18"/>
              </w:rPr>
            </w:pPr>
            <w:r w:rsidRPr="005045BF">
              <w:rPr>
                <w:rFonts w:ascii="Arial" w:hAnsi="Arial" w:cs="Arial"/>
                <w:color w:val="FFFFFF" w:themeColor="background1"/>
                <w:sz w:val="18"/>
                <w:szCs w:val="18"/>
              </w:rPr>
              <w:t>Total Trimestre</w:t>
            </w:r>
          </w:p>
        </w:tc>
        <w:tc>
          <w:tcPr>
            <w:tcW w:w="2126" w:type="dxa"/>
            <w:gridSpan w:val="3"/>
            <w:shd w:val="clear" w:color="auto" w:fill="4F81BD" w:themeFill="accent1"/>
            <w:vAlign w:val="center"/>
          </w:tcPr>
          <w:p w14:paraId="24C2A240" w14:textId="4C2CBFCB" w:rsidR="006B26E4" w:rsidRPr="005045BF" w:rsidRDefault="00D92CBD"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6.780</w:t>
            </w:r>
          </w:p>
        </w:tc>
        <w:tc>
          <w:tcPr>
            <w:tcW w:w="2127" w:type="dxa"/>
            <w:gridSpan w:val="3"/>
            <w:shd w:val="clear" w:color="auto" w:fill="4F81BD" w:themeFill="accent1"/>
            <w:noWrap/>
            <w:vAlign w:val="center"/>
          </w:tcPr>
          <w:p w14:paraId="59D72985" w14:textId="4E09C4E9" w:rsidR="006B26E4" w:rsidRPr="005045BF" w:rsidRDefault="00D92CBD"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7.329</w:t>
            </w:r>
          </w:p>
        </w:tc>
        <w:tc>
          <w:tcPr>
            <w:tcW w:w="2551" w:type="dxa"/>
            <w:gridSpan w:val="3"/>
            <w:shd w:val="clear" w:color="auto" w:fill="4F81BD" w:themeFill="accent1"/>
            <w:noWrap/>
            <w:vAlign w:val="center"/>
          </w:tcPr>
          <w:p w14:paraId="2E60BCF7" w14:textId="00D18E86" w:rsidR="006B26E4" w:rsidRPr="005045BF" w:rsidRDefault="00CC3456"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(549)</w:t>
            </w:r>
          </w:p>
        </w:tc>
      </w:tr>
      <w:tr w:rsidR="00D15567" w:rsidRPr="005045BF" w14:paraId="527E4749" w14:textId="77777777" w:rsidTr="00675E4F">
        <w:trPr>
          <w:cantSplit/>
        </w:trPr>
        <w:tc>
          <w:tcPr>
            <w:cnfStyle w:val="001000000000" w:firstRow="0" w:lastRow="0" w:firstColumn="1" w:lastColumn="0" w:oddVBand="0" w:evenVBand="0" w:oddHBand="0" w:evenHBand="0" w:firstRowFirstColumn="0" w:firstRowLastColumn="0" w:lastRowFirstColumn="0" w:lastRowLastColumn="0"/>
            <w:tcW w:w="2972" w:type="dxa"/>
            <w:shd w:val="clear" w:color="auto" w:fill="4F81BD" w:themeFill="accent1"/>
            <w:noWrap/>
            <w:vAlign w:val="center"/>
            <w:hideMark/>
          </w:tcPr>
          <w:p w14:paraId="7C745035" w14:textId="77777777" w:rsidR="006B26E4" w:rsidRPr="005045BF" w:rsidRDefault="006B26E4" w:rsidP="00675E4F">
            <w:pPr>
              <w:widowControl w:val="0"/>
              <w:rPr>
                <w:rFonts w:ascii="Arial" w:hAnsi="Arial" w:cs="Arial"/>
                <w:color w:val="FFFFFF" w:themeColor="background1"/>
                <w:sz w:val="18"/>
                <w:szCs w:val="18"/>
              </w:rPr>
            </w:pPr>
            <w:r w:rsidRPr="005045BF">
              <w:rPr>
                <w:rFonts w:ascii="Arial" w:hAnsi="Arial" w:cs="Arial"/>
                <w:color w:val="FFFFFF" w:themeColor="background1"/>
                <w:sz w:val="18"/>
                <w:szCs w:val="18"/>
              </w:rPr>
              <w:t xml:space="preserve">Variación </w:t>
            </w:r>
          </w:p>
        </w:tc>
        <w:tc>
          <w:tcPr>
            <w:tcW w:w="6804" w:type="dxa"/>
            <w:gridSpan w:val="9"/>
            <w:shd w:val="clear" w:color="auto" w:fill="4F81BD" w:themeFill="accent1"/>
            <w:vAlign w:val="center"/>
          </w:tcPr>
          <w:p w14:paraId="1535F82B" w14:textId="684503C1" w:rsidR="006B26E4" w:rsidRPr="005045BF" w:rsidRDefault="00D92CBD" w:rsidP="00675E4F">
            <w:pPr>
              <w:widowControl w:val="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(7%)</w:t>
            </w:r>
          </w:p>
        </w:tc>
      </w:tr>
    </w:tbl>
    <w:p w14:paraId="53288F8F" w14:textId="482A4610" w:rsidR="00D92CBD" w:rsidRPr="005045BF" w:rsidRDefault="00A84F6E" w:rsidP="00E66711">
      <w:pPr>
        <w:jc w:val="both"/>
        <w:rPr>
          <w:rFonts w:ascii="Arial" w:hAnsi="Arial" w:cs="Arial"/>
          <w:sz w:val="18"/>
          <w:szCs w:val="18"/>
        </w:rPr>
      </w:pPr>
      <w:r w:rsidRPr="005045BF">
        <w:rPr>
          <w:rFonts w:ascii="Arial" w:hAnsi="Arial" w:cs="Arial"/>
          <w:sz w:val="18"/>
          <w:szCs w:val="18"/>
        </w:rPr>
        <w:t>SV</w:t>
      </w:r>
      <w:r w:rsidR="00346427" w:rsidRPr="005045BF">
        <w:rPr>
          <w:rFonts w:ascii="Arial" w:hAnsi="Arial" w:cs="Arial"/>
          <w:sz w:val="18"/>
          <w:szCs w:val="18"/>
        </w:rPr>
        <w:t xml:space="preserve">: </w:t>
      </w:r>
      <w:r w:rsidR="00693BE6" w:rsidRPr="005045BF">
        <w:rPr>
          <w:rFonts w:ascii="Arial" w:hAnsi="Arial" w:cs="Arial"/>
          <w:sz w:val="18"/>
          <w:szCs w:val="18"/>
        </w:rPr>
        <w:t xml:space="preserve">Corresponde a los periodos </w:t>
      </w:r>
      <w:r w:rsidRPr="005045BF">
        <w:rPr>
          <w:rFonts w:ascii="Arial" w:hAnsi="Arial" w:cs="Arial"/>
          <w:sz w:val="18"/>
          <w:szCs w:val="18"/>
        </w:rPr>
        <w:t xml:space="preserve">de las </w:t>
      </w:r>
      <w:r w:rsidR="00693BE6" w:rsidRPr="005045BF">
        <w:rPr>
          <w:rFonts w:ascii="Arial" w:hAnsi="Arial" w:cs="Arial"/>
          <w:sz w:val="18"/>
          <w:szCs w:val="18"/>
        </w:rPr>
        <w:t xml:space="preserve">vigencias </w:t>
      </w:r>
      <w:r w:rsidR="00A50C90" w:rsidRPr="005045BF">
        <w:rPr>
          <w:rFonts w:ascii="Arial" w:hAnsi="Arial" w:cs="Arial"/>
          <w:sz w:val="18"/>
          <w:szCs w:val="18"/>
        </w:rPr>
        <w:t xml:space="preserve">2020 y 2019 que no reportaron horas extras. </w:t>
      </w:r>
      <w:r w:rsidR="00693BE6" w:rsidRPr="005045BF">
        <w:rPr>
          <w:rFonts w:ascii="Arial" w:hAnsi="Arial" w:cs="Arial"/>
          <w:sz w:val="18"/>
          <w:szCs w:val="18"/>
        </w:rPr>
        <w:t xml:space="preserve"> </w:t>
      </w:r>
    </w:p>
    <w:p w14:paraId="3BCC7772" w14:textId="77777777" w:rsidR="00346427" w:rsidRPr="005045BF" w:rsidRDefault="00346427" w:rsidP="00AD3DC8">
      <w:pPr>
        <w:spacing w:line="168" w:lineRule="auto"/>
        <w:jc w:val="both"/>
        <w:rPr>
          <w:rFonts w:ascii="Arial" w:hAnsi="Arial" w:cs="Arial"/>
          <w:b/>
          <w:bCs/>
          <w:sz w:val="22"/>
          <w:szCs w:val="22"/>
          <w:highlight w:val="yellow"/>
        </w:rPr>
      </w:pPr>
    </w:p>
    <w:p w14:paraId="3E9FF665" w14:textId="71919207" w:rsidR="002F2422" w:rsidRPr="005045BF" w:rsidRDefault="00640AF6" w:rsidP="008B7070">
      <w:pPr>
        <w:jc w:val="both"/>
        <w:rPr>
          <w:rFonts w:ascii="Arial" w:hAnsi="Arial" w:cs="Arial"/>
          <w:sz w:val="22"/>
          <w:szCs w:val="22"/>
        </w:rPr>
      </w:pPr>
      <w:r w:rsidRPr="005045BF">
        <w:rPr>
          <w:rFonts w:ascii="Arial" w:hAnsi="Arial" w:cs="Arial"/>
          <w:sz w:val="22"/>
          <w:szCs w:val="22"/>
        </w:rPr>
        <w:t>D</w:t>
      </w:r>
      <w:r w:rsidR="00277B4B" w:rsidRPr="005045BF">
        <w:rPr>
          <w:rFonts w:ascii="Arial" w:hAnsi="Arial" w:cs="Arial"/>
          <w:sz w:val="22"/>
          <w:szCs w:val="22"/>
        </w:rPr>
        <w:t>e acuerdo con lo observado</w:t>
      </w:r>
      <w:r w:rsidR="00AD3DC8">
        <w:rPr>
          <w:rFonts w:ascii="Arial" w:hAnsi="Arial" w:cs="Arial"/>
          <w:sz w:val="22"/>
          <w:szCs w:val="22"/>
        </w:rPr>
        <w:t xml:space="preserve"> </w:t>
      </w:r>
      <w:r w:rsidR="00277B4B" w:rsidRPr="005045BF">
        <w:rPr>
          <w:rFonts w:ascii="Arial" w:hAnsi="Arial" w:cs="Arial"/>
          <w:sz w:val="22"/>
          <w:szCs w:val="22"/>
        </w:rPr>
        <w:t>para el</w:t>
      </w:r>
      <w:r w:rsidR="00103BC5" w:rsidRPr="005045BF">
        <w:rPr>
          <w:rFonts w:ascii="Arial" w:hAnsi="Arial" w:cs="Arial"/>
          <w:sz w:val="22"/>
          <w:szCs w:val="22"/>
        </w:rPr>
        <w:t xml:space="preserve"> </w:t>
      </w:r>
      <w:r w:rsidR="007A778A" w:rsidRPr="005045BF">
        <w:rPr>
          <w:rFonts w:ascii="Arial" w:hAnsi="Arial" w:cs="Arial"/>
          <w:sz w:val="22"/>
          <w:szCs w:val="22"/>
        </w:rPr>
        <w:t xml:space="preserve">primer </w:t>
      </w:r>
      <w:r w:rsidR="00766DA3" w:rsidRPr="005045BF">
        <w:rPr>
          <w:rFonts w:ascii="Arial" w:hAnsi="Arial" w:cs="Arial"/>
          <w:sz w:val="22"/>
          <w:szCs w:val="22"/>
        </w:rPr>
        <w:t>trimestre</w:t>
      </w:r>
      <w:r w:rsidR="00277B4B" w:rsidRPr="005045BF">
        <w:rPr>
          <w:rFonts w:ascii="Arial" w:hAnsi="Arial" w:cs="Arial"/>
          <w:sz w:val="22"/>
          <w:szCs w:val="22"/>
        </w:rPr>
        <w:t xml:space="preserve"> de 20</w:t>
      </w:r>
      <w:r w:rsidR="007A778A" w:rsidRPr="005045BF">
        <w:rPr>
          <w:rFonts w:ascii="Arial" w:hAnsi="Arial" w:cs="Arial"/>
          <w:sz w:val="22"/>
          <w:szCs w:val="22"/>
        </w:rPr>
        <w:t>20</w:t>
      </w:r>
      <w:r w:rsidR="00277B4B" w:rsidRPr="005045BF">
        <w:rPr>
          <w:rFonts w:ascii="Arial" w:hAnsi="Arial" w:cs="Arial"/>
          <w:sz w:val="22"/>
          <w:szCs w:val="22"/>
        </w:rPr>
        <w:t xml:space="preserve"> </w:t>
      </w:r>
      <w:r w:rsidR="00A524EB" w:rsidRPr="005045BF">
        <w:rPr>
          <w:rFonts w:ascii="Arial" w:hAnsi="Arial" w:cs="Arial"/>
          <w:sz w:val="22"/>
          <w:szCs w:val="22"/>
        </w:rPr>
        <w:t>frente a</w:t>
      </w:r>
      <w:r w:rsidR="00D365E4" w:rsidRPr="005045BF">
        <w:rPr>
          <w:rFonts w:ascii="Arial" w:hAnsi="Arial" w:cs="Arial"/>
          <w:sz w:val="22"/>
          <w:szCs w:val="22"/>
        </w:rPr>
        <w:t xml:space="preserve">l mismo </w:t>
      </w:r>
      <w:r w:rsidR="00A524EB" w:rsidRPr="005045BF">
        <w:rPr>
          <w:rFonts w:ascii="Arial" w:hAnsi="Arial" w:cs="Arial"/>
          <w:sz w:val="22"/>
          <w:szCs w:val="22"/>
        </w:rPr>
        <w:t>trimestre de 201</w:t>
      </w:r>
      <w:r w:rsidR="007A778A" w:rsidRPr="005045BF">
        <w:rPr>
          <w:rFonts w:ascii="Arial" w:hAnsi="Arial" w:cs="Arial"/>
          <w:sz w:val="22"/>
          <w:szCs w:val="22"/>
        </w:rPr>
        <w:t>9</w:t>
      </w:r>
      <w:r w:rsidR="00A524EB" w:rsidRPr="005045BF">
        <w:rPr>
          <w:rFonts w:ascii="Arial" w:hAnsi="Arial" w:cs="Arial"/>
          <w:sz w:val="22"/>
          <w:szCs w:val="22"/>
        </w:rPr>
        <w:t xml:space="preserve">, </w:t>
      </w:r>
      <w:r w:rsidR="00DF2D8B" w:rsidRPr="005045BF">
        <w:rPr>
          <w:rFonts w:ascii="Arial" w:hAnsi="Arial" w:cs="Arial"/>
          <w:sz w:val="22"/>
          <w:szCs w:val="22"/>
        </w:rPr>
        <w:t>las horas extras liquidadas y pagadas a los funcionarios del Ministerio de Hacienda y Crédito P</w:t>
      </w:r>
      <w:r w:rsidR="00A524EB" w:rsidRPr="005045BF">
        <w:rPr>
          <w:rFonts w:ascii="Arial" w:hAnsi="Arial" w:cs="Arial"/>
          <w:sz w:val="22"/>
          <w:szCs w:val="22"/>
        </w:rPr>
        <w:t xml:space="preserve">úblico </w:t>
      </w:r>
      <w:r w:rsidR="00DF2D8B" w:rsidRPr="005045BF">
        <w:rPr>
          <w:rFonts w:ascii="Arial" w:hAnsi="Arial" w:cs="Arial"/>
          <w:sz w:val="22"/>
          <w:szCs w:val="22"/>
        </w:rPr>
        <w:t xml:space="preserve">presentaron </w:t>
      </w:r>
      <w:r w:rsidR="00511EB6" w:rsidRPr="005045BF">
        <w:rPr>
          <w:rFonts w:ascii="Arial" w:hAnsi="Arial" w:cs="Arial"/>
          <w:sz w:val="22"/>
          <w:szCs w:val="22"/>
        </w:rPr>
        <w:t xml:space="preserve">variaciones negativas, representando una </w:t>
      </w:r>
      <w:r w:rsidR="00636C86" w:rsidRPr="005045BF">
        <w:rPr>
          <w:rFonts w:ascii="Arial" w:hAnsi="Arial" w:cs="Arial"/>
          <w:b/>
          <w:bCs/>
          <w:sz w:val="22"/>
          <w:szCs w:val="22"/>
        </w:rPr>
        <w:t>disminución</w:t>
      </w:r>
      <w:r w:rsidR="00D365E4" w:rsidRPr="005045BF">
        <w:rPr>
          <w:rFonts w:ascii="Arial" w:hAnsi="Arial" w:cs="Arial"/>
          <w:b/>
          <w:bCs/>
          <w:sz w:val="22"/>
          <w:szCs w:val="22"/>
        </w:rPr>
        <w:t xml:space="preserve"> </w:t>
      </w:r>
      <w:r w:rsidR="00D365E4" w:rsidRPr="005045BF">
        <w:rPr>
          <w:rFonts w:ascii="Arial" w:hAnsi="Arial" w:cs="Arial"/>
          <w:sz w:val="22"/>
          <w:szCs w:val="22"/>
        </w:rPr>
        <w:t xml:space="preserve">de </w:t>
      </w:r>
      <w:r w:rsidR="007A778A" w:rsidRPr="005045BF">
        <w:rPr>
          <w:rFonts w:ascii="Arial" w:hAnsi="Arial" w:cs="Arial"/>
          <w:sz w:val="22"/>
          <w:szCs w:val="22"/>
        </w:rPr>
        <w:t>549</w:t>
      </w:r>
      <w:r w:rsidR="00D365E4" w:rsidRPr="005045BF">
        <w:rPr>
          <w:rFonts w:ascii="Arial" w:hAnsi="Arial" w:cs="Arial"/>
          <w:sz w:val="22"/>
          <w:szCs w:val="22"/>
        </w:rPr>
        <w:t xml:space="preserve"> horas</w:t>
      </w:r>
      <w:r w:rsidR="00511EB6" w:rsidRPr="005045BF">
        <w:rPr>
          <w:rFonts w:ascii="Arial" w:hAnsi="Arial" w:cs="Arial"/>
          <w:sz w:val="22"/>
          <w:szCs w:val="22"/>
        </w:rPr>
        <w:t xml:space="preserve">, equivalente a un 7%. </w:t>
      </w:r>
      <w:r w:rsidR="00A524EB" w:rsidRPr="005045BF">
        <w:rPr>
          <w:rFonts w:ascii="Arial" w:hAnsi="Arial" w:cs="Arial"/>
          <w:sz w:val="22"/>
          <w:szCs w:val="22"/>
        </w:rPr>
        <w:t xml:space="preserve"> </w:t>
      </w:r>
      <w:r w:rsidR="00B26BE8" w:rsidRPr="005045BF">
        <w:rPr>
          <w:rFonts w:ascii="Arial" w:hAnsi="Arial" w:cs="Arial"/>
          <w:sz w:val="22"/>
          <w:szCs w:val="22"/>
        </w:rPr>
        <w:t>E</w:t>
      </w:r>
      <w:r w:rsidR="00DF2D8B" w:rsidRPr="005045BF">
        <w:rPr>
          <w:rFonts w:ascii="Arial" w:hAnsi="Arial" w:cs="Arial"/>
          <w:sz w:val="22"/>
          <w:szCs w:val="22"/>
        </w:rPr>
        <w:t xml:space="preserve">s </w:t>
      </w:r>
      <w:r w:rsidR="00A524EB" w:rsidRPr="005045BF">
        <w:rPr>
          <w:rFonts w:ascii="Arial" w:hAnsi="Arial" w:cs="Arial"/>
          <w:sz w:val="22"/>
          <w:szCs w:val="22"/>
        </w:rPr>
        <w:t xml:space="preserve">importante mencionar </w:t>
      </w:r>
      <w:r w:rsidR="00DF2D8B" w:rsidRPr="005045BF">
        <w:rPr>
          <w:rFonts w:ascii="Arial" w:hAnsi="Arial" w:cs="Arial"/>
          <w:sz w:val="22"/>
          <w:szCs w:val="22"/>
        </w:rPr>
        <w:t xml:space="preserve">que, para los tres meses que conforman </w:t>
      </w:r>
      <w:r w:rsidR="00FC2F1B" w:rsidRPr="005045BF">
        <w:rPr>
          <w:rFonts w:ascii="Arial" w:hAnsi="Arial" w:cs="Arial"/>
          <w:sz w:val="22"/>
          <w:szCs w:val="22"/>
        </w:rPr>
        <w:t xml:space="preserve">el </w:t>
      </w:r>
      <w:r w:rsidR="00DF2D8B" w:rsidRPr="005045BF">
        <w:rPr>
          <w:rFonts w:ascii="Arial" w:hAnsi="Arial" w:cs="Arial"/>
          <w:sz w:val="22"/>
          <w:szCs w:val="22"/>
        </w:rPr>
        <w:t>trimestre analizado la</w:t>
      </w:r>
      <w:r w:rsidR="00AF5EC9" w:rsidRPr="005045BF">
        <w:rPr>
          <w:rFonts w:ascii="Arial" w:hAnsi="Arial" w:cs="Arial"/>
          <w:sz w:val="22"/>
          <w:szCs w:val="22"/>
        </w:rPr>
        <w:t>s</w:t>
      </w:r>
      <w:r w:rsidR="00DF2D8B" w:rsidRPr="005045BF">
        <w:rPr>
          <w:rFonts w:ascii="Arial" w:hAnsi="Arial" w:cs="Arial"/>
          <w:sz w:val="22"/>
          <w:szCs w:val="22"/>
        </w:rPr>
        <w:t xml:space="preserve"> variaci</w:t>
      </w:r>
      <w:r w:rsidR="00AF5EC9" w:rsidRPr="005045BF">
        <w:rPr>
          <w:rFonts w:ascii="Arial" w:hAnsi="Arial" w:cs="Arial"/>
          <w:sz w:val="22"/>
          <w:szCs w:val="22"/>
        </w:rPr>
        <w:t>ones</w:t>
      </w:r>
      <w:r w:rsidR="00DF2D8B" w:rsidRPr="005045BF">
        <w:rPr>
          <w:rFonts w:ascii="Arial" w:hAnsi="Arial" w:cs="Arial"/>
          <w:sz w:val="22"/>
          <w:szCs w:val="22"/>
        </w:rPr>
        <w:t xml:space="preserve"> fue</w:t>
      </w:r>
      <w:r w:rsidR="00AF5EC9" w:rsidRPr="005045BF">
        <w:rPr>
          <w:rFonts w:ascii="Arial" w:hAnsi="Arial" w:cs="Arial"/>
          <w:sz w:val="22"/>
          <w:szCs w:val="22"/>
        </w:rPr>
        <w:t>ron</w:t>
      </w:r>
      <w:r w:rsidR="00DF2D8B" w:rsidRPr="005045BF">
        <w:rPr>
          <w:rFonts w:ascii="Arial" w:hAnsi="Arial" w:cs="Arial"/>
          <w:sz w:val="22"/>
          <w:szCs w:val="22"/>
        </w:rPr>
        <w:t xml:space="preserve"> </w:t>
      </w:r>
      <w:r w:rsidR="00D974C9" w:rsidRPr="005045BF">
        <w:rPr>
          <w:rFonts w:ascii="Arial" w:hAnsi="Arial" w:cs="Arial"/>
          <w:sz w:val="22"/>
          <w:szCs w:val="22"/>
        </w:rPr>
        <w:t>negativas</w:t>
      </w:r>
      <w:r w:rsidR="00DF2D8B" w:rsidRPr="005045BF">
        <w:rPr>
          <w:rFonts w:ascii="Arial" w:hAnsi="Arial" w:cs="Arial"/>
          <w:sz w:val="22"/>
          <w:szCs w:val="22"/>
        </w:rPr>
        <w:t xml:space="preserve">, </w:t>
      </w:r>
      <w:r w:rsidR="00D974C9" w:rsidRPr="005045BF">
        <w:rPr>
          <w:rFonts w:ascii="Arial" w:hAnsi="Arial" w:cs="Arial"/>
          <w:sz w:val="22"/>
          <w:szCs w:val="22"/>
        </w:rPr>
        <w:t>en especial</w:t>
      </w:r>
      <w:r w:rsidR="00C53527" w:rsidRPr="005045BF">
        <w:rPr>
          <w:rFonts w:ascii="Arial" w:hAnsi="Arial" w:cs="Arial"/>
          <w:sz w:val="22"/>
          <w:szCs w:val="22"/>
        </w:rPr>
        <w:t>,</w:t>
      </w:r>
      <w:r w:rsidR="00D974C9" w:rsidRPr="005045BF">
        <w:rPr>
          <w:rFonts w:ascii="Arial" w:hAnsi="Arial" w:cs="Arial"/>
          <w:sz w:val="22"/>
          <w:szCs w:val="22"/>
        </w:rPr>
        <w:t xml:space="preserve"> para el periodo de marzo</w:t>
      </w:r>
      <w:r w:rsidR="00AD3DC8">
        <w:rPr>
          <w:rFonts w:ascii="Arial" w:hAnsi="Arial" w:cs="Arial"/>
          <w:sz w:val="22"/>
          <w:szCs w:val="22"/>
        </w:rPr>
        <w:t xml:space="preserve"> se</w:t>
      </w:r>
      <w:r w:rsidR="00884EC5" w:rsidRPr="005045BF">
        <w:rPr>
          <w:rFonts w:ascii="Arial" w:hAnsi="Arial" w:cs="Arial"/>
          <w:sz w:val="22"/>
          <w:szCs w:val="22"/>
        </w:rPr>
        <w:t xml:space="preserve"> </w:t>
      </w:r>
      <w:r w:rsidR="00853971" w:rsidRPr="005045BF">
        <w:rPr>
          <w:rFonts w:ascii="Arial" w:hAnsi="Arial" w:cs="Arial"/>
          <w:sz w:val="22"/>
          <w:szCs w:val="22"/>
        </w:rPr>
        <w:t>observ</w:t>
      </w:r>
      <w:r w:rsidR="00C53527" w:rsidRPr="005045BF">
        <w:rPr>
          <w:rFonts w:ascii="Arial" w:hAnsi="Arial" w:cs="Arial"/>
          <w:sz w:val="22"/>
          <w:szCs w:val="22"/>
        </w:rPr>
        <w:t>ó</w:t>
      </w:r>
      <w:r w:rsidR="00853971" w:rsidRPr="005045BF">
        <w:rPr>
          <w:rFonts w:ascii="Arial" w:hAnsi="Arial" w:cs="Arial"/>
          <w:sz w:val="22"/>
          <w:szCs w:val="22"/>
        </w:rPr>
        <w:t xml:space="preserve"> una reducción del 21%</w:t>
      </w:r>
      <w:r w:rsidR="00884EC5" w:rsidRPr="005045BF">
        <w:rPr>
          <w:rFonts w:ascii="Arial" w:hAnsi="Arial" w:cs="Arial"/>
          <w:sz w:val="22"/>
          <w:szCs w:val="22"/>
        </w:rPr>
        <w:t xml:space="preserve">. </w:t>
      </w:r>
    </w:p>
    <w:p w14:paraId="698DE937" w14:textId="77777777" w:rsidR="002F2422" w:rsidRPr="005045BF" w:rsidRDefault="002F2422" w:rsidP="00AD3DC8">
      <w:pPr>
        <w:spacing w:line="168" w:lineRule="auto"/>
        <w:jc w:val="both"/>
        <w:rPr>
          <w:rFonts w:ascii="Arial" w:hAnsi="Arial" w:cs="Arial"/>
          <w:sz w:val="22"/>
          <w:szCs w:val="22"/>
        </w:rPr>
      </w:pPr>
    </w:p>
    <w:p w14:paraId="70D1FA2B" w14:textId="5CE72FEB" w:rsidR="005D5273" w:rsidRPr="005045BF" w:rsidRDefault="00884EC5" w:rsidP="00E66711">
      <w:pPr>
        <w:jc w:val="both"/>
        <w:rPr>
          <w:rFonts w:ascii="Arial" w:hAnsi="Arial" w:cs="Arial"/>
          <w:color w:val="000000"/>
          <w:sz w:val="22"/>
          <w:szCs w:val="22"/>
          <w:bdr w:val="none" w:sz="0" w:space="0" w:color="auto" w:frame="1"/>
        </w:rPr>
      </w:pPr>
      <w:r w:rsidRPr="005045BF">
        <w:rPr>
          <w:rFonts w:ascii="Arial" w:hAnsi="Arial" w:cs="Arial"/>
          <w:sz w:val="22"/>
          <w:szCs w:val="22"/>
        </w:rPr>
        <w:t xml:space="preserve">Frente a lo anterior, se </w:t>
      </w:r>
      <w:r w:rsidR="006F35F1" w:rsidRPr="005045BF">
        <w:rPr>
          <w:rFonts w:ascii="Arial" w:hAnsi="Arial" w:cs="Arial"/>
          <w:sz w:val="22"/>
          <w:szCs w:val="22"/>
        </w:rPr>
        <w:t>deduc</w:t>
      </w:r>
      <w:r w:rsidRPr="005045BF">
        <w:rPr>
          <w:rFonts w:ascii="Arial" w:hAnsi="Arial" w:cs="Arial"/>
          <w:sz w:val="22"/>
          <w:szCs w:val="22"/>
        </w:rPr>
        <w:t>e</w:t>
      </w:r>
      <w:r w:rsidR="006F35F1" w:rsidRPr="005045BF">
        <w:rPr>
          <w:rFonts w:ascii="Arial" w:hAnsi="Arial" w:cs="Arial"/>
          <w:sz w:val="22"/>
          <w:szCs w:val="22"/>
        </w:rPr>
        <w:t xml:space="preserve"> que dicha variación obedec</w:t>
      </w:r>
      <w:r w:rsidRPr="005045BF">
        <w:rPr>
          <w:rFonts w:ascii="Arial" w:hAnsi="Arial" w:cs="Arial"/>
          <w:sz w:val="22"/>
          <w:szCs w:val="22"/>
        </w:rPr>
        <w:t>ió</w:t>
      </w:r>
      <w:r w:rsidR="006F35F1" w:rsidRPr="005045BF">
        <w:rPr>
          <w:rFonts w:ascii="Arial" w:hAnsi="Arial" w:cs="Arial"/>
          <w:sz w:val="22"/>
          <w:szCs w:val="22"/>
        </w:rPr>
        <w:t xml:space="preserve"> en parte a las medidas </w:t>
      </w:r>
      <w:r w:rsidR="007066EA" w:rsidRPr="005045BF">
        <w:rPr>
          <w:rFonts w:ascii="Arial" w:hAnsi="Arial" w:cs="Arial"/>
          <w:sz w:val="22"/>
          <w:szCs w:val="22"/>
        </w:rPr>
        <w:t>adoptadas por</w:t>
      </w:r>
      <w:r w:rsidR="00352553" w:rsidRPr="005045BF">
        <w:rPr>
          <w:rFonts w:ascii="Arial" w:hAnsi="Arial" w:cs="Arial"/>
          <w:sz w:val="22"/>
          <w:szCs w:val="22"/>
        </w:rPr>
        <w:t xml:space="preserve"> este Ministerio</w:t>
      </w:r>
      <w:r w:rsidR="000B3CDB" w:rsidRPr="005045BF">
        <w:rPr>
          <w:rFonts w:ascii="Arial" w:hAnsi="Arial" w:cs="Arial"/>
          <w:color w:val="000000"/>
          <w:sz w:val="22"/>
          <w:szCs w:val="22"/>
          <w:bdr w:val="none" w:sz="0" w:space="0" w:color="auto" w:frame="1"/>
        </w:rPr>
        <w:t>,</w:t>
      </w:r>
      <w:r w:rsidR="005D5273" w:rsidRPr="005045BF">
        <w:rPr>
          <w:rFonts w:ascii="Arial" w:hAnsi="Arial" w:cs="Arial"/>
          <w:sz w:val="22"/>
          <w:szCs w:val="22"/>
        </w:rPr>
        <w:t xml:space="preserve"> entre las cuales estableció la modalidad de </w:t>
      </w:r>
      <w:r w:rsidR="00B21436" w:rsidRPr="00B21436">
        <w:rPr>
          <w:rFonts w:ascii="Arial" w:hAnsi="Arial" w:cs="Arial"/>
          <w:i/>
          <w:iCs/>
          <w:sz w:val="22"/>
          <w:szCs w:val="22"/>
        </w:rPr>
        <w:t>T</w:t>
      </w:r>
      <w:r w:rsidR="005D5273" w:rsidRPr="00B21436">
        <w:rPr>
          <w:rFonts w:ascii="Arial" w:hAnsi="Arial" w:cs="Arial"/>
          <w:i/>
          <w:iCs/>
          <w:sz w:val="22"/>
          <w:szCs w:val="22"/>
        </w:rPr>
        <w:t xml:space="preserve">rabajo en </w:t>
      </w:r>
      <w:r w:rsidR="00B21436" w:rsidRPr="00B21436">
        <w:rPr>
          <w:rFonts w:ascii="Arial" w:hAnsi="Arial" w:cs="Arial"/>
          <w:i/>
          <w:iCs/>
          <w:sz w:val="22"/>
          <w:szCs w:val="22"/>
        </w:rPr>
        <w:t>C</w:t>
      </w:r>
      <w:r w:rsidR="005D5273" w:rsidRPr="00B21436">
        <w:rPr>
          <w:rFonts w:ascii="Arial" w:hAnsi="Arial" w:cs="Arial"/>
          <w:i/>
          <w:iCs/>
          <w:sz w:val="22"/>
          <w:szCs w:val="22"/>
        </w:rPr>
        <w:t>asa</w:t>
      </w:r>
      <w:r w:rsidR="000B3CDB" w:rsidRPr="005045BF">
        <w:rPr>
          <w:rFonts w:ascii="Arial" w:hAnsi="Arial" w:cs="Arial"/>
          <w:sz w:val="22"/>
          <w:szCs w:val="22"/>
        </w:rPr>
        <w:t xml:space="preserve"> </w:t>
      </w:r>
      <w:r w:rsidR="000B3CDB" w:rsidRPr="005045BF">
        <w:rPr>
          <w:rFonts w:ascii="Arial" w:hAnsi="Arial" w:cs="Arial"/>
          <w:color w:val="000000"/>
          <w:sz w:val="22"/>
          <w:szCs w:val="22"/>
          <w:bdr w:val="none" w:sz="0" w:space="0" w:color="auto" w:frame="1"/>
        </w:rPr>
        <w:t xml:space="preserve">a </w:t>
      </w:r>
      <w:r w:rsidR="007066EA" w:rsidRPr="005045BF">
        <w:rPr>
          <w:rFonts w:ascii="Arial" w:hAnsi="Arial" w:cs="Arial"/>
          <w:color w:val="000000"/>
          <w:sz w:val="22"/>
          <w:szCs w:val="22"/>
          <w:bdr w:val="none" w:sz="0" w:space="0" w:color="auto" w:frame="1"/>
        </w:rPr>
        <w:t xml:space="preserve">mediados </w:t>
      </w:r>
      <w:r w:rsidR="000B3CDB" w:rsidRPr="005045BF">
        <w:rPr>
          <w:rFonts w:ascii="Arial" w:hAnsi="Arial" w:cs="Arial"/>
          <w:color w:val="000000"/>
          <w:sz w:val="22"/>
          <w:szCs w:val="22"/>
          <w:bdr w:val="none" w:sz="0" w:space="0" w:color="auto" w:frame="1"/>
        </w:rPr>
        <w:t xml:space="preserve">de marzo de 2020, </w:t>
      </w:r>
      <w:r w:rsidR="00352553" w:rsidRPr="005045BF">
        <w:rPr>
          <w:rFonts w:ascii="Arial" w:hAnsi="Arial" w:cs="Arial"/>
          <w:sz w:val="22"/>
          <w:szCs w:val="22"/>
        </w:rPr>
        <w:t xml:space="preserve">en virtud </w:t>
      </w:r>
      <w:r w:rsidR="006F35F1" w:rsidRPr="005045BF">
        <w:rPr>
          <w:rFonts w:ascii="Arial" w:hAnsi="Arial" w:cs="Arial"/>
          <w:sz w:val="22"/>
          <w:szCs w:val="22"/>
        </w:rPr>
        <w:t>de</w:t>
      </w:r>
      <w:r w:rsidRPr="005045BF">
        <w:rPr>
          <w:rFonts w:ascii="Arial" w:hAnsi="Arial" w:cs="Arial"/>
          <w:sz w:val="22"/>
          <w:szCs w:val="22"/>
        </w:rPr>
        <w:t>l</w:t>
      </w:r>
      <w:r w:rsidR="006F35F1" w:rsidRPr="005045BF">
        <w:rPr>
          <w:rFonts w:ascii="Arial" w:hAnsi="Arial" w:cs="Arial"/>
          <w:sz w:val="22"/>
          <w:szCs w:val="22"/>
        </w:rPr>
        <w:t xml:space="preserve"> </w:t>
      </w:r>
      <w:r w:rsidR="006F35F1" w:rsidRPr="005045BF">
        <w:rPr>
          <w:rFonts w:ascii="Arial" w:hAnsi="Arial" w:cs="Arial"/>
          <w:color w:val="000000"/>
          <w:sz w:val="22"/>
          <w:szCs w:val="22"/>
          <w:bdr w:val="none" w:sz="0" w:space="0" w:color="auto" w:frame="1"/>
        </w:rPr>
        <w:t xml:space="preserve">aislamiento obligatorio </w:t>
      </w:r>
      <w:r w:rsidRPr="005045BF">
        <w:rPr>
          <w:rFonts w:ascii="Arial" w:hAnsi="Arial" w:cs="Arial"/>
          <w:color w:val="000000"/>
          <w:sz w:val="22"/>
          <w:szCs w:val="22"/>
          <w:bdr w:val="none" w:sz="0" w:space="0" w:color="auto" w:frame="1"/>
        </w:rPr>
        <w:t xml:space="preserve">con ocasión a </w:t>
      </w:r>
      <w:r w:rsidR="006F35F1" w:rsidRPr="005045BF">
        <w:rPr>
          <w:rFonts w:ascii="Arial" w:hAnsi="Arial" w:cs="Arial"/>
          <w:color w:val="000000"/>
          <w:sz w:val="22"/>
          <w:szCs w:val="22"/>
          <w:bdr w:val="none" w:sz="0" w:space="0" w:color="auto" w:frame="1"/>
        </w:rPr>
        <w:t>la Emergencia Económica, Social y Ecológica</w:t>
      </w:r>
      <w:r w:rsidRPr="005045BF">
        <w:rPr>
          <w:rFonts w:ascii="Arial" w:hAnsi="Arial" w:cs="Arial"/>
          <w:color w:val="000000"/>
          <w:sz w:val="22"/>
          <w:szCs w:val="22"/>
          <w:bdr w:val="none" w:sz="0" w:space="0" w:color="auto" w:frame="1"/>
        </w:rPr>
        <w:t xml:space="preserve"> [Covid-19] </w:t>
      </w:r>
      <w:r w:rsidR="006F35F1" w:rsidRPr="005045BF">
        <w:rPr>
          <w:rFonts w:ascii="Arial" w:hAnsi="Arial" w:cs="Arial"/>
          <w:color w:val="000000"/>
          <w:sz w:val="22"/>
          <w:szCs w:val="22"/>
          <w:bdr w:val="none" w:sz="0" w:space="0" w:color="auto" w:frame="1"/>
        </w:rPr>
        <w:t xml:space="preserve">decretada por el Gobierno </w:t>
      </w:r>
      <w:r w:rsidR="00275A00" w:rsidRPr="005045BF">
        <w:rPr>
          <w:rFonts w:ascii="Arial" w:hAnsi="Arial" w:cs="Arial"/>
          <w:color w:val="000000"/>
          <w:sz w:val="22"/>
          <w:szCs w:val="22"/>
          <w:bdr w:val="none" w:sz="0" w:space="0" w:color="auto" w:frame="1"/>
        </w:rPr>
        <w:t xml:space="preserve">Nacional. </w:t>
      </w:r>
    </w:p>
    <w:p w14:paraId="08770E53" w14:textId="6BE1D6AE" w:rsidR="008F4B83" w:rsidRPr="005045BF" w:rsidRDefault="008F4B83" w:rsidP="00E045EC">
      <w:pPr>
        <w:jc w:val="both"/>
        <w:rPr>
          <w:rFonts w:ascii="Arial" w:hAnsi="Arial" w:cs="Arial"/>
          <w:color w:val="000000"/>
          <w:sz w:val="22"/>
          <w:szCs w:val="22"/>
        </w:rPr>
      </w:pPr>
      <w:r w:rsidRPr="005045BF">
        <w:rPr>
          <w:rFonts w:ascii="Arial" w:hAnsi="Arial" w:cs="Arial"/>
          <w:color w:val="000000" w:themeColor="text1"/>
          <w:sz w:val="22"/>
          <w:szCs w:val="22"/>
        </w:rPr>
        <w:lastRenderedPageBreak/>
        <w:t xml:space="preserve">Con respecto a la cantidad de horas liquidadas para el </w:t>
      </w:r>
      <w:r w:rsidR="00EB7CE3" w:rsidRPr="005045BF">
        <w:rPr>
          <w:rFonts w:ascii="Arial" w:hAnsi="Arial" w:cs="Arial"/>
          <w:color w:val="000000" w:themeColor="text1"/>
          <w:sz w:val="22"/>
          <w:szCs w:val="22"/>
        </w:rPr>
        <w:t xml:space="preserve">primer </w:t>
      </w:r>
      <w:r w:rsidRPr="005045BF">
        <w:rPr>
          <w:rFonts w:ascii="Arial" w:hAnsi="Arial" w:cs="Arial"/>
          <w:color w:val="000000" w:themeColor="text1"/>
          <w:sz w:val="22"/>
          <w:szCs w:val="22"/>
        </w:rPr>
        <w:t>trimestre de 20</w:t>
      </w:r>
      <w:r w:rsidR="00EB7CE3" w:rsidRPr="005045BF">
        <w:rPr>
          <w:rFonts w:ascii="Arial" w:hAnsi="Arial" w:cs="Arial"/>
          <w:color w:val="000000" w:themeColor="text1"/>
          <w:sz w:val="22"/>
          <w:szCs w:val="22"/>
        </w:rPr>
        <w:t>20</w:t>
      </w:r>
      <w:r w:rsidRPr="005045BF">
        <w:rPr>
          <w:rFonts w:ascii="Arial" w:hAnsi="Arial" w:cs="Arial"/>
          <w:color w:val="000000" w:themeColor="text1"/>
          <w:sz w:val="22"/>
          <w:szCs w:val="22"/>
        </w:rPr>
        <w:t xml:space="preserve"> (</w:t>
      </w:r>
      <w:r w:rsidR="00EB7CE3" w:rsidRPr="005045BF">
        <w:rPr>
          <w:rFonts w:ascii="Arial" w:hAnsi="Arial" w:cs="Arial"/>
          <w:color w:val="000000" w:themeColor="text1"/>
          <w:sz w:val="22"/>
          <w:szCs w:val="22"/>
        </w:rPr>
        <w:t>6.780</w:t>
      </w:r>
      <w:r w:rsidRPr="005045BF">
        <w:rPr>
          <w:rFonts w:ascii="Arial" w:hAnsi="Arial" w:cs="Arial"/>
          <w:color w:val="000000" w:themeColor="text1"/>
          <w:sz w:val="22"/>
          <w:szCs w:val="22"/>
        </w:rPr>
        <w:t xml:space="preserve">) se identificó que el Despacho del Ministro y </w:t>
      </w:r>
      <w:r w:rsidR="00813727" w:rsidRPr="005045BF">
        <w:rPr>
          <w:rFonts w:ascii="Arial" w:hAnsi="Arial" w:cs="Arial"/>
          <w:color w:val="000000" w:themeColor="text1"/>
          <w:sz w:val="22"/>
          <w:szCs w:val="22"/>
        </w:rPr>
        <w:t>el Grupo de Logística y Servicios Especiales</w:t>
      </w:r>
      <w:r w:rsidR="00EB7CE3"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fueron las áreas con mayor cantidad de horas extras liquidadas, representado el 2</w:t>
      </w:r>
      <w:r w:rsidR="00FD67EC" w:rsidRPr="005045BF">
        <w:rPr>
          <w:rFonts w:ascii="Arial" w:hAnsi="Arial" w:cs="Arial"/>
          <w:color w:val="000000" w:themeColor="text1"/>
          <w:sz w:val="22"/>
          <w:szCs w:val="22"/>
        </w:rPr>
        <w:t>0</w:t>
      </w:r>
      <w:r w:rsidRPr="005045BF">
        <w:rPr>
          <w:rFonts w:ascii="Arial" w:hAnsi="Arial" w:cs="Arial"/>
          <w:color w:val="000000" w:themeColor="text1"/>
          <w:sz w:val="22"/>
          <w:szCs w:val="22"/>
        </w:rPr>
        <w:t xml:space="preserve">% y el </w:t>
      </w:r>
      <w:r w:rsidR="00813727" w:rsidRPr="005045BF">
        <w:rPr>
          <w:rFonts w:ascii="Arial" w:hAnsi="Arial" w:cs="Arial"/>
          <w:color w:val="000000" w:themeColor="text1"/>
          <w:sz w:val="22"/>
          <w:szCs w:val="22"/>
        </w:rPr>
        <w:t xml:space="preserve">13 </w:t>
      </w:r>
      <w:r w:rsidRPr="005045BF">
        <w:rPr>
          <w:rFonts w:ascii="Arial" w:hAnsi="Arial" w:cs="Arial"/>
          <w:color w:val="000000" w:themeColor="text1"/>
          <w:sz w:val="22"/>
          <w:szCs w:val="22"/>
        </w:rPr>
        <w:t xml:space="preserve">% respectivamente. Frente a lo anterior, se aclara que dichas áreas tienen asignados funcionarios que se desempeñan como conductores de los vehículos oficiales, siendo </w:t>
      </w:r>
      <w:r w:rsidR="00A40B7E" w:rsidRPr="005045BF">
        <w:rPr>
          <w:rFonts w:ascii="Arial" w:hAnsi="Arial" w:cs="Arial"/>
          <w:color w:val="000000" w:themeColor="text1"/>
          <w:sz w:val="22"/>
          <w:szCs w:val="22"/>
        </w:rPr>
        <w:t xml:space="preserve">este </w:t>
      </w:r>
      <w:r w:rsidRPr="005045BF">
        <w:rPr>
          <w:rFonts w:ascii="Arial" w:hAnsi="Arial" w:cs="Arial"/>
          <w:color w:val="000000" w:themeColor="text1"/>
          <w:sz w:val="22"/>
          <w:szCs w:val="22"/>
        </w:rPr>
        <w:t>cargo</w:t>
      </w:r>
      <w:r w:rsidR="00A40B7E"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los que tienen un mayor número de horas extras autorizadas (100 horas por mes</w:t>
      </w:r>
      <w:r w:rsidRPr="005045BF">
        <w:rPr>
          <w:rFonts w:ascii="Arial" w:hAnsi="Arial" w:cs="Arial"/>
          <w:color w:val="000000"/>
          <w:sz w:val="22"/>
          <w:szCs w:val="22"/>
        </w:rPr>
        <w:t>).</w:t>
      </w:r>
      <w:r w:rsidR="000C411B" w:rsidRPr="005045BF">
        <w:rPr>
          <w:rFonts w:ascii="Arial" w:hAnsi="Arial" w:cs="Arial"/>
          <w:color w:val="000000"/>
          <w:sz w:val="22"/>
          <w:szCs w:val="22"/>
        </w:rPr>
        <w:t xml:space="preserve"> En la siguiente grafica se presenta la posición de cada </w:t>
      </w:r>
      <w:r w:rsidR="00536AD1" w:rsidRPr="005045BF">
        <w:rPr>
          <w:rFonts w:ascii="Arial" w:hAnsi="Arial" w:cs="Arial"/>
          <w:color w:val="000000"/>
          <w:sz w:val="22"/>
          <w:szCs w:val="22"/>
        </w:rPr>
        <w:t>dependencia s</w:t>
      </w:r>
      <w:r w:rsidR="000C411B" w:rsidRPr="005045BF">
        <w:rPr>
          <w:rFonts w:ascii="Arial" w:hAnsi="Arial" w:cs="Arial"/>
          <w:color w:val="000000"/>
          <w:sz w:val="22"/>
          <w:szCs w:val="22"/>
        </w:rPr>
        <w:t xml:space="preserve">egún el número de horas extras registradas:  </w:t>
      </w:r>
    </w:p>
    <w:p w14:paraId="370C0923" w14:textId="77777777" w:rsidR="00FA44B1" w:rsidRPr="005045BF" w:rsidRDefault="00FA44B1" w:rsidP="00E045EC">
      <w:pPr>
        <w:jc w:val="both"/>
      </w:pPr>
    </w:p>
    <w:p w14:paraId="7A16C1EE" w14:textId="2F4BA7DE" w:rsidR="008F4B83" w:rsidRPr="005045BF" w:rsidRDefault="00327EA5" w:rsidP="00C20ECB">
      <w:pPr>
        <w:ind w:left="708" w:hanging="708"/>
        <w:jc w:val="both"/>
        <w:rPr>
          <w:highlight w:val="yellow"/>
        </w:rPr>
      </w:pPr>
      <w:r w:rsidRPr="005045BF">
        <w:rPr>
          <w:noProof/>
        </w:rPr>
        <w:drawing>
          <wp:inline distT="0" distB="0" distL="0" distR="0" wp14:anchorId="0473C299" wp14:editId="4E773FC7">
            <wp:extent cx="6200775" cy="4352925"/>
            <wp:effectExtent l="0" t="0" r="0" b="0"/>
            <wp:docPr id="38" name="Gráfico 38">
              <a:extLst xmlns:a="http://schemas.openxmlformats.org/drawingml/2006/main">
                <a:ext uri="{FF2B5EF4-FFF2-40B4-BE49-F238E27FC236}">
                  <a16:creationId xmlns:a16="http://schemas.microsoft.com/office/drawing/2014/main" id="{42349B0D-8F5C-420A-9E14-5DBD786059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F416260" w14:textId="05EFA19C" w:rsidR="005204C0" w:rsidRPr="005045BF" w:rsidRDefault="00891C6A" w:rsidP="00A54A46">
      <w:pPr>
        <w:jc w:val="both"/>
        <w:rPr>
          <w:rFonts w:ascii="Arial" w:hAnsi="Arial" w:cs="Arial"/>
          <w:color w:val="000000" w:themeColor="text1"/>
          <w:sz w:val="22"/>
          <w:szCs w:val="22"/>
        </w:rPr>
      </w:pPr>
      <w:r w:rsidRPr="005045BF">
        <w:rPr>
          <w:rFonts w:ascii="Arial" w:hAnsi="Arial" w:cs="Arial"/>
          <w:color w:val="000000" w:themeColor="text1"/>
          <w:sz w:val="22"/>
          <w:szCs w:val="22"/>
        </w:rPr>
        <w:t>E</w:t>
      </w:r>
      <w:r w:rsidR="00DC6DC5" w:rsidRPr="005045BF">
        <w:rPr>
          <w:rFonts w:ascii="Arial" w:hAnsi="Arial" w:cs="Arial"/>
          <w:color w:val="000000" w:themeColor="text1"/>
          <w:sz w:val="22"/>
          <w:szCs w:val="22"/>
        </w:rPr>
        <w:t xml:space="preserve">n </w:t>
      </w:r>
      <w:r w:rsidR="00FA4CCD" w:rsidRPr="005045BF">
        <w:rPr>
          <w:rFonts w:ascii="Arial" w:hAnsi="Arial" w:cs="Arial"/>
          <w:color w:val="000000" w:themeColor="text1"/>
          <w:sz w:val="22"/>
          <w:szCs w:val="22"/>
        </w:rPr>
        <w:t xml:space="preserve">cuanto al total de </w:t>
      </w:r>
      <w:r w:rsidR="002E2635" w:rsidRPr="005045BF">
        <w:rPr>
          <w:rFonts w:ascii="Arial" w:hAnsi="Arial" w:cs="Arial"/>
          <w:color w:val="000000" w:themeColor="text1"/>
          <w:sz w:val="22"/>
          <w:szCs w:val="22"/>
        </w:rPr>
        <w:t xml:space="preserve">horas extras liquidadas </w:t>
      </w:r>
      <w:r w:rsidR="005F56A4" w:rsidRPr="005045BF">
        <w:rPr>
          <w:rFonts w:ascii="Arial" w:hAnsi="Arial" w:cs="Arial"/>
          <w:color w:val="000000" w:themeColor="text1"/>
          <w:sz w:val="22"/>
          <w:szCs w:val="22"/>
        </w:rPr>
        <w:t xml:space="preserve">para el </w:t>
      </w:r>
      <w:r w:rsidR="005D7F51" w:rsidRPr="005045BF">
        <w:rPr>
          <w:rFonts w:ascii="Arial" w:hAnsi="Arial" w:cs="Arial"/>
          <w:color w:val="000000" w:themeColor="text1"/>
          <w:sz w:val="22"/>
          <w:szCs w:val="22"/>
        </w:rPr>
        <w:t xml:space="preserve">primer </w:t>
      </w:r>
      <w:r w:rsidR="00235544" w:rsidRPr="005045BF">
        <w:rPr>
          <w:rFonts w:ascii="Arial" w:hAnsi="Arial" w:cs="Arial"/>
          <w:color w:val="000000" w:themeColor="text1"/>
          <w:sz w:val="22"/>
          <w:szCs w:val="22"/>
        </w:rPr>
        <w:t>trimestre</w:t>
      </w:r>
      <w:r w:rsidR="00DC6DC5" w:rsidRPr="005045BF">
        <w:rPr>
          <w:rFonts w:ascii="Arial" w:hAnsi="Arial" w:cs="Arial"/>
          <w:color w:val="000000" w:themeColor="text1"/>
          <w:sz w:val="22"/>
          <w:szCs w:val="22"/>
        </w:rPr>
        <w:t xml:space="preserve"> de 20</w:t>
      </w:r>
      <w:r w:rsidR="005D7F51" w:rsidRPr="005045BF">
        <w:rPr>
          <w:rFonts w:ascii="Arial" w:hAnsi="Arial" w:cs="Arial"/>
          <w:color w:val="000000" w:themeColor="text1"/>
          <w:sz w:val="22"/>
          <w:szCs w:val="22"/>
        </w:rPr>
        <w:t>20</w:t>
      </w:r>
      <w:r w:rsidR="00DC6DC5" w:rsidRPr="005045BF">
        <w:rPr>
          <w:rFonts w:ascii="Arial" w:hAnsi="Arial" w:cs="Arial"/>
          <w:color w:val="000000" w:themeColor="text1"/>
          <w:sz w:val="22"/>
          <w:szCs w:val="22"/>
        </w:rPr>
        <w:t xml:space="preserve"> comparado con el mismo trimestre de 201</w:t>
      </w:r>
      <w:r w:rsidR="005D7F51" w:rsidRPr="005045BF">
        <w:rPr>
          <w:rFonts w:ascii="Arial" w:hAnsi="Arial" w:cs="Arial"/>
          <w:color w:val="000000" w:themeColor="text1"/>
          <w:sz w:val="22"/>
          <w:szCs w:val="22"/>
        </w:rPr>
        <w:t>9</w:t>
      </w:r>
      <w:r w:rsidR="00DC6DC5" w:rsidRPr="005045BF">
        <w:rPr>
          <w:rFonts w:ascii="Arial" w:hAnsi="Arial" w:cs="Arial"/>
          <w:color w:val="000000" w:themeColor="text1"/>
          <w:sz w:val="22"/>
          <w:szCs w:val="22"/>
        </w:rPr>
        <w:t>, se</w:t>
      </w:r>
      <w:r w:rsidR="00286BCD" w:rsidRPr="005045BF">
        <w:rPr>
          <w:rFonts w:ascii="Arial" w:hAnsi="Arial" w:cs="Arial"/>
          <w:color w:val="000000" w:themeColor="text1"/>
          <w:sz w:val="22"/>
          <w:szCs w:val="22"/>
        </w:rPr>
        <w:t xml:space="preserve"> destaca </w:t>
      </w:r>
      <w:r w:rsidR="00EF480B" w:rsidRPr="005045BF">
        <w:rPr>
          <w:rFonts w:ascii="Arial" w:hAnsi="Arial" w:cs="Arial"/>
          <w:color w:val="000000" w:themeColor="text1"/>
          <w:sz w:val="22"/>
          <w:szCs w:val="22"/>
        </w:rPr>
        <w:t>que,</w:t>
      </w:r>
      <w:r w:rsidR="00FF1EA0" w:rsidRPr="005045BF">
        <w:rPr>
          <w:rFonts w:ascii="Arial" w:hAnsi="Arial" w:cs="Arial"/>
          <w:color w:val="000000" w:themeColor="text1"/>
          <w:sz w:val="22"/>
          <w:szCs w:val="22"/>
        </w:rPr>
        <w:t xml:space="preserve"> </w:t>
      </w:r>
      <w:r w:rsidR="008B3A82" w:rsidRPr="005045BF">
        <w:rPr>
          <w:rFonts w:ascii="Arial" w:hAnsi="Arial" w:cs="Arial"/>
          <w:color w:val="000000" w:themeColor="text1"/>
          <w:sz w:val="22"/>
          <w:szCs w:val="22"/>
        </w:rPr>
        <w:t>de las 2</w:t>
      </w:r>
      <w:r w:rsidR="001031FB" w:rsidRPr="005045BF">
        <w:rPr>
          <w:rFonts w:ascii="Arial" w:hAnsi="Arial" w:cs="Arial"/>
          <w:color w:val="000000" w:themeColor="text1"/>
          <w:sz w:val="22"/>
          <w:szCs w:val="22"/>
        </w:rPr>
        <w:t>8</w:t>
      </w:r>
      <w:r w:rsidR="008B3A82" w:rsidRPr="005045BF">
        <w:rPr>
          <w:rFonts w:ascii="Arial" w:hAnsi="Arial" w:cs="Arial"/>
          <w:color w:val="000000" w:themeColor="text1"/>
          <w:sz w:val="22"/>
          <w:szCs w:val="22"/>
        </w:rPr>
        <w:t xml:space="preserve"> dep</w:t>
      </w:r>
      <w:r w:rsidR="00FF1EA0" w:rsidRPr="005045BF">
        <w:rPr>
          <w:rFonts w:ascii="Arial" w:hAnsi="Arial" w:cs="Arial"/>
          <w:color w:val="000000" w:themeColor="text1"/>
          <w:sz w:val="22"/>
          <w:szCs w:val="22"/>
        </w:rPr>
        <w:t>endencias</w:t>
      </w:r>
      <w:r w:rsidR="00FB67CA" w:rsidRPr="005045BF">
        <w:rPr>
          <w:rFonts w:ascii="Arial" w:hAnsi="Arial" w:cs="Arial"/>
          <w:color w:val="000000" w:themeColor="text1"/>
          <w:sz w:val="22"/>
          <w:szCs w:val="22"/>
        </w:rPr>
        <w:t xml:space="preserve"> </w:t>
      </w:r>
      <w:r w:rsidR="0089199A" w:rsidRPr="005045BF">
        <w:rPr>
          <w:rFonts w:ascii="Arial" w:hAnsi="Arial" w:cs="Arial"/>
          <w:color w:val="000000" w:themeColor="text1"/>
          <w:sz w:val="22"/>
          <w:szCs w:val="22"/>
        </w:rPr>
        <w:t xml:space="preserve">el </w:t>
      </w:r>
      <w:r w:rsidR="000C5BB9" w:rsidRPr="005045BF">
        <w:rPr>
          <w:rFonts w:ascii="Arial" w:hAnsi="Arial" w:cs="Arial"/>
          <w:color w:val="000000" w:themeColor="text1"/>
          <w:sz w:val="22"/>
          <w:szCs w:val="22"/>
        </w:rPr>
        <w:t>4</w:t>
      </w:r>
      <w:r w:rsidR="001031FB" w:rsidRPr="005045BF">
        <w:rPr>
          <w:rFonts w:ascii="Arial" w:hAnsi="Arial" w:cs="Arial"/>
          <w:color w:val="000000" w:themeColor="text1"/>
          <w:sz w:val="22"/>
          <w:szCs w:val="22"/>
        </w:rPr>
        <w:t>6</w:t>
      </w:r>
      <w:r w:rsidR="0089199A" w:rsidRPr="005045BF">
        <w:rPr>
          <w:rFonts w:ascii="Arial" w:hAnsi="Arial" w:cs="Arial"/>
          <w:color w:val="000000" w:themeColor="text1"/>
          <w:sz w:val="22"/>
          <w:szCs w:val="22"/>
        </w:rPr>
        <w:t xml:space="preserve">% </w:t>
      </w:r>
      <w:r w:rsidR="00FF1EA0" w:rsidRPr="005045BF">
        <w:rPr>
          <w:rFonts w:ascii="Arial" w:hAnsi="Arial" w:cs="Arial"/>
          <w:color w:val="000000" w:themeColor="text1"/>
          <w:sz w:val="22"/>
          <w:szCs w:val="22"/>
        </w:rPr>
        <w:t>de ellas presentaron</w:t>
      </w:r>
      <w:r w:rsidR="008B3A82" w:rsidRPr="005045BF">
        <w:rPr>
          <w:rFonts w:ascii="Arial" w:hAnsi="Arial" w:cs="Arial"/>
          <w:color w:val="000000" w:themeColor="text1"/>
          <w:sz w:val="22"/>
          <w:szCs w:val="22"/>
        </w:rPr>
        <w:t xml:space="preserve"> disminución en la cantidad de horas extras</w:t>
      </w:r>
      <w:r w:rsidR="00E846CA" w:rsidRPr="005045BF">
        <w:rPr>
          <w:rFonts w:ascii="Arial" w:hAnsi="Arial" w:cs="Arial"/>
          <w:color w:val="000000" w:themeColor="text1"/>
          <w:sz w:val="22"/>
          <w:szCs w:val="22"/>
        </w:rPr>
        <w:t>, así:</w:t>
      </w:r>
      <w:r w:rsidR="005204C0" w:rsidRPr="005045BF">
        <w:rPr>
          <w:rFonts w:ascii="Arial" w:hAnsi="Arial" w:cs="Arial"/>
          <w:color w:val="000000" w:themeColor="text1"/>
          <w:sz w:val="22"/>
          <w:szCs w:val="22"/>
        </w:rPr>
        <w:t xml:space="preserve"> </w:t>
      </w:r>
    </w:p>
    <w:p w14:paraId="252E8D4E" w14:textId="77777777" w:rsidR="00352627" w:rsidRPr="005045BF" w:rsidRDefault="00352627" w:rsidP="00A54A46">
      <w:pPr>
        <w:jc w:val="both"/>
        <w:rPr>
          <w:rFonts w:ascii="Arial" w:hAnsi="Arial" w:cs="Arial"/>
          <w:color w:val="000000" w:themeColor="text1"/>
          <w:sz w:val="22"/>
          <w:szCs w:val="22"/>
        </w:rPr>
      </w:pPr>
    </w:p>
    <w:tbl>
      <w:tblPr>
        <w:tblStyle w:val="Tablaconcuadrcula2-nfasis1"/>
        <w:tblW w:w="9639" w:type="dxa"/>
        <w:tblLook w:val="04A0" w:firstRow="1" w:lastRow="0" w:firstColumn="1" w:lastColumn="0" w:noHBand="0" w:noVBand="1"/>
      </w:tblPr>
      <w:tblGrid>
        <w:gridCol w:w="4954"/>
        <w:gridCol w:w="1703"/>
        <w:gridCol w:w="1565"/>
        <w:gridCol w:w="1417"/>
      </w:tblGrid>
      <w:tr w:rsidR="0072446C" w:rsidRPr="005045BF" w14:paraId="78741164" w14:textId="77777777" w:rsidTr="00A92CFB">
        <w:trPr>
          <w:cnfStyle w:val="100000000000" w:firstRow="1" w:lastRow="0" w:firstColumn="0" w:lastColumn="0" w:oddVBand="0" w:evenVBand="0" w:oddHBand="0" w:evenHBand="0" w:firstRowFirstColumn="0" w:firstRowLastColumn="0" w:lastRowFirstColumn="0" w:lastRowLastColumn="0"/>
          <w:cantSplit/>
          <w:trHeight w:val="421"/>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tcBorders>
            <w:noWrap/>
            <w:vAlign w:val="center"/>
            <w:hideMark/>
          </w:tcPr>
          <w:p w14:paraId="7A325858" w14:textId="77777777" w:rsidR="0072446C" w:rsidRPr="005045BF" w:rsidRDefault="0072446C" w:rsidP="00A92CFB">
            <w:pPr>
              <w:widowControl w:val="0"/>
              <w:spacing w:before="40" w:after="60"/>
              <w:jc w:val="center"/>
              <w:rPr>
                <w:rFonts w:ascii="Arial" w:hAnsi="Arial" w:cs="Arial"/>
                <w:color w:val="244061" w:themeColor="accent1" w:themeShade="80"/>
                <w:sz w:val="18"/>
                <w:szCs w:val="18"/>
              </w:rPr>
            </w:pPr>
            <w:r w:rsidRPr="005045BF">
              <w:rPr>
                <w:rFonts w:ascii="Arial" w:hAnsi="Arial" w:cs="Arial"/>
                <w:color w:val="0F243E" w:themeColor="text2" w:themeShade="80"/>
                <w:sz w:val="18"/>
                <w:szCs w:val="18"/>
              </w:rPr>
              <w:t xml:space="preserve">Disminución en Cantidad de Horas Extras </w:t>
            </w:r>
          </w:p>
        </w:tc>
      </w:tr>
      <w:tr w:rsidR="0072446C" w:rsidRPr="005045BF" w14:paraId="38CB29C1" w14:textId="77777777" w:rsidTr="00A92CFB">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single" w:sz="12" w:space="0" w:color="4F81BD" w:themeColor="accent1"/>
            </w:tcBorders>
            <w:shd w:val="clear" w:color="auto" w:fill="4F81BD" w:themeFill="accent1"/>
            <w:vAlign w:val="center"/>
            <w:hideMark/>
          </w:tcPr>
          <w:p w14:paraId="17CC190D" w14:textId="77777777" w:rsidR="0072446C" w:rsidRPr="005045BF" w:rsidRDefault="0072446C" w:rsidP="00A92CFB">
            <w:pPr>
              <w:widowControl w:val="0"/>
              <w:spacing w:before="40" w:after="60"/>
              <w:jc w:val="center"/>
              <w:rPr>
                <w:rFonts w:ascii="Arial" w:hAnsi="Arial" w:cs="Arial"/>
                <w:b w:val="0"/>
                <w:bCs w:val="0"/>
                <w:color w:val="FFFFFF" w:themeColor="background1"/>
                <w:sz w:val="18"/>
                <w:szCs w:val="18"/>
              </w:rPr>
            </w:pPr>
            <w:r w:rsidRPr="005045BF">
              <w:rPr>
                <w:rFonts w:ascii="Arial" w:hAnsi="Arial" w:cs="Arial"/>
                <w:b w:val="0"/>
                <w:bCs w:val="0"/>
                <w:color w:val="FFFFFF" w:themeColor="background1"/>
                <w:sz w:val="18"/>
                <w:szCs w:val="18"/>
              </w:rPr>
              <w:t xml:space="preserve"> Dependencia  </w:t>
            </w:r>
          </w:p>
        </w:tc>
        <w:tc>
          <w:tcPr>
            <w:tcW w:w="0" w:type="auto"/>
            <w:shd w:val="clear" w:color="auto" w:fill="4F81BD" w:themeFill="accent1"/>
            <w:vAlign w:val="center"/>
            <w:hideMark/>
          </w:tcPr>
          <w:p w14:paraId="0BE9B49C" w14:textId="686E7854" w:rsidR="0072446C" w:rsidRPr="005045BF" w:rsidRDefault="00BB7D8C" w:rsidP="00A92CFB">
            <w:pPr>
              <w:widowControl w:val="0"/>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 xml:space="preserve"> </w:t>
            </w:r>
            <w:r w:rsidR="0072446C" w:rsidRPr="005045BF">
              <w:rPr>
                <w:rFonts w:ascii="Arial" w:hAnsi="Arial" w:cs="Arial"/>
                <w:color w:val="FFFFFF" w:themeColor="background1"/>
                <w:sz w:val="18"/>
                <w:szCs w:val="18"/>
              </w:rPr>
              <w:t xml:space="preserve"> </w:t>
            </w:r>
            <w:r w:rsidR="00601760" w:rsidRPr="005045BF">
              <w:rPr>
                <w:rFonts w:ascii="Arial" w:hAnsi="Arial" w:cs="Arial"/>
                <w:color w:val="FFFFFF" w:themeColor="background1"/>
                <w:sz w:val="18"/>
                <w:szCs w:val="18"/>
              </w:rPr>
              <w:t>I</w:t>
            </w:r>
            <w:r w:rsidR="000C5BB9" w:rsidRPr="005045BF">
              <w:rPr>
                <w:rFonts w:ascii="Arial" w:hAnsi="Arial" w:cs="Arial"/>
                <w:color w:val="FFFFFF" w:themeColor="background1"/>
                <w:sz w:val="18"/>
                <w:szCs w:val="18"/>
              </w:rPr>
              <w:t xml:space="preserve"> </w:t>
            </w:r>
            <w:r w:rsidR="0072446C" w:rsidRPr="005045BF">
              <w:rPr>
                <w:rFonts w:ascii="Arial" w:hAnsi="Arial" w:cs="Arial"/>
                <w:color w:val="FFFFFF" w:themeColor="background1"/>
                <w:sz w:val="18"/>
                <w:szCs w:val="18"/>
              </w:rPr>
              <w:t>Trimestre 20</w:t>
            </w:r>
            <w:r w:rsidR="005D7F51" w:rsidRPr="005045BF">
              <w:rPr>
                <w:rFonts w:ascii="Arial" w:hAnsi="Arial" w:cs="Arial"/>
                <w:color w:val="FFFFFF" w:themeColor="background1"/>
                <w:sz w:val="18"/>
                <w:szCs w:val="18"/>
              </w:rPr>
              <w:t>20</w:t>
            </w:r>
            <w:r w:rsidR="0072446C" w:rsidRPr="005045BF">
              <w:rPr>
                <w:rFonts w:ascii="Arial" w:hAnsi="Arial" w:cs="Arial"/>
                <w:color w:val="FFFFFF" w:themeColor="background1"/>
                <w:sz w:val="18"/>
                <w:szCs w:val="18"/>
              </w:rPr>
              <w:t xml:space="preserve"> </w:t>
            </w:r>
          </w:p>
        </w:tc>
        <w:tc>
          <w:tcPr>
            <w:tcW w:w="1565" w:type="dxa"/>
            <w:tcBorders>
              <w:top w:val="single" w:sz="4" w:space="0" w:color="4F81BD" w:themeColor="accent1"/>
            </w:tcBorders>
            <w:shd w:val="clear" w:color="auto" w:fill="4F81BD" w:themeFill="accent1"/>
            <w:vAlign w:val="center"/>
            <w:hideMark/>
          </w:tcPr>
          <w:p w14:paraId="1FC27095" w14:textId="4B001899" w:rsidR="0072446C" w:rsidRPr="005045BF" w:rsidRDefault="000D1D43" w:rsidP="00A92CFB">
            <w:pPr>
              <w:widowControl w:val="0"/>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I</w:t>
            </w:r>
            <w:r w:rsidR="0072446C" w:rsidRPr="005045BF">
              <w:rPr>
                <w:rFonts w:ascii="Arial" w:hAnsi="Arial" w:cs="Arial"/>
                <w:color w:val="FFFFFF" w:themeColor="background1"/>
                <w:sz w:val="18"/>
                <w:szCs w:val="18"/>
              </w:rPr>
              <w:t xml:space="preserve"> </w:t>
            </w:r>
            <w:r w:rsidR="005D7F51" w:rsidRPr="005045BF">
              <w:rPr>
                <w:rFonts w:ascii="Arial" w:hAnsi="Arial" w:cs="Arial"/>
                <w:color w:val="FFFFFF" w:themeColor="background1"/>
                <w:sz w:val="18"/>
                <w:szCs w:val="18"/>
              </w:rPr>
              <w:t>Trimestre 2019</w:t>
            </w:r>
          </w:p>
        </w:tc>
        <w:tc>
          <w:tcPr>
            <w:tcW w:w="1417" w:type="dxa"/>
            <w:shd w:val="clear" w:color="auto" w:fill="4F81BD" w:themeFill="accent1"/>
            <w:vAlign w:val="center"/>
            <w:hideMark/>
          </w:tcPr>
          <w:p w14:paraId="0165C88B" w14:textId="768518F6" w:rsidR="0072446C" w:rsidRPr="005045BF" w:rsidRDefault="0072446C" w:rsidP="00A92CFB">
            <w:pPr>
              <w:widowControl w:val="0"/>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color w:val="FFFFFF" w:themeColor="background1"/>
                <w:sz w:val="18"/>
                <w:szCs w:val="18"/>
              </w:rPr>
              <w:t xml:space="preserve"> </w:t>
            </w:r>
            <w:r w:rsidR="001031FB" w:rsidRPr="005045BF">
              <w:rPr>
                <w:rFonts w:ascii="Arial" w:hAnsi="Arial" w:cs="Arial"/>
                <w:color w:val="FFFFFF" w:themeColor="background1"/>
                <w:sz w:val="18"/>
                <w:szCs w:val="18"/>
              </w:rPr>
              <w:t>Variación (</w:t>
            </w:r>
            <w:r w:rsidR="00595747" w:rsidRPr="005045BF">
              <w:rPr>
                <w:rFonts w:ascii="Arial" w:hAnsi="Arial" w:cs="Arial"/>
                <w:color w:val="FFFFFF" w:themeColor="background1"/>
                <w:sz w:val="18"/>
                <w:szCs w:val="18"/>
              </w:rPr>
              <w:t>%)</w:t>
            </w:r>
          </w:p>
        </w:tc>
      </w:tr>
      <w:tr w:rsidR="005D7F51" w:rsidRPr="005045BF" w14:paraId="7C64784F"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650D9FDD" w14:textId="7275E4EB"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Pagaduría</w:t>
            </w:r>
          </w:p>
        </w:tc>
        <w:tc>
          <w:tcPr>
            <w:tcW w:w="0" w:type="auto"/>
            <w:shd w:val="clear" w:color="auto" w:fill="FFFFFF" w:themeFill="background1"/>
            <w:noWrap/>
            <w:vAlign w:val="center"/>
          </w:tcPr>
          <w:p w14:paraId="56BAC2EA" w14:textId="5688BCAC"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120</w:t>
            </w:r>
          </w:p>
        </w:tc>
        <w:tc>
          <w:tcPr>
            <w:tcW w:w="1565" w:type="dxa"/>
            <w:shd w:val="clear" w:color="auto" w:fill="FFFFFF" w:themeFill="background1"/>
            <w:noWrap/>
            <w:vAlign w:val="center"/>
          </w:tcPr>
          <w:p w14:paraId="55D47ED9" w14:textId="5F6A36E5"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130</w:t>
            </w:r>
          </w:p>
        </w:tc>
        <w:tc>
          <w:tcPr>
            <w:tcW w:w="1417" w:type="dxa"/>
            <w:shd w:val="clear" w:color="auto" w:fill="FFFFFF" w:themeFill="background1"/>
            <w:noWrap/>
            <w:vAlign w:val="center"/>
          </w:tcPr>
          <w:p w14:paraId="54131DA0" w14:textId="626874CA"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8%</w:t>
            </w:r>
            <w:r w:rsidRPr="005045BF">
              <w:rPr>
                <w:rFonts w:ascii="Arial" w:hAnsi="Arial" w:cs="Arial"/>
                <w:color w:val="0F243E" w:themeColor="text2" w:themeShade="80"/>
                <w:sz w:val="18"/>
                <w:szCs w:val="18"/>
              </w:rPr>
              <w:t>)</w:t>
            </w:r>
          </w:p>
        </w:tc>
      </w:tr>
      <w:tr w:rsidR="005D7F51" w:rsidRPr="005045BF" w14:paraId="5E8735BA"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35687233" w14:textId="2FDBF7CB"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Subdirección de Administración de Recursos Tecnológicos</w:t>
            </w:r>
          </w:p>
        </w:tc>
        <w:tc>
          <w:tcPr>
            <w:tcW w:w="0" w:type="auto"/>
            <w:shd w:val="clear" w:color="auto" w:fill="FFFFFF" w:themeFill="background1"/>
            <w:noWrap/>
            <w:vAlign w:val="center"/>
          </w:tcPr>
          <w:p w14:paraId="02F1DFFA" w14:textId="08C8E223"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111</w:t>
            </w:r>
          </w:p>
        </w:tc>
        <w:tc>
          <w:tcPr>
            <w:tcW w:w="1565" w:type="dxa"/>
            <w:shd w:val="clear" w:color="auto" w:fill="FFFFFF" w:themeFill="background1"/>
            <w:noWrap/>
            <w:vAlign w:val="center"/>
          </w:tcPr>
          <w:p w14:paraId="142A3E4F" w14:textId="1D97FE42"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124</w:t>
            </w:r>
          </w:p>
        </w:tc>
        <w:tc>
          <w:tcPr>
            <w:tcW w:w="1417" w:type="dxa"/>
            <w:shd w:val="clear" w:color="auto" w:fill="FFFFFF" w:themeFill="background1"/>
            <w:noWrap/>
            <w:vAlign w:val="center"/>
          </w:tcPr>
          <w:p w14:paraId="33A510ED" w14:textId="3FE61061"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w:t>
            </w:r>
            <w:r w:rsidRPr="005045BF">
              <w:rPr>
                <w:rFonts w:ascii="Arial" w:hAnsi="Arial" w:cs="Arial"/>
                <w:color w:val="0F243E" w:themeColor="text2" w:themeShade="80"/>
                <w:sz w:val="18"/>
                <w:szCs w:val="18"/>
              </w:rPr>
              <w:t>)</w:t>
            </w:r>
          </w:p>
        </w:tc>
      </w:tr>
      <w:tr w:rsidR="005D7F51" w:rsidRPr="005045BF" w14:paraId="38E8EA76"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0425146A" w14:textId="24BDFA4B"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Despacho del Ministro </w:t>
            </w:r>
          </w:p>
        </w:tc>
        <w:tc>
          <w:tcPr>
            <w:tcW w:w="0" w:type="auto"/>
            <w:shd w:val="clear" w:color="auto" w:fill="FFFFFF" w:themeFill="background1"/>
            <w:noWrap/>
            <w:vAlign w:val="center"/>
          </w:tcPr>
          <w:p w14:paraId="1D8CD2F1" w14:textId="419C5CAF"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1.380</w:t>
            </w:r>
          </w:p>
        </w:tc>
        <w:tc>
          <w:tcPr>
            <w:tcW w:w="1565" w:type="dxa"/>
            <w:shd w:val="clear" w:color="auto" w:fill="FFFFFF" w:themeFill="background1"/>
            <w:noWrap/>
            <w:vAlign w:val="center"/>
          </w:tcPr>
          <w:p w14:paraId="3E853660" w14:textId="5C245EF0"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1.717</w:t>
            </w:r>
          </w:p>
        </w:tc>
        <w:tc>
          <w:tcPr>
            <w:tcW w:w="1417" w:type="dxa"/>
            <w:shd w:val="clear" w:color="auto" w:fill="FFFFFF" w:themeFill="background1"/>
            <w:noWrap/>
            <w:vAlign w:val="center"/>
          </w:tcPr>
          <w:p w14:paraId="1783DE03" w14:textId="0A14A3A8"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20%</w:t>
            </w:r>
            <w:r w:rsidRPr="005045BF">
              <w:rPr>
                <w:rFonts w:ascii="Arial" w:hAnsi="Arial" w:cs="Arial"/>
                <w:color w:val="0F243E" w:themeColor="text2" w:themeShade="80"/>
                <w:sz w:val="18"/>
                <w:szCs w:val="18"/>
              </w:rPr>
              <w:t>)</w:t>
            </w:r>
          </w:p>
        </w:tc>
      </w:tr>
      <w:tr w:rsidR="005D7F51" w:rsidRPr="005045BF" w14:paraId="360C1AEA"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5A7794BF" w14:textId="2737D707"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Gestión de Información</w:t>
            </w:r>
          </w:p>
        </w:tc>
        <w:tc>
          <w:tcPr>
            <w:tcW w:w="0" w:type="auto"/>
            <w:shd w:val="clear" w:color="auto" w:fill="FFFFFF" w:themeFill="background1"/>
            <w:noWrap/>
            <w:vAlign w:val="center"/>
          </w:tcPr>
          <w:p w14:paraId="38924219" w14:textId="7A5B07A8"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65</w:t>
            </w:r>
          </w:p>
        </w:tc>
        <w:tc>
          <w:tcPr>
            <w:tcW w:w="1565" w:type="dxa"/>
            <w:shd w:val="clear" w:color="auto" w:fill="FFFFFF" w:themeFill="background1"/>
            <w:noWrap/>
            <w:vAlign w:val="center"/>
          </w:tcPr>
          <w:p w14:paraId="5DFE8356" w14:textId="21E98019"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82</w:t>
            </w:r>
          </w:p>
        </w:tc>
        <w:tc>
          <w:tcPr>
            <w:tcW w:w="1417" w:type="dxa"/>
            <w:shd w:val="clear" w:color="auto" w:fill="FFFFFF" w:themeFill="background1"/>
            <w:noWrap/>
            <w:vAlign w:val="center"/>
          </w:tcPr>
          <w:p w14:paraId="0801544F" w14:textId="58C3A822"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21%</w:t>
            </w:r>
            <w:r w:rsidRPr="005045BF">
              <w:rPr>
                <w:rFonts w:ascii="Arial" w:hAnsi="Arial" w:cs="Arial"/>
                <w:color w:val="0F243E" w:themeColor="text2" w:themeShade="80"/>
                <w:sz w:val="18"/>
                <w:szCs w:val="18"/>
              </w:rPr>
              <w:t>)</w:t>
            </w:r>
          </w:p>
        </w:tc>
      </w:tr>
      <w:tr w:rsidR="005D7F51" w:rsidRPr="005045BF" w14:paraId="646C8EC2"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0971500A" w14:textId="244101D5"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Dirección de Tecnología</w:t>
            </w:r>
          </w:p>
        </w:tc>
        <w:tc>
          <w:tcPr>
            <w:tcW w:w="0" w:type="auto"/>
            <w:shd w:val="clear" w:color="auto" w:fill="FFFFFF" w:themeFill="background1"/>
            <w:noWrap/>
            <w:vAlign w:val="center"/>
          </w:tcPr>
          <w:p w14:paraId="5B18389E" w14:textId="69D69054"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254</w:t>
            </w:r>
          </w:p>
        </w:tc>
        <w:tc>
          <w:tcPr>
            <w:tcW w:w="1565" w:type="dxa"/>
            <w:shd w:val="clear" w:color="auto" w:fill="FFFFFF" w:themeFill="background1"/>
            <w:noWrap/>
            <w:vAlign w:val="center"/>
          </w:tcPr>
          <w:p w14:paraId="4B40ECF3" w14:textId="2E0C7A38"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346</w:t>
            </w:r>
          </w:p>
        </w:tc>
        <w:tc>
          <w:tcPr>
            <w:tcW w:w="1417" w:type="dxa"/>
            <w:shd w:val="clear" w:color="auto" w:fill="FFFFFF" w:themeFill="background1"/>
            <w:noWrap/>
            <w:vAlign w:val="center"/>
          </w:tcPr>
          <w:p w14:paraId="14CF012B" w14:textId="65406A40"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27%</w:t>
            </w:r>
            <w:r w:rsidRPr="005045BF">
              <w:rPr>
                <w:rFonts w:ascii="Arial" w:hAnsi="Arial" w:cs="Arial"/>
                <w:color w:val="0F243E" w:themeColor="text2" w:themeShade="80"/>
                <w:sz w:val="18"/>
                <w:szCs w:val="18"/>
              </w:rPr>
              <w:t>)</w:t>
            </w:r>
          </w:p>
        </w:tc>
      </w:tr>
      <w:tr w:rsidR="005D7F51" w:rsidRPr="005045BF" w14:paraId="16DAED57"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33AD94E6" w14:textId="6CF01D7F"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Infraestructura</w:t>
            </w:r>
          </w:p>
        </w:tc>
        <w:tc>
          <w:tcPr>
            <w:tcW w:w="0" w:type="auto"/>
            <w:shd w:val="clear" w:color="auto" w:fill="FFFFFF" w:themeFill="background1"/>
            <w:noWrap/>
            <w:vAlign w:val="center"/>
          </w:tcPr>
          <w:p w14:paraId="25360F07" w14:textId="7CAC4EF1"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57</w:t>
            </w:r>
          </w:p>
        </w:tc>
        <w:tc>
          <w:tcPr>
            <w:tcW w:w="1565" w:type="dxa"/>
            <w:shd w:val="clear" w:color="auto" w:fill="FFFFFF" w:themeFill="background1"/>
            <w:noWrap/>
            <w:vAlign w:val="center"/>
          </w:tcPr>
          <w:p w14:paraId="25EB405C" w14:textId="101D7113"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105</w:t>
            </w:r>
          </w:p>
        </w:tc>
        <w:tc>
          <w:tcPr>
            <w:tcW w:w="1417" w:type="dxa"/>
            <w:shd w:val="clear" w:color="auto" w:fill="FFFFFF" w:themeFill="background1"/>
            <w:noWrap/>
            <w:vAlign w:val="center"/>
          </w:tcPr>
          <w:p w14:paraId="4D10C178" w14:textId="76892F58"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46%</w:t>
            </w:r>
            <w:r w:rsidRPr="005045BF">
              <w:rPr>
                <w:rFonts w:ascii="Arial" w:hAnsi="Arial" w:cs="Arial"/>
                <w:color w:val="0F243E" w:themeColor="text2" w:themeShade="80"/>
                <w:sz w:val="18"/>
                <w:szCs w:val="18"/>
              </w:rPr>
              <w:t>)</w:t>
            </w:r>
          </w:p>
        </w:tc>
      </w:tr>
      <w:tr w:rsidR="005D7F51" w:rsidRPr="005045BF" w14:paraId="0B602435"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67CFE6CA" w14:textId="52A8782A"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Subdirección de Gestión de Talento Humano</w:t>
            </w:r>
          </w:p>
        </w:tc>
        <w:tc>
          <w:tcPr>
            <w:tcW w:w="0" w:type="auto"/>
            <w:shd w:val="clear" w:color="auto" w:fill="FFFFFF" w:themeFill="background1"/>
            <w:noWrap/>
            <w:vAlign w:val="center"/>
          </w:tcPr>
          <w:p w14:paraId="2DD5B876" w14:textId="723362FA"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24</w:t>
            </w:r>
          </w:p>
        </w:tc>
        <w:tc>
          <w:tcPr>
            <w:tcW w:w="1565" w:type="dxa"/>
            <w:shd w:val="clear" w:color="auto" w:fill="FFFFFF" w:themeFill="background1"/>
            <w:noWrap/>
            <w:vAlign w:val="center"/>
          </w:tcPr>
          <w:p w14:paraId="7B1261FA" w14:textId="2D6956D9"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53</w:t>
            </w:r>
          </w:p>
        </w:tc>
        <w:tc>
          <w:tcPr>
            <w:tcW w:w="1417" w:type="dxa"/>
            <w:shd w:val="clear" w:color="auto" w:fill="FFFFFF" w:themeFill="background1"/>
            <w:noWrap/>
            <w:vAlign w:val="center"/>
          </w:tcPr>
          <w:p w14:paraId="0B45AF3B" w14:textId="07FE572B"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55%</w:t>
            </w:r>
            <w:r w:rsidRPr="005045BF">
              <w:rPr>
                <w:rFonts w:ascii="Arial" w:hAnsi="Arial" w:cs="Arial"/>
                <w:color w:val="0F243E" w:themeColor="text2" w:themeShade="80"/>
                <w:sz w:val="18"/>
                <w:szCs w:val="18"/>
              </w:rPr>
              <w:t>)</w:t>
            </w:r>
          </w:p>
        </w:tc>
      </w:tr>
      <w:tr w:rsidR="005D7F51" w:rsidRPr="005045BF" w14:paraId="3DAD2E26"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0259BA75" w14:textId="5146A207"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lastRenderedPageBreak/>
              <w:t xml:space="preserve"> Grupo de </w:t>
            </w:r>
            <w:r w:rsidR="00595747" w:rsidRPr="005045BF">
              <w:rPr>
                <w:rFonts w:ascii="Arial" w:hAnsi="Arial" w:cs="Arial"/>
                <w:b w:val="0"/>
                <w:bCs w:val="0"/>
                <w:color w:val="0F243E" w:themeColor="text2" w:themeShade="80"/>
                <w:sz w:val="18"/>
                <w:szCs w:val="18"/>
              </w:rPr>
              <w:t>Logística</w:t>
            </w:r>
            <w:r w:rsidRPr="005045BF">
              <w:rPr>
                <w:rFonts w:ascii="Arial" w:hAnsi="Arial" w:cs="Arial"/>
                <w:b w:val="0"/>
                <w:bCs w:val="0"/>
                <w:color w:val="0F243E" w:themeColor="text2" w:themeShade="80"/>
                <w:sz w:val="18"/>
                <w:szCs w:val="18"/>
              </w:rPr>
              <w:t xml:space="preserve"> y Suministros </w:t>
            </w:r>
          </w:p>
        </w:tc>
        <w:tc>
          <w:tcPr>
            <w:tcW w:w="0" w:type="auto"/>
            <w:shd w:val="clear" w:color="auto" w:fill="FFFFFF" w:themeFill="background1"/>
            <w:noWrap/>
            <w:vAlign w:val="center"/>
          </w:tcPr>
          <w:p w14:paraId="4752CCA1" w14:textId="4AAEBC57"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4E812A2F" w14:textId="33A5150B"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2.739</w:t>
            </w:r>
          </w:p>
        </w:tc>
        <w:tc>
          <w:tcPr>
            <w:tcW w:w="1417" w:type="dxa"/>
            <w:shd w:val="clear" w:color="auto" w:fill="FFFFFF" w:themeFill="background1"/>
            <w:noWrap/>
            <w:vAlign w:val="center"/>
          </w:tcPr>
          <w:p w14:paraId="4C3C3AEB" w14:textId="51E734DB"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100%</w:t>
            </w:r>
            <w:r w:rsidRPr="005045BF">
              <w:rPr>
                <w:rFonts w:ascii="Arial" w:hAnsi="Arial" w:cs="Arial"/>
                <w:color w:val="0F243E" w:themeColor="text2" w:themeShade="80"/>
                <w:sz w:val="18"/>
                <w:szCs w:val="18"/>
              </w:rPr>
              <w:t>)</w:t>
            </w:r>
          </w:p>
        </w:tc>
      </w:tr>
      <w:tr w:rsidR="005D7F51" w:rsidRPr="005045BF" w14:paraId="0B875E57"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37D04D69" w14:textId="15FCC9CB"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Subdirección de Servicios</w:t>
            </w:r>
          </w:p>
        </w:tc>
        <w:tc>
          <w:tcPr>
            <w:tcW w:w="0" w:type="auto"/>
            <w:shd w:val="clear" w:color="auto" w:fill="FFFFFF" w:themeFill="background1"/>
            <w:noWrap/>
            <w:vAlign w:val="center"/>
          </w:tcPr>
          <w:p w14:paraId="4D36744F" w14:textId="2D4170BC"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3D18D942" w14:textId="783BCAE4"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285</w:t>
            </w:r>
          </w:p>
        </w:tc>
        <w:tc>
          <w:tcPr>
            <w:tcW w:w="1417" w:type="dxa"/>
            <w:shd w:val="clear" w:color="auto" w:fill="FFFFFF" w:themeFill="background1"/>
            <w:noWrap/>
            <w:vAlign w:val="center"/>
          </w:tcPr>
          <w:p w14:paraId="7D539BA7" w14:textId="4780A1A3"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100%</w:t>
            </w:r>
            <w:r w:rsidRPr="005045BF">
              <w:rPr>
                <w:rFonts w:ascii="Arial" w:hAnsi="Arial" w:cs="Arial"/>
                <w:color w:val="0F243E" w:themeColor="text2" w:themeShade="80"/>
                <w:sz w:val="18"/>
                <w:szCs w:val="18"/>
              </w:rPr>
              <w:t>)</w:t>
            </w:r>
          </w:p>
        </w:tc>
      </w:tr>
      <w:tr w:rsidR="005D7F51" w:rsidRPr="005045BF" w14:paraId="5E6BC0E1"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633AEF11" w14:textId="1DD63010"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Contabilidad</w:t>
            </w:r>
          </w:p>
        </w:tc>
        <w:tc>
          <w:tcPr>
            <w:tcW w:w="0" w:type="auto"/>
            <w:shd w:val="clear" w:color="auto" w:fill="FFFFFF" w:themeFill="background1"/>
            <w:noWrap/>
            <w:vAlign w:val="center"/>
          </w:tcPr>
          <w:p w14:paraId="66F2599B" w14:textId="3D2797C2"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7A6487DD" w14:textId="1ACF55E2"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111</w:t>
            </w:r>
          </w:p>
        </w:tc>
        <w:tc>
          <w:tcPr>
            <w:tcW w:w="1417" w:type="dxa"/>
            <w:shd w:val="clear" w:color="auto" w:fill="FFFFFF" w:themeFill="background1"/>
            <w:noWrap/>
            <w:vAlign w:val="center"/>
          </w:tcPr>
          <w:p w14:paraId="7DBD3373" w14:textId="5FFEDB2D"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100%</w:t>
            </w:r>
            <w:r w:rsidRPr="005045BF">
              <w:rPr>
                <w:rFonts w:ascii="Arial" w:hAnsi="Arial" w:cs="Arial"/>
                <w:color w:val="0F243E" w:themeColor="text2" w:themeShade="80"/>
                <w:sz w:val="18"/>
                <w:szCs w:val="18"/>
              </w:rPr>
              <w:t>)</w:t>
            </w:r>
          </w:p>
        </w:tc>
      </w:tr>
      <w:tr w:rsidR="005D7F51" w:rsidRPr="005045BF" w14:paraId="475B515D"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66D36C8D" w14:textId="3CFE9BF2"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Administración de Personal</w:t>
            </w:r>
          </w:p>
        </w:tc>
        <w:tc>
          <w:tcPr>
            <w:tcW w:w="0" w:type="auto"/>
            <w:shd w:val="clear" w:color="auto" w:fill="FFFFFF" w:themeFill="background1"/>
            <w:noWrap/>
            <w:vAlign w:val="center"/>
          </w:tcPr>
          <w:p w14:paraId="57F83DE1" w14:textId="7F037EF7" w:rsidR="005D7F51" w:rsidRPr="005045BF" w:rsidRDefault="002622C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696AC6B7" w14:textId="6AE19CC0"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62</w:t>
            </w:r>
          </w:p>
        </w:tc>
        <w:tc>
          <w:tcPr>
            <w:tcW w:w="1417" w:type="dxa"/>
            <w:shd w:val="clear" w:color="auto" w:fill="FFFFFF" w:themeFill="background1"/>
            <w:noWrap/>
            <w:vAlign w:val="center"/>
          </w:tcPr>
          <w:p w14:paraId="40563C7D" w14:textId="77259B16"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100%</w:t>
            </w:r>
            <w:r w:rsidRPr="005045BF">
              <w:rPr>
                <w:rFonts w:ascii="Arial" w:hAnsi="Arial" w:cs="Arial"/>
                <w:color w:val="0F243E" w:themeColor="text2" w:themeShade="80"/>
                <w:sz w:val="18"/>
                <w:szCs w:val="18"/>
              </w:rPr>
              <w:t>)</w:t>
            </w:r>
          </w:p>
        </w:tc>
      </w:tr>
      <w:tr w:rsidR="005D7F51" w:rsidRPr="005045BF" w14:paraId="6D309516" w14:textId="77777777" w:rsidTr="005D7F51">
        <w:trPr>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154D4158" w14:textId="0EB16D5B"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Grupo de Historias Laborales</w:t>
            </w:r>
          </w:p>
        </w:tc>
        <w:tc>
          <w:tcPr>
            <w:tcW w:w="0" w:type="auto"/>
            <w:shd w:val="clear" w:color="auto" w:fill="FFFFFF" w:themeFill="background1"/>
            <w:noWrap/>
            <w:vAlign w:val="center"/>
          </w:tcPr>
          <w:p w14:paraId="4FD0774D" w14:textId="38D98444" w:rsidR="005D7F51" w:rsidRPr="005045BF" w:rsidRDefault="002622C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0B7DB6DE" w14:textId="0F593B2D" w:rsidR="005D7F51" w:rsidRPr="005045BF" w:rsidRDefault="005D7F51"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178</w:t>
            </w:r>
          </w:p>
        </w:tc>
        <w:tc>
          <w:tcPr>
            <w:tcW w:w="1417" w:type="dxa"/>
            <w:shd w:val="clear" w:color="auto" w:fill="FFFFFF" w:themeFill="background1"/>
            <w:noWrap/>
            <w:vAlign w:val="center"/>
          </w:tcPr>
          <w:p w14:paraId="70DD19B8" w14:textId="2A5CFB9A" w:rsidR="005D7F51" w:rsidRPr="005045BF" w:rsidRDefault="00CB50BD"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w:t>
            </w:r>
            <w:r w:rsidR="005D7F51" w:rsidRPr="005045BF">
              <w:rPr>
                <w:rFonts w:ascii="Arial" w:hAnsi="Arial" w:cs="Arial"/>
                <w:color w:val="0F243E" w:themeColor="text2" w:themeShade="80"/>
                <w:sz w:val="18"/>
                <w:szCs w:val="18"/>
              </w:rPr>
              <w:t>100%</w:t>
            </w:r>
            <w:r w:rsidRPr="005045BF">
              <w:rPr>
                <w:rFonts w:ascii="Arial" w:hAnsi="Arial" w:cs="Arial"/>
                <w:color w:val="0F243E" w:themeColor="text2" w:themeShade="80"/>
                <w:sz w:val="18"/>
                <w:szCs w:val="18"/>
              </w:rPr>
              <w:t>)</w:t>
            </w:r>
          </w:p>
        </w:tc>
      </w:tr>
      <w:tr w:rsidR="005D7F51" w:rsidRPr="005045BF" w14:paraId="64BCA19D" w14:textId="77777777" w:rsidTr="005D7F51">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vAlign w:val="center"/>
          </w:tcPr>
          <w:p w14:paraId="7BD466E6" w14:textId="47BCF8C0" w:rsidR="005D7F51" w:rsidRPr="005045BF" w:rsidRDefault="005D7F51" w:rsidP="00A92CFB">
            <w:pPr>
              <w:widowControl w:val="0"/>
              <w:spacing w:before="40" w:after="60"/>
              <w:rPr>
                <w:rFonts w:ascii="Arial" w:hAnsi="Arial" w:cs="Arial"/>
                <w:b w:val="0"/>
                <w:bCs w:val="0"/>
                <w:color w:val="0F243E" w:themeColor="text2" w:themeShade="80"/>
                <w:sz w:val="18"/>
                <w:szCs w:val="18"/>
              </w:rPr>
            </w:pPr>
            <w:r w:rsidRPr="005045BF">
              <w:rPr>
                <w:rFonts w:ascii="Arial" w:hAnsi="Arial" w:cs="Arial"/>
                <w:b w:val="0"/>
                <w:bCs w:val="0"/>
                <w:color w:val="000000"/>
                <w:sz w:val="18"/>
                <w:szCs w:val="18"/>
              </w:rPr>
              <w:t xml:space="preserve">Grupo de Política y Administración Judicial </w:t>
            </w:r>
          </w:p>
        </w:tc>
        <w:tc>
          <w:tcPr>
            <w:tcW w:w="0" w:type="auto"/>
            <w:shd w:val="clear" w:color="auto" w:fill="FFFFFF" w:themeFill="background1"/>
            <w:noWrap/>
            <w:vAlign w:val="center"/>
          </w:tcPr>
          <w:p w14:paraId="1E7C73C7" w14:textId="0F36BA57" w:rsidR="005D7F51" w:rsidRPr="005045BF" w:rsidRDefault="002622C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565" w:type="dxa"/>
            <w:shd w:val="clear" w:color="auto" w:fill="FFFFFF" w:themeFill="background1"/>
            <w:noWrap/>
            <w:vAlign w:val="center"/>
          </w:tcPr>
          <w:p w14:paraId="27725443" w14:textId="401AF877" w:rsidR="005D7F51" w:rsidRPr="005045BF" w:rsidRDefault="005D7F51"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18"/>
                <w:szCs w:val="18"/>
              </w:rPr>
              <w:t>27</w:t>
            </w:r>
          </w:p>
        </w:tc>
        <w:tc>
          <w:tcPr>
            <w:tcW w:w="1417" w:type="dxa"/>
            <w:shd w:val="clear" w:color="auto" w:fill="FFFFFF" w:themeFill="background1"/>
            <w:noWrap/>
            <w:vAlign w:val="center"/>
          </w:tcPr>
          <w:p w14:paraId="6817664E" w14:textId="5EA2AB23" w:rsidR="005D7F51" w:rsidRPr="005045BF" w:rsidRDefault="00CB50BD" w:rsidP="00A92CFB">
            <w:pPr>
              <w:widowControl w:val="0"/>
              <w:spacing w:before="40" w:after="6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0F243E" w:themeColor="text2" w:themeShade="80"/>
                <w:sz w:val="18"/>
                <w:szCs w:val="18"/>
              </w:rPr>
            </w:pPr>
            <w:r w:rsidRPr="005045BF">
              <w:rPr>
                <w:rFonts w:ascii="Arial" w:hAnsi="Arial" w:cs="Arial"/>
                <w:color w:val="000000"/>
                <w:sz w:val="18"/>
                <w:szCs w:val="18"/>
              </w:rPr>
              <w:t>(</w:t>
            </w:r>
            <w:r w:rsidR="005D7F51" w:rsidRPr="005045BF">
              <w:rPr>
                <w:rFonts w:ascii="Arial" w:hAnsi="Arial" w:cs="Arial"/>
                <w:color w:val="000000"/>
                <w:sz w:val="18"/>
                <w:szCs w:val="18"/>
              </w:rPr>
              <w:t>100%</w:t>
            </w:r>
            <w:r w:rsidRPr="005045BF">
              <w:rPr>
                <w:rFonts w:ascii="Arial" w:hAnsi="Arial" w:cs="Arial"/>
                <w:color w:val="000000"/>
                <w:sz w:val="18"/>
                <w:szCs w:val="18"/>
              </w:rPr>
              <w:t>)</w:t>
            </w:r>
          </w:p>
        </w:tc>
      </w:tr>
    </w:tbl>
    <w:p w14:paraId="2E7885B4" w14:textId="77777777" w:rsidR="00A92CFB" w:rsidRPr="005045BF" w:rsidRDefault="00A92CFB" w:rsidP="0031490E">
      <w:pPr>
        <w:jc w:val="both"/>
        <w:rPr>
          <w:rFonts w:ascii="Arial" w:hAnsi="Arial" w:cs="Arial"/>
          <w:color w:val="000000"/>
          <w:sz w:val="22"/>
          <w:szCs w:val="22"/>
        </w:rPr>
      </w:pPr>
    </w:p>
    <w:p w14:paraId="51F5BE75" w14:textId="5C907F82" w:rsidR="00B92329" w:rsidRPr="005045BF" w:rsidRDefault="00B92329" w:rsidP="0031490E">
      <w:pPr>
        <w:jc w:val="both"/>
        <w:rPr>
          <w:rFonts w:ascii="Arial" w:hAnsi="Arial" w:cs="Arial"/>
          <w:color w:val="000000"/>
          <w:sz w:val="22"/>
          <w:szCs w:val="22"/>
        </w:rPr>
      </w:pPr>
      <w:r w:rsidRPr="005045BF">
        <w:rPr>
          <w:rFonts w:ascii="Arial" w:hAnsi="Arial" w:cs="Arial"/>
          <w:color w:val="000000"/>
          <w:sz w:val="22"/>
          <w:szCs w:val="22"/>
        </w:rPr>
        <w:t xml:space="preserve">Es de precisar que, si bien el Despacho del Ministro presentó la mayor cantidad de horas extras durante primer trimestre de 2020 [1.380], </w:t>
      </w:r>
      <w:r w:rsidR="004547FC" w:rsidRPr="005045BF">
        <w:rPr>
          <w:rFonts w:ascii="Arial" w:hAnsi="Arial" w:cs="Arial"/>
          <w:color w:val="000000"/>
          <w:sz w:val="22"/>
          <w:szCs w:val="22"/>
        </w:rPr>
        <w:t xml:space="preserve">a su vez, </w:t>
      </w:r>
      <w:r w:rsidRPr="005045BF">
        <w:rPr>
          <w:rFonts w:ascii="Arial" w:hAnsi="Arial" w:cs="Arial"/>
          <w:color w:val="000000"/>
          <w:sz w:val="22"/>
          <w:szCs w:val="22"/>
        </w:rPr>
        <w:t xml:space="preserve">dicha dependencia </w:t>
      </w:r>
      <w:r w:rsidR="004547FC" w:rsidRPr="005045BF">
        <w:rPr>
          <w:rFonts w:ascii="Arial" w:hAnsi="Arial" w:cs="Arial"/>
          <w:color w:val="000000"/>
          <w:sz w:val="22"/>
          <w:szCs w:val="22"/>
        </w:rPr>
        <w:t xml:space="preserve">obtuvo </w:t>
      </w:r>
      <w:r w:rsidRPr="005045BF">
        <w:rPr>
          <w:rFonts w:ascii="Arial" w:hAnsi="Arial" w:cs="Arial"/>
          <w:color w:val="000000"/>
          <w:sz w:val="22"/>
          <w:szCs w:val="22"/>
        </w:rPr>
        <w:t xml:space="preserve">una disminución del 20% en el total de horas extras comparadas con el mismo periodo de 2019. </w:t>
      </w:r>
    </w:p>
    <w:p w14:paraId="52290F18" w14:textId="6BDCB344" w:rsidR="0031490E" w:rsidRDefault="0031490E" w:rsidP="00C217E8">
      <w:pPr>
        <w:spacing w:line="192" w:lineRule="auto"/>
        <w:jc w:val="both"/>
        <w:rPr>
          <w:rFonts w:ascii="Arial" w:hAnsi="Arial" w:cs="Arial"/>
          <w:color w:val="000000"/>
          <w:sz w:val="22"/>
          <w:szCs w:val="22"/>
        </w:rPr>
      </w:pPr>
    </w:p>
    <w:p w14:paraId="4DDB2D49" w14:textId="3B4C87D8" w:rsidR="00057A2B" w:rsidRDefault="00057A2B" w:rsidP="0031490E">
      <w:pPr>
        <w:jc w:val="both"/>
        <w:rPr>
          <w:rFonts w:ascii="Arial" w:hAnsi="Arial" w:cs="Arial"/>
          <w:sz w:val="22"/>
          <w:szCs w:val="22"/>
        </w:rPr>
      </w:pPr>
      <w:r w:rsidRPr="00C217E8">
        <w:rPr>
          <w:rFonts w:ascii="Arial" w:hAnsi="Arial" w:cs="Arial"/>
          <w:color w:val="000000"/>
          <w:sz w:val="22"/>
          <w:szCs w:val="22"/>
        </w:rPr>
        <w:t xml:space="preserve">Referente al Grupo de Logística y Suministros, es importante mencionar que al finalizar la vigencia 2019, dicho Grupo fue </w:t>
      </w:r>
      <w:r w:rsidR="00955850" w:rsidRPr="00C217E8">
        <w:rPr>
          <w:rFonts w:ascii="Arial" w:hAnsi="Arial" w:cs="Arial"/>
          <w:color w:val="000000"/>
          <w:sz w:val="22"/>
          <w:szCs w:val="22"/>
        </w:rPr>
        <w:t xml:space="preserve">suprimido y se crearon dos Grupos, así: </w:t>
      </w:r>
      <w:r w:rsidRPr="00C217E8">
        <w:rPr>
          <w:rFonts w:ascii="Arial" w:hAnsi="Arial" w:cs="Arial"/>
          <w:sz w:val="22"/>
          <w:szCs w:val="22"/>
        </w:rPr>
        <w:t>Logística y Servicios Especiales y Bienes y Suministros,</w:t>
      </w:r>
      <w:r w:rsidR="00D11423" w:rsidRPr="00C217E8">
        <w:rPr>
          <w:rFonts w:ascii="Arial" w:hAnsi="Arial" w:cs="Arial"/>
          <w:sz w:val="22"/>
          <w:szCs w:val="22"/>
        </w:rPr>
        <w:t xml:space="preserve"> los cuales reportaron un total de horas de 1.069 </w:t>
      </w:r>
      <w:r w:rsidR="00A8594E" w:rsidRPr="00C217E8">
        <w:rPr>
          <w:rFonts w:ascii="Arial" w:hAnsi="Arial" w:cs="Arial"/>
          <w:sz w:val="22"/>
          <w:szCs w:val="22"/>
        </w:rPr>
        <w:t>para el primer trimestre de 2020</w:t>
      </w:r>
      <w:r w:rsidR="00C217E8" w:rsidRPr="00C217E8">
        <w:rPr>
          <w:rFonts w:ascii="Arial" w:hAnsi="Arial" w:cs="Arial"/>
          <w:sz w:val="22"/>
          <w:szCs w:val="22"/>
        </w:rPr>
        <w:t xml:space="preserve">, </w:t>
      </w:r>
      <w:r w:rsidR="00D11423" w:rsidRPr="00C217E8">
        <w:rPr>
          <w:rFonts w:ascii="Arial" w:hAnsi="Arial" w:cs="Arial"/>
          <w:sz w:val="22"/>
          <w:szCs w:val="22"/>
        </w:rPr>
        <w:t>comparadas con las 2.739</w:t>
      </w:r>
      <w:r w:rsidR="00A8594E" w:rsidRPr="00C217E8">
        <w:rPr>
          <w:rFonts w:ascii="Arial" w:hAnsi="Arial" w:cs="Arial"/>
          <w:sz w:val="22"/>
          <w:szCs w:val="22"/>
        </w:rPr>
        <w:t xml:space="preserve"> horas</w:t>
      </w:r>
      <w:r w:rsidR="00D11423" w:rsidRPr="00C217E8">
        <w:rPr>
          <w:rFonts w:ascii="Arial" w:hAnsi="Arial" w:cs="Arial"/>
          <w:sz w:val="22"/>
          <w:szCs w:val="22"/>
        </w:rPr>
        <w:t xml:space="preserve"> reportadas por el antiguo Grupo </w:t>
      </w:r>
      <w:r w:rsidR="00D11423" w:rsidRPr="00C217E8">
        <w:rPr>
          <w:rFonts w:ascii="Arial" w:hAnsi="Arial" w:cs="Arial"/>
          <w:color w:val="000000" w:themeColor="text1"/>
          <w:sz w:val="22"/>
          <w:szCs w:val="22"/>
        </w:rPr>
        <w:t>[ Grupo de Logística y Suministros]</w:t>
      </w:r>
      <w:r w:rsidR="00C217E8" w:rsidRPr="00C217E8">
        <w:rPr>
          <w:rFonts w:ascii="Arial" w:hAnsi="Arial" w:cs="Arial"/>
          <w:color w:val="000000" w:themeColor="text1"/>
          <w:sz w:val="22"/>
          <w:szCs w:val="22"/>
        </w:rPr>
        <w:t xml:space="preserve"> </w:t>
      </w:r>
      <w:r w:rsidR="00A8594E" w:rsidRPr="00C217E8">
        <w:rPr>
          <w:rFonts w:ascii="Arial" w:hAnsi="Arial" w:cs="Arial"/>
          <w:color w:val="000000" w:themeColor="text1"/>
          <w:sz w:val="22"/>
          <w:szCs w:val="22"/>
        </w:rPr>
        <w:t>para el primer trimestre de 2019</w:t>
      </w:r>
      <w:r w:rsidR="00C217E8" w:rsidRPr="00C217E8">
        <w:rPr>
          <w:rFonts w:ascii="Arial" w:hAnsi="Arial" w:cs="Arial"/>
          <w:color w:val="000000" w:themeColor="text1"/>
          <w:sz w:val="22"/>
          <w:szCs w:val="22"/>
        </w:rPr>
        <w:t xml:space="preserve">, </w:t>
      </w:r>
      <w:r w:rsidR="00A8594E" w:rsidRPr="00C217E8">
        <w:rPr>
          <w:rFonts w:ascii="Arial" w:hAnsi="Arial" w:cs="Arial"/>
          <w:color w:val="000000" w:themeColor="text1"/>
          <w:sz w:val="22"/>
          <w:szCs w:val="22"/>
        </w:rPr>
        <w:t>se determinó una variación negativa correspondiente a una disminución global del 61%.</w:t>
      </w:r>
    </w:p>
    <w:p w14:paraId="2D23D8D3" w14:textId="77777777" w:rsidR="00057A2B" w:rsidRPr="005045BF" w:rsidRDefault="00057A2B" w:rsidP="0031490E">
      <w:pPr>
        <w:jc w:val="both"/>
        <w:rPr>
          <w:rFonts w:ascii="Arial" w:hAnsi="Arial" w:cs="Arial"/>
          <w:color w:val="000000"/>
          <w:sz w:val="22"/>
          <w:szCs w:val="22"/>
        </w:rPr>
      </w:pPr>
    </w:p>
    <w:p w14:paraId="262EF4AC" w14:textId="0C34DA9F" w:rsidR="00CF210B" w:rsidRPr="005045BF" w:rsidRDefault="00FB67CA" w:rsidP="0031490E">
      <w:pPr>
        <w:jc w:val="both"/>
        <w:rPr>
          <w:rFonts w:ascii="Arial" w:hAnsi="Arial" w:cs="Arial"/>
          <w:sz w:val="22"/>
          <w:szCs w:val="22"/>
        </w:rPr>
      </w:pPr>
      <w:r w:rsidRPr="005045BF">
        <w:rPr>
          <w:rFonts w:ascii="Arial" w:hAnsi="Arial" w:cs="Arial"/>
          <w:sz w:val="22"/>
          <w:szCs w:val="22"/>
        </w:rPr>
        <w:t xml:space="preserve">De igual forma, </w:t>
      </w:r>
      <w:r w:rsidR="002E28DC" w:rsidRPr="005045BF">
        <w:rPr>
          <w:rFonts w:ascii="Arial" w:hAnsi="Arial" w:cs="Arial"/>
          <w:sz w:val="22"/>
          <w:szCs w:val="22"/>
        </w:rPr>
        <w:t xml:space="preserve">se observó que el </w:t>
      </w:r>
      <w:r w:rsidR="006F12C8" w:rsidRPr="005045BF">
        <w:rPr>
          <w:rFonts w:ascii="Arial" w:hAnsi="Arial" w:cs="Arial"/>
          <w:sz w:val="22"/>
          <w:szCs w:val="22"/>
        </w:rPr>
        <w:t>5</w:t>
      </w:r>
      <w:r w:rsidR="001031FB" w:rsidRPr="005045BF">
        <w:rPr>
          <w:rFonts w:ascii="Arial" w:hAnsi="Arial" w:cs="Arial"/>
          <w:sz w:val="22"/>
          <w:szCs w:val="22"/>
        </w:rPr>
        <w:t>4</w:t>
      </w:r>
      <w:r w:rsidR="002E28DC" w:rsidRPr="005045BF">
        <w:rPr>
          <w:rFonts w:ascii="Arial" w:hAnsi="Arial" w:cs="Arial"/>
          <w:sz w:val="22"/>
          <w:szCs w:val="22"/>
        </w:rPr>
        <w:t>%</w:t>
      </w:r>
      <w:r w:rsidRPr="005045BF">
        <w:rPr>
          <w:rFonts w:ascii="Arial" w:hAnsi="Arial" w:cs="Arial"/>
          <w:sz w:val="22"/>
          <w:szCs w:val="22"/>
        </w:rPr>
        <w:t xml:space="preserve"> de las áreas con horas extras liquidadas</w:t>
      </w:r>
      <w:r w:rsidR="002E28DC" w:rsidRPr="005045BF">
        <w:rPr>
          <w:rFonts w:ascii="Arial" w:hAnsi="Arial" w:cs="Arial"/>
          <w:sz w:val="22"/>
          <w:szCs w:val="22"/>
        </w:rPr>
        <w:t xml:space="preserve"> presentaron</w:t>
      </w:r>
      <w:r w:rsidR="005921B9" w:rsidRPr="005045BF">
        <w:rPr>
          <w:rFonts w:ascii="Arial" w:hAnsi="Arial" w:cs="Arial"/>
          <w:sz w:val="22"/>
          <w:szCs w:val="22"/>
        </w:rPr>
        <w:t xml:space="preserve"> </w:t>
      </w:r>
      <w:r w:rsidRPr="005045BF">
        <w:rPr>
          <w:rFonts w:ascii="Arial" w:hAnsi="Arial" w:cs="Arial"/>
          <w:sz w:val="22"/>
          <w:szCs w:val="22"/>
        </w:rPr>
        <w:t>aumentos</w:t>
      </w:r>
      <w:r w:rsidR="00004A2A" w:rsidRPr="005045BF">
        <w:rPr>
          <w:rFonts w:ascii="Arial" w:hAnsi="Arial" w:cs="Arial"/>
          <w:sz w:val="22"/>
          <w:szCs w:val="22"/>
        </w:rPr>
        <w:t>, a saber</w:t>
      </w:r>
      <w:r w:rsidR="00CF210B" w:rsidRPr="005045BF">
        <w:rPr>
          <w:rFonts w:ascii="Arial" w:hAnsi="Arial" w:cs="Arial"/>
          <w:sz w:val="22"/>
          <w:szCs w:val="22"/>
        </w:rPr>
        <w:t xml:space="preserve">: </w:t>
      </w:r>
    </w:p>
    <w:p w14:paraId="62B3C380" w14:textId="77777777" w:rsidR="0031490E" w:rsidRPr="005045BF" w:rsidRDefault="0031490E" w:rsidP="0031490E">
      <w:pPr>
        <w:jc w:val="both"/>
        <w:rPr>
          <w:rFonts w:ascii="Arial" w:hAnsi="Arial" w:cs="Arial"/>
          <w:sz w:val="22"/>
          <w:szCs w:val="22"/>
        </w:rPr>
      </w:pPr>
    </w:p>
    <w:tbl>
      <w:tblPr>
        <w:tblW w:w="0" w:type="auto"/>
        <w:tblInd w:w="-10" w:type="dxa"/>
        <w:tblCellMar>
          <w:left w:w="70" w:type="dxa"/>
          <w:right w:w="70" w:type="dxa"/>
        </w:tblCellMar>
        <w:tblLook w:val="04A0" w:firstRow="1" w:lastRow="0" w:firstColumn="1" w:lastColumn="0" w:noHBand="0" w:noVBand="1"/>
      </w:tblPr>
      <w:tblGrid>
        <w:gridCol w:w="5103"/>
        <w:gridCol w:w="1560"/>
        <w:gridCol w:w="1559"/>
        <w:gridCol w:w="1417"/>
      </w:tblGrid>
      <w:tr w:rsidR="00CF210B" w:rsidRPr="005045BF" w14:paraId="7D42E40B" w14:textId="77777777" w:rsidTr="0085479A">
        <w:trPr>
          <w:cantSplit/>
          <w:trHeight w:val="459"/>
        </w:trPr>
        <w:tc>
          <w:tcPr>
            <w:tcW w:w="0" w:type="auto"/>
            <w:gridSpan w:val="4"/>
            <w:tcBorders>
              <w:top w:val="double" w:sz="6" w:space="0" w:color="4F81BD"/>
              <w:left w:val="single" w:sz="8" w:space="0" w:color="B8CCE4"/>
              <w:bottom w:val="double" w:sz="6" w:space="0" w:color="4F81BD"/>
              <w:right w:val="nil"/>
            </w:tcBorders>
            <w:shd w:val="clear" w:color="auto" w:fill="auto"/>
            <w:vAlign w:val="center"/>
            <w:hideMark/>
          </w:tcPr>
          <w:p w14:paraId="5751EECC" w14:textId="4D50446B" w:rsidR="00CF210B" w:rsidRPr="005045BF" w:rsidRDefault="00CF210B" w:rsidP="00C217E8">
            <w:pPr>
              <w:spacing w:before="20" w:after="40"/>
              <w:jc w:val="center"/>
              <w:rPr>
                <w:rFonts w:ascii="Arial" w:hAnsi="Arial" w:cs="Arial"/>
                <w:b/>
                <w:bCs/>
                <w:color w:val="0F243E"/>
                <w:sz w:val="18"/>
                <w:szCs w:val="18"/>
              </w:rPr>
            </w:pPr>
            <w:r w:rsidRPr="005045BF">
              <w:rPr>
                <w:rFonts w:ascii="Arial" w:hAnsi="Arial" w:cs="Arial"/>
                <w:sz w:val="18"/>
                <w:szCs w:val="18"/>
              </w:rPr>
              <w:br w:type="page"/>
            </w:r>
            <w:r w:rsidRPr="005045BF">
              <w:rPr>
                <w:rFonts w:ascii="Arial" w:hAnsi="Arial" w:cs="Arial"/>
                <w:b/>
                <w:bCs/>
                <w:color w:val="0F243E"/>
                <w:sz w:val="18"/>
                <w:szCs w:val="18"/>
              </w:rPr>
              <w:t xml:space="preserve">Aumento en Cantidad de Horas Extras </w:t>
            </w:r>
          </w:p>
        </w:tc>
      </w:tr>
      <w:tr w:rsidR="001031FB" w:rsidRPr="005045BF" w14:paraId="2A2D4880" w14:textId="77777777" w:rsidTr="0085479A">
        <w:trPr>
          <w:cantSplit/>
        </w:trPr>
        <w:tc>
          <w:tcPr>
            <w:tcW w:w="5103" w:type="dxa"/>
            <w:tcBorders>
              <w:top w:val="nil"/>
              <w:left w:val="single" w:sz="8" w:space="0" w:color="B8CCE4"/>
              <w:bottom w:val="single" w:sz="12" w:space="0" w:color="95B3D7"/>
              <w:right w:val="single" w:sz="8" w:space="0" w:color="B8CCE4"/>
            </w:tcBorders>
            <w:shd w:val="clear" w:color="000000" w:fill="4F81BD"/>
            <w:vAlign w:val="center"/>
            <w:hideMark/>
          </w:tcPr>
          <w:p w14:paraId="0A337555" w14:textId="77777777" w:rsidR="001031FB" w:rsidRPr="005045BF" w:rsidRDefault="001031FB" w:rsidP="00C217E8">
            <w:pPr>
              <w:spacing w:before="20" w:after="40"/>
              <w:jc w:val="center"/>
              <w:rPr>
                <w:rFonts w:ascii="Arial" w:hAnsi="Arial" w:cs="Arial"/>
                <w:b/>
                <w:bCs/>
                <w:color w:val="FFFFFF"/>
                <w:sz w:val="18"/>
                <w:szCs w:val="18"/>
              </w:rPr>
            </w:pPr>
            <w:r w:rsidRPr="005045BF">
              <w:rPr>
                <w:rFonts w:ascii="Arial" w:hAnsi="Arial" w:cs="Arial"/>
                <w:b/>
                <w:bCs/>
                <w:color w:val="FFFFFF" w:themeColor="background1"/>
                <w:sz w:val="18"/>
                <w:szCs w:val="18"/>
              </w:rPr>
              <w:t xml:space="preserve"> Dependencia  </w:t>
            </w:r>
          </w:p>
        </w:tc>
        <w:tc>
          <w:tcPr>
            <w:tcW w:w="1560" w:type="dxa"/>
            <w:tcBorders>
              <w:top w:val="nil"/>
              <w:left w:val="nil"/>
              <w:bottom w:val="single" w:sz="12" w:space="0" w:color="95B3D7"/>
              <w:right w:val="single" w:sz="8" w:space="0" w:color="B8CCE4"/>
            </w:tcBorders>
            <w:shd w:val="clear" w:color="000000" w:fill="4F81BD"/>
            <w:vAlign w:val="center"/>
            <w:hideMark/>
          </w:tcPr>
          <w:p w14:paraId="7328F0C1" w14:textId="51F65659" w:rsidR="001031FB" w:rsidRPr="005045BF" w:rsidRDefault="001031FB" w:rsidP="00C217E8">
            <w:pPr>
              <w:spacing w:before="20" w:after="40"/>
              <w:jc w:val="center"/>
              <w:rPr>
                <w:rFonts w:ascii="Arial" w:hAnsi="Arial" w:cs="Arial"/>
                <w:b/>
                <w:color w:val="FFFFFF"/>
                <w:sz w:val="18"/>
                <w:szCs w:val="18"/>
              </w:rPr>
            </w:pPr>
            <w:r w:rsidRPr="005045BF">
              <w:rPr>
                <w:rFonts w:ascii="Arial" w:hAnsi="Arial" w:cs="Arial"/>
                <w:color w:val="FFFFFF" w:themeColor="background1"/>
                <w:sz w:val="18"/>
                <w:szCs w:val="18"/>
              </w:rPr>
              <w:t xml:space="preserve">  I Trimestre 2020 </w:t>
            </w:r>
          </w:p>
        </w:tc>
        <w:tc>
          <w:tcPr>
            <w:tcW w:w="1559" w:type="dxa"/>
            <w:tcBorders>
              <w:top w:val="nil"/>
              <w:left w:val="nil"/>
              <w:bottom w:val="single" w:sz="12" w:space="0" w:color="95B3D7"/>
              <w:right w:val="single" w:sz="8" w:space="0" w:color="B8CCE4"/>
            </w:tcBorders>
            <w:shd w:val="clear" w:color="000000" w:fill="4F81BD"/>
            <w:vAlign w:val="center"/>
            <w:hideMark/>
          </w:tcPr>
          <w:p w14:paraId="04A902C5" w14:textId="3839C42F" w:rsidR="001031FB" w:rsidRPr="005045BF" w:rsidRDefault="001031FB" w:rsidP="00C217E8">
            <w:pPr>
              <w:spacing w:before="20" w:after="40"/>
              <w:jc w:val="center"/>
              <w:rPr>
                <w:rFonts w:ascii="Arial" w:hAnsi="Arial" w:cs="Arial"/>
                <w:b/>
                <w:color w:val="FFFFFF"/>
                <w:sz w:val="18"/>
                <w:szCs w:val="18"/>
              </w:rPr>
            </w:pPr>
            <w:r w:rsidRPr="005045BF">
              <w:rPr>
                <w:rFonts w:ascii="Arial" w:hAnsi="Arial" w:cs="Arial"/>
                <w:color w:val="FFFFFF" w:themeColor="background1"/>
                <w:sz w:val="18"/>
                <w:szCs w:val="18"/>
              </w:rPr>
              <w:t>I Trimestre 2019</w:t>
            </w:r>
          </w:p>
        </w:tc>
        <w:tc>
          <w:tcPr>
            <w:tcW w:w="1417" w:type="dxa"/>
            <w:tcBorders>
              <w:top w:val="nil"/>
              <w:left w:val="nil"/>
              <w:bottom w:val="single" w:sz="12" w:space="0" w:color="95B3D7"/>
              <w:right w:val="single" w:sz="8" w:space="0" w:color="B8CCE4"/>
            </w:tcBorders>
            <w:shd w:val="clear" w:color="000000" w:fill="4F81BD"/>
            <w:vAlign w:val="center"/>
            <w:hideMark/>
          </w:tcPr>
          <w:p w14:paraId="62DBED59" w14:textId="6AE0AB3B" w:rsidR="001031FB" w:rsidRPr="005045BF" w:rsidRDefault="001031FB" w:rsidP="00C217E8">
            <w:pPr>
              <w:spacing w:before="20" w:after="40"/>
              <w:jc w:val="center"/>
              <w:rPr>
                <w:rFonts w:ascii="Arial" w:hAnsi="Arial" w:cs="Arial"/>
                <w:b/>
                <w:color w:val="FFFFFF"/>
                <w:sz w:val="18"/>
                <w:szCs w:val="18"/>
              </w:rPr>
            </w:pPr>
            <w:r w:rsidRPr="005045BF">
              <w:rPr>
                <w:rFonts w:ascii="Arial" w:hAnsi="Arial" w:cs="Arial"/>
                <w:color w:val="FFFFFF" w:themeColor="background1"/>
                <w:sz w:val="18"/>
                <w:szCs w:val="18"/>
              </w:rPr>
              <w:t xml:space="preserve"> Variación (%)</w:t>
            </w:r>
          </w:p>
        </w:tc>
      </w:tr>
      <w:tr w:rsidR="001031FB" w:rsidRPr="005045BF" w14:paraId="07578875"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26430FD2" w14:textId="24661CD0"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Dirección General del Presupuesto Público Nacional</w:t>
            </w:r>
          </w:p>
        </w:tc>
        <w:tc>
          <w:tcPr>
            <w:tcW w:w="1560" w:type="dxa"/>
            <w:tcBorders>
              <w:top w:val="nil"/>
              <w:left w:val="nil"/>
              <w:bottom w:val="single" w:sz="8" w:space="0" w:color="B8CCE4"/>
              <w:right w:val="single" w:sz="8" w:space="0" w:color="B8CCE4"/>
            </w:tcBorders>
            <w:shd w:val="clear" w:color="auto" w:fill="auto"/>
            <w:noWrap/>
            <w:vAlign w:val="center"/>
          </w:tcPr>
          <w:p w14:paraId="75C2C367" w14:textId="01C9C41B"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433</w:t>
            </w:r>
          </w:p>
        </w:tc>
        <w:tc>
          <w:tcPr>
            <w:tcW w:w="1559" w:type="dxa"/>
            <w:tcBorders>
              <w:top w:val="nil"/>
              <w:left w:val="nil"/>
              <w:bottom w:val="single" w:sz="8" w:space="0" w:color="B8CCE4"/>
              <w:right w:val="single" w:sz="8" w:space="0" w:color="B8CCE4"/>
            </w:tcBorders>
            <w:shd w:val="clear" w:color="auto" w:fill="auto"/>
            <w:noWrap/>
            <w:vAlign w:val="center"/>
          </w:tcPr>
          <w:p w14:paraId="4BCF37A2" w14:textId="05F0C5D6"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115</w:t>
            </w:r>
          </w:p>
        </w:tc>
        <w:tc>
          <w:tcPr>
            <w:tcW w:w="1417" w:type="dxa"/>
            <w:tcBorders>
              <w:top w:val="nil"/>
              <w:left w:val="nil"/>
              <w:bottom w:val="single" w:sz="8" w:space="0" w:color="B8CCE4"/>
              <w:right w:val="single" w:sz="8" w:space="0" w:color="B8CCE4"/>
            </w:tcBorders>
            <w:shd w:val="clear" w:color="auto" w:fill="auto"/>
            <w:noWrap/>
            <w:vAlign w:val="center"/>
          </w:tcPr>
          <w:p w14:paraId="67962D5F" w14:textId="2E67060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275%</w:t>
            </w:r>
          </w:p>
        </w:tc>
      </w:tr>
      <w:tr w:rsidR="001031FB" w:rsidRPr="005045BF" w14:paraId="2611B0FC"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441A960B" w14:textId="591862FC"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Despacho del Viceministro Técnico</w:t>
            </w:r>
          </w:p>
        </w:tc>
        <w:tc>
          <w:tcPr>
            <w:tcW w:w="1560" w:type="dxa"/>
            <w:tcBorders>
              <w:top w:val="nil"/>
              <w:left w:val="nil"/>
              <w:bottom w:val="single" w:sz="8" w:space="0" w:color="B8CCE4"/>
              <w:right w:val="single" w:sz="8" w:space="0" w:color="B8CCE4"/>
            </w:tcBorders>
            <w:shd w:val="clear" w:color="auto" w:fill="auto"/>
            <w:noWrap/>
            <w:vAlign w:val="center"/>
          </w:tcPr>
          <w:p w14:paraId="4AFAFDE9" w14:textId="04E4A199"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478</w:t>
            </w:r>
          </w:p>
        </w:tc>
        <w:tc>
          <w:tcPr>
            <w:tcW w:w="1559" w:type="dxa"/>
            <w:tcBorders>
              <w:top w:val="nil"/>
              <w:left w:val="nil"/>
              <w:bottom w:val="single" w:sz="8" w:space="0" w:color="B8CCE4"/>
              <w:right w:val="single" w:sz="8" w:space="0" w:color="B8CCE4"/>
            </w:tcBorders>
            <w:shd w:val="clear" w:color="auto" w:fill="auto"/>
            <w:noWrap/>
            <w:vAlign w:val="center"/>
          </w:tcPr>
          <w:p w14:paraId="19EBAC4A" w14:textId="03CFD0E7"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162</w:t>
            </w:r>
          </w:p>
        </w:tc>
        <w:tc>
          <w:tcPr>
            <w:tcW w:w="1417" w:type="dxa"/>
            <w:tcBorders>
              <w:top w:val="nil"/>
              <w:left w:val="nil"/>
              <w:bottom w:val="single" w:sz="8" w:space="0" w:color="B8CCE4"/>
              <w:right w:val="single" w:sz="8" w:space="0" w:color="B8CCE4"/>
            </w:tcBorders>
            <w:shd w:val="clear" w:color="auto" w:fill="auto"/>
            <w:noWrap/>
            <w:vAlign w:val="center"/>
          </w:tcPr>
          <w:p w14:paraId="013D41CB" w14:textId="7366030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195%</w:t>
            </w:r>
          </w:p>
        </w:tc>
      </w:tr>
      <w:tr w:rsidR="001031FB" w:rsidRPr="005045BF" w14:paraId="581484FF"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0FBF7BC8" w14:textId="11DE678E"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Despacho del Viceministerio General</w:t>
            </w:r>
          </w:p>
        </w:tc>
        <w:tc>
          <w:tcPr>
            <w:tcW w:w="1560" w:type="dxa"/>
            <w:tcBorders>
              <w:top w:val="nil"/>
              <w:left w:val="nil"/>
              <w:bottom w:val="single" w:sz="8" w:space="0" w:color="B8CCE4"/>
              <w:right w:val="single" w:sz="8" w:space="0" w:color="B8CCE4"/>
            </w:tcBorders>
            <w:shd w:val="clear" w:color="auto" w:fill="auto"/>
            <w:noWrap/>
            <w:vAlign w:val="center"/>
          </w:tcPr>
          <w:p w14:paraId="3FFC6A88" w14:textId="1EAA733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634</w:t>
            </w:r>
          </w:p>
        </w:tc>
        <w:tc>
          <w:tcPr>
            <w:tcW w:w="1559" w:type="dxa"/>
            <w:tcBorders>
              <w:top w:val="nil"/>
              <w:left w:val="nil"/>
              <w:bottom w:val="single" w:sz="8" w:space="0" w:color="B8CCE4"/>
              <w:right w:val="single" w:sz="8" w:space="0" w:color="B8CCE4"/>
            </w:tcBorders>
            <w:shd w:val="clear" w:color="auto" w:fill="auto"/>
            <w:noWrap/>
            <w:vAlign w:val="center"/>
          </w:tcPr>
          <w:p w14:paraId="518FAE72" w14:textId="61BD89D1"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234</w:t>
            </w:r>
          </w:p>
        </w:tc>
        <w:tc>
          <w:tcPr>
            <w:tcW w:w="1417" w:type="dxa"/>
            <w:tcBorders>
              <w:top w:val="nil"/>
              <w:left w:val="nil"/>
              <w:bottom w:val="single" w:sz="8" w:space="0" w:color="B8CCE4"/>
              <w:right w:val="single" w:sz="8" w:space="0" w:color="B8CCE4"/>
            </w:tcBorders>
            <w:shd w:val="clear" w:color="auto" w:fill="auto"/>
            <w:noWrap/>
            <w:vAlign w:val="center"/>
          </w:tcPr>
          <w:p w14:paraId="10243511" w14:textId="1A07DB86"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170%</w:t>
            </w:r>
          </w:p>
        </w:tc>
      </w:tr>
      <w:tr w:rsidR="001031FB" w:rsidRPr="005045BF" w14:paraId="367EDC2F"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263F10D7" w14:textId="14BAC0D5"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Secretaría General </w:t>
            </w:r>
          </w:p>
        </w:tc>
        <w:tc>
          <w:tcPr>
            <w:tcW w:w="1560" w:type="dxa"/>
            <w:tcBorders>
              <w:top w:val="nil"/>
              <w:left w:val="nil"/>
              <w:bottom w:val="single" w:sz="8" w:space="0" w:color="B8CCE4"/>
              <w:right w:val="single" w:sz="8" w:space="0" w:color="B8CCE4"/>
            </w:tcBorders>
            <w:shd w:val="clear" w:color="auto" w:fill="auto"/>
            <w:noWrap/>
            <w:vAlign w:val="center"/>
          </w:tcPr>
          <w:p w14:paraId="5C75D8A7" w14:textId="6CF4B0B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379</w:t>
            </w:r>
          </w:p>
        </w:tc>
        <w:tc>
          <w:tcPr>
            <w:tcW w:w="1559" w:type="dxa"/>
            <w:tcBorders>
              <w:top w:val="nil"/>
              <w:left w:val="nil"/>
              <w:bottom w:val="single" w:sz="8" w:space="0" w:color="B8CCE4"/>
              <w:right w:val="single" w:sz="8" w:space="0" w:color="B8CCE4"/>
            </w:tcBorders>
            <w:shd w:val="clear" w:color="auto" w:fill="auto"/>
            <w:noWrap/>
            <w:vAlign w:val="center"/>
          </w:tcPr>
          <w:p w14:paraId="300562A0" w14:textId="6CE638E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144</w:t>
            </w:r>
          </w:p>
        </w:tc>
        <w:tc>
          <w:tcPr>
            <w:tcW w:w="1417" w:type="dxa"/>
            <w:tcBorders>
              <w:top w:val="nil"/>
              <w:left w:val="nil"/>
              <w:bottom w:val="single" w:sz="8" w:space="0" w:color="B8CCE4"/>
              <w:right w:val="single" w:sz="8" w:space="0" w:color="B8CCE4"/>
            </w:tcBorders>
            <w:shd w:val="clear" w:color="auto" w:fill="auto"/>
            <w:noWrap/>
            <w:vAlign w:val="center"/>
          </w:tcPr>
          <w:p w14:paraId="59A55370" w14:textId="78E23B1F"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163%</w:t>
            </w:r>
          </w:p>
        </w:tc>
      </w:tr>
      <w:tr w:rsidR="001031FB" w:rsidRPr="005045BF" w14:paraId="18F79E90"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3BD1D183" w14:textId="00EA0137"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Dirección General de Política de Macroeconómica </w:t>
            </w:r>
          </w:p>
        </w:tc>
        <w:tc>
          <w:tcPr>
            <w:tcW w:w="1560" w:type="dxa"/>
            <w:tcBorders>
              <w:top w:val="nil"/>
              <w:left w:val="nil"/>
              <w:bottom w:val="single" w:sz="8" w:space="0" w:color="B8CCE4"/>
              <w:right w:val="single" w:sz="8" w:space="0" w:color="B8CCE4"/>
            </w:tcBorders>
            <w:shd w:val="clear" w:color="auto" w:fill="auto"/>
            <w:noWrap/>
            <w:vAlign w:val="center"/>
          </w:tcPr>
          <w:p w14:paraId="7B5F71A4" w14:textId="66EA609F"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310</w:t>
            </w:r>
          </w:p>
        </w:tc>
        <w:tc>
          <w:tcPr>
            <w:tcW w:w="1559" w:type="dxa"/>
            <w:tcBorders>
              <w:top w:val="nil"/>
              <w:left w:val="nil"/>
              <w:bottom w:val="single" w:sz="8" w:space="0" w:color="B8CCE4"/>
              <w:right w:val="single" w:sz="8" w:space="0" w:color="B8CCE4"/>
            </w:tcBorders>
            <w:shd w:val="clear" w:color="auto" w:fill="auto"/>
            <w:noWrap/>
            <w:vAlign w:val="center"/>
          </w:tcPr>
          <w:p w14:paraId="1797A5BA" w14:textId="1061DBA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2FBDA1DE" w14:textId="220E3D3E"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31AA3EAD"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hideMark/>
          </w:tcPr>
          <w:p w14:paraId="6E8AB6C7" w14:textId="48DA9A73"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Dirección General de Participaciones Estatales</w:t>
            </w:r>
          </w:p>
        </w:tc>
        <w:tc>
          <w:tcPr>
            <w:tcW w:w="1560" w:type="dxa"/>
            <w:tcBorders>
              <w:top w:val="nil"/>
              <w:left w:val="nil"/>
              <w:bottom w:val="single" w:sz="8" w:space="0" w:color="B8CCE4"/>
              <w:right w:val="single" w:sz="8" w:space="0" w:color="B8CCE4"/>
            </w:tcBorders>
            <w:shd w:val="clear" w:color="auto" w:fill="auto"/>
            <w:noWrap/>
            <w:vAlign w:val="center"/>
          </w:tcPr>
          <w:p w14:paraId="5A92E089" w14:textId="4EDFB9C4"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212</w:t>
            </w:r>
          </w:p>
        </w:tc>
        <w:tc>
          <w:tcPr>
            <w:tcW w:w="1559" w:type="dxa"/>
            <w:tcBorders>
              <w:top w:val="nil"/>
              <w:left w:val="nil"/>
              <w:bottom w:val="single" w:sz="8" w:space="0" w:color="B8CCE4"/>
              <w:right w:val="single" w:sz="8" w:space="0" w:color="B8CCE4"/>
            </w:tcBorders>
            <w:shd w:val="clear" w:color="auto" w:fill="auto"/>
            <w:noWrap/>
            <w:vAlign w:val="center"/>
          </w:tcPr>
          <w:p w14:paraId="4FBCC581" w14:textId="0519F58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17F1C89F" w14:textId="0A218B2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5A7C421F"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7360D194" w14:textId="6AE80A22"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Dirección General de Regulación Económica de la Seguridad Social </w:t>
            </w:r>
          </w:p>
        </w:tc>
        <w:tc>
          <w:tcPr>
            <w:tcW w:w="1560" w:type="dxa"/>
            <w:tcBorders>
              <w:top w:val="nil"/>
              <w:left w:val="nil"/>
              <w:bottom w:val="single" w:sz="8" w:space="0" w:color="B8CCE4"/>
              <w:right w:val="single" w:sz="8" w:space="0" w:color="B8CCE4"/>
            </w:tcBorders>
            <w:shd w:val="clear" w:color="auto" w:fill="auto"/>
            <w:noWrap/>
            <w:vAlign w:val="center"/>
          </w:tcPr>
          <w:p w14:paraId="6454FF8B" w14:textId="09D453FE"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300</w:t>
            </w:r>
          </w:p>
        </w:tc>
        <w:tc>
          <w:tcPr>
            <w:tcW w:w="1559" w:type="dxa"/>
            <w:tcBorders>
              <w:top w:val="nil"/>
              <w:left w:val="nil"/>
              <w:bottom w:val="single" w:sz="8" w:space="0" w:color="B8CCE4"/>
              <w:right w:val="single" w:sz="8" w:space="0" w:color="B8CCE4"/>
            </w:tcBorders>
            <w:shd w:val="clear" w:color="auto" w:fill="auto"/>
            <w:noWrap/>
            <w:vAlign w:val="center"/>
          </w:tcPr>
          <w:p w14:paraId="2BDC5D2D" w14:textId="6F016A2B"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3FEF4D7B" w14:textId="100472CE"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0E714B0B"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29EB5BF2" w14:textId="54C2B7BF"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Subdirección Financiera</w:t>
            </w:r>
          </w:p>
        </w:tc>
        <w:tc>
          <w:tcPr>
            <w:tcW w:w="1560" w:type="dxa"/>
            <w:tcBorders>
              <w:top w:val="nil"/>
              <w:left w:val="nil"/>
              <w:bottom w:val="single" w:sz="8" w:space="0" w:color="B8CCE4"/>
              <w:right w:val="single" w:sz="8" w:space="0" w:color="B8CCE4"/>
            </w:tcBorders>
            <w:shd w:val="clear" w:color="auto" w:fill="auto"/>
            <w:noWrap/>
            <w:vAlign w:val="center"/>
          </w:tcPr>
          <w:p w14:paraId="453323C3" w14:textId="7D259584"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99</w:t>
            </w:r>
          </w:p>
        </w:tc>
        <w:tc>
          <w:tcPr>
            <w:tcW w:w="1559" w:type="dxa"/>
            <w:tcBorders>
              <w:top w:val="nil"/>
              <w:left w:val="nil"/>
              <w:bottom w:val="single" w:sz="8" w:space="0" w:color="B8CCE4"/>
              <w:right w:val="single" w:sz="8" w:space="0" w:color="B8CCE4"/>
            </w:tcBorders>
            <w:shd w:val="clear" w:color="auto" w:fill="auto"/>
            <w:noWrap/>
            <w:vAlign w:val="center"/>
          </w:tcPr>
          <w:p w14:paraId="55EFC94E" w14:textId="193EE6FE"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6B0A8A87" w14:textId="6EAA38E2"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477764EB"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5CC22343" w14:textId="7ADF26CC"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Grupo de Logística y Servicios Especiales</w:t>
            </w:r>
          </w:p>
        </w:tc>
        <w:tc>
          <w:tcPr>
            <w:tcW w:w="1560" w:type="dxa"/>
            <w:tcBorders>
              <w:top w:val="nil"/>
              <w:left w:val="nil"/>
              <w:bottom w:val="single" w:sz="8" w:space="0" w:color="B8CCE4"/>
              <w:right w:val="single" w:sz="8" w:space="0" w:color="B8CCE4"/>
            </w:tcBorders>
            <w:shd w:val="clear" w:color="auto" w:fill="auto"/>
            <w:noWrap/>
            <w:vAlign w:val="center"/>
          </w:tcPr>
          <w:p w14:paraId="1ECF9BB5" w14:textId="232696C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855</w:t>
            </w:r>
          </w:p>
        </w:tc>
        <w:tc>
          <w:tcPr>
            <w:tcW w:w="1559" w:type="dxa"/>
            <w:tcBorders>
              <w:top w:val="nil"/>
              <w:left w:val="nil"/>
              <w:bottom w:val="single" w:sz="8" w:space="0" w:color="B8CCE4"/>
              <w:right w:val="single" w:sz="8" w:space="0" w:color="B8CCE4"/>
            </w:tcBorders>
            <w:shd w:val="clear" w:color="auto" w:fill="auto"/>
            <w:noWrap/>
            <w:vAlign w:val="center"/>
          </w:tcPr>
          <w:p w14:paraId="1D95247B" w14:textId="65C4F5FE"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7DA53F39" w14:textId="5E10D6F1"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331B94AF"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5B5FB8F1" w14:textId="00B9B2D2"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Grupo de Bienes y Suministros </w:t>
            </w:r>
          </w:p>
        </w:tc>
        <w:tc>
          <w:tcPr>
            <w:tcW w:w="1560" w:type="dxa"/>
            <w:tcBorders>
              <w:top w:val="nil"/>
              <w:left w:val="nil"/>
              <w:bottom w:val="single" w:sz="8" w:space="0" w:color="B8CCE4"/>
              <w:right w:val="single" w:sz="8" w:space="0" w:color="B8CCE4"/>
            </w:tcBorders>
            <w:shd w:val="clear" w:color="auto" w:fill="auto"/>
            <w:noWrap/>
            <w:vAlign w:val="center"/>
          </w:tcPr>
          <w:p w14:paraId="0246E306" w14:textId="08B2206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214</w:t>
            </w:r>
          </w:p>
        </w:tc>
        <w:tc>
          <w:tcPr>
            <w:tcW w:w="1559" w:type="dxa"/>
            <w:tcBorders>
              <w:top w:val="nil"/>
              <w:left w:val="nil"/>
              <w:bottom w:val="single" w:sz="8" w:space="0" w:color="B8CCE4"/>
              <w:right w:val="single" w:sz="8" w:space="0" w:color="B8CCE4"/>
            </w:tcBorders>
            <w:shd w:val="clear" w:color="auto" w:fill="auto"/>
            <w:noWrap/>
            <w:vAlign w:val="center"/>
          </w:tcPr>
          <w:p w14:paraId="74801F1D" w14:textId="29414D2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723695BE" w14:textId="7DC10434"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7C0F5B53"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774D8FAD" w14:textId="00923499"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Grupo de Asuntos jurídicos</w:t>
            </w:r>
          </w:p>
        </w:tc>
        <w:tc>
          <w:tcPr>
            <w:tcW w:w="1560" w:type="dxa"/>
            <w:tcBorders>
              <w:top w:val="nil"/>
              <w:left w:val="nil"/>
              <w:bottom w:val="single" w:sz="8" w:space="0" w:color="B8CCE4"/>
              <w:right w:val="single" w:sz="8" w:space="0" w:color="B8CCE4"/>
            </w:tcBorders>
            <w:shd w:val="clear" w:color="auto" w:fill="auto"/>
            <w:noWrap/>
            <w:vAlign w:val="center"/>
          </w:tcPr>
          <w:p w14:paraId="758DCD77" w14:textId="26DC19A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15</w:t>
            </w:r>
          </w:p>
        </w:tc>
        <w:tc>
          <w:tcPr>
            <w:tcW w:w="1559" w:type="dxa"/>
            <w:tcBorders>
              <w:top w:val="nil"/>
              <w:left w:val="nil"/>
              <w:bottom w:val="single" w:sz="8" w:space="0" w:color="B8CCE4"/>
              <w:right w:val="single" w:sz="8" w:space="0" w:color="B8CCE4"/>
            </w:tcBorders>
            <w:shd w:val="clear" w:color="auto" w:fill="auto"/>
            <w:noWrap/>
            <w:vAlign w:val="center"/>
          </w:tcPr>
          <w:p w14:paraId="5C10448A" w14:textId="493951EB"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w:t>
            </w:r>
          </w:p>
        </w:tc>
        <w:tc>
          <w:tcPr>
            <w:tcW w:w="1417" w:type="dxa"/>
            <w:tcBorders>
              <w:top w:val="nil"/>
              <w:left w:val="nil"/>
              <w:bottom w:val="single" w:sz="8" w:space="0" w:color="B8CCE4"/>
              <w:right w:val="single" w:sz="8" w:space="0" w:color="B8CCE4"/>
            </w:tcBorders>
            <w:shd w:val="clear" w:color="auto" w:fill="auto"/>
            <w:noWrap/>
            <w:vAlign w:val="center"/>
          </w:tcPr>
          <w:p w14:paraId="77225B24" w14:textId="6FFA00CF"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100%</w:t>
            </w:r>
          </w:p>
        </w:tc>
      </w:tr>
      <w:tr w:rsidR="001031FB" w:rsidRPr="005045BF" w14:paraId="328B7FD9"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6960F94D" w14:textId="6D7A8020"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Dirección General de Crédito Público y Tesoro Nacional</w:t>
            </w:r>
          </w:p>
        </w:tc>
        <w:tc>
          <w:tcPr>
            <w:tcW w:w="1560" w:type="dxa"/>
            <w:tcBorders>
              <w:top w:val="nil"/>
              <w:left w:val="nil"/>
              <w:bottom w:val="single" w:sz="8" w:space="0" w:color="B8CCE4"/>
              <w:right w:val="single" w:sz="8" w:space="0" w:color="B8CCE4"/>
            </w:tcBorders>
            <w:shd w:val="clear" w:color="auto" w:fill="auto"/>
            <w:noWrap/>
            <w:vAlign w:val="center"/>
          </w:tcPr>
          <w:p w14:paraId="4848F37C" w14:textId="392814F0"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288</w:t>
            </w:r>
          </w:p>
        </w:tc>
        <w:tc>
          <w:tcPr>
            <w:tcW w:w="1559" w:type="dxa"/>
            <w:tcBorders>
              <w:top w:val="nil"/>
              <w:left w:val="nil"/>
              <w:bottom w:val="single" w:sz="8" w:space="0" w:color="B8CCE4"/>
              <w:right w:val="single" w:sz="8" w:space="0" w:color="B8CCE4"/>
            </w:tcBorders>
            <w:shd w:val="clear" w:color="auto" w:fill="auto"/>
            <w:noWrap/>
            <w:vAlign w:val="center"/>
          </w:tcPr>
          <w:p w14:paraId="31B1C732" w14:textId="1A346B72"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200</w:t>
            </w:r>
          </w:p>
        </w:tc>
        <w:tc>
          <w:tcPr>
            <w:tcW w:w="1417" w:type="dxa"/>
            <w:tcBorders>
              <w:top w:val="nil"/>
              <w:left w:val="nil"/>
              <w:bottom w:val="single" w:sz="8" w:space="0" w:color="B8CCE4"/>
              <w:right w:val="single" w:sz="8" w:space="0" w:color="B8CCE4"/>
            </w:tcBorders>
            <w:shd w:val="clear" w:color="auto" w:fill="auto"/>
            <w:noWrap/>
            <w:vAlign w:val="center"/>
          </w:tcPr>
          <w:p w14:paraId="0C339944" w14:textId="2EA62257"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44%</w:t>
            </w:r>
          </w:p>
        </w:tc>
      </w:tr>
      <w:tr w:rsidR="001031FB" w:rsidRPr="005045BF" w14:paraId="7D30F026"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3C6A149A" w14:textId="0F922D84"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Oficina Asesora de Jurídica</w:t>
            </w:r>
          </w:p>
        </w:tc>
        <w:tc>
          <w:tcPr>
            <w:tcW w:w="1560" w:type="dxa"/>
            <w:tcBorders>
              <w:top w:val="nil"/>
              <w:left w:val="nil"/>
              <w:bottom w:val="single" w:sz="8" w:space="0" w:color="B8CCE4"/>
              <w:right w:val="single" w:sz="8" w:space="0" w:color="B8CCE4"/>
            </w:tcBorders>
            <w:shd w:val="clear" w:color="auto" w:fill="auto"/>
            <w:noWrap/>
            <w:vAlign w:val="center"/>
          </w:tcPr>
          <w:p w14:paraId="4CA522A7" w14:textId="0004F76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113</w:t>
            </w:r>
          </w:p>
        </w:tc>
        <w:tc>
          <w:tcPr>
            <w:tcW w:w="1559" w:type="dxa"/>
            <w:tcBorders>
              <w:top w:val="nil"/>
              <w:left w:val="nil"/>
              <w:bottom w:val="single" w:sz="8" w:space="0" w:color="B8CCE4"/>
              <w:right w:val="single" w:sz="8" w:space="0" w:color="B8CCE4"/>
            </w:tcBorders>
            <w:shd w:val="clear" w:color="auto" w:fill="auto"/>
            <w:noWrap/>
            <w:vAlign w:val="center"/>
          </w:tcPr>
          <w:p w14:paraId="762F2ED1" w14:textId="0D5D2E7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101</w:t>
            </w:r>
          </w:p>
        </w:tc>
        <w:tc>
          <w:tcPr>
            <w:tcW w:w="1417" w:type="dxa"/>
            <w:tcBorders>
              <w:top w:val="nil"/>
              <w:left w:val="nil"/>
              <w:bottom w:val="single" w:sz="8" w:space="0" w:color="B8CCE4"/>
              <w:right w:val="single" w:sz="8" w:space="0" w:color="B8CCE4"/>
            </w:tcBorders>
            <w:shd w:val="clear" w:color="auto" w:fill="auto"/>
            <w:noWrap/>
            <w:vAlign w:val="center"/>
          </w:tcPr>
          <w:p w14:paraId="0B23F314" w14:textId="09D27C70"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12%</w:t>
            </w:r>
          </w:p>
        </w:tc>
      </w:tr>
      <w:tr w:rsidR="001031FB" w:rsidRPr="005045BF" w14:paraId="420DA65E"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151164AE" w14:textId="03B6A8C5"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Dirección Administrativa</w:t>
            </w:r>
          </w:p>
        </w:tc>
        <w:tc>
          <w:tcPr>
            <w:tcW w:w="1560" w:type="dxa"/>
            <w:tcBorders>
              <w:top w:val="nil"/>
              <w:left w:val="nil"/>
              <w:bottom w:val="single" w:sz="8" w:space="0" w:color="B8CCE4"/>
              <w:right w:val="single" w:sz="8" w:space="0" w:color="B8CCE4"/>
            </w:tcBorders>
            <w:shd w:val="clear" w:color="auto" w:fill="auto"/>
            <w:noWrap/>
            <w:vAlign w:val="center"/>
          </w:tcPr>
          <w:p w14:paraId="57502E64" w14:textId="3A29D45B"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258</w:t>
            </w:r>
          </w:p>
        </w:tc>
        <w:tc>
          <w:tcPr>
            <w:tcW w:w="1559" w:type="dxa"/>
            <w:tcBorders>
              <w:top w:val="nil"/>
              <w:left w:val="nil"/>
              <w:bottom w:val="single" w:sz="8" w:space="0" w:color="B8CCE4"/>
              <w:right w:val="single" w:sz="8" w:space="0" w:color="B8CCE4"/>
            </w:tcBorders>
            <w:shd w:val="clear" w:color="auto" w:fill="auto"/>
            <w:noWrap/>
            <w:vAlign w:val="center"/>
          </w:tcPr>
          <w:p w14:paraId="3A10A199" w14:textId="178C8C05"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232</w:t>
            </w:r>
          </w:p>
        </w:tc>
        <w:tc>
          <w:tcPr>
            <w:tcW w:w="1417" w:type="dxa"/>
            <w:tcBorders>
              <w:top w:val="nil"/>
              <w:left w:val="nil"/>
              <w:bottom w:val="single" w:sz="8" w:space="0" w:color="B8CCE4"/>
              <w:right w:val="single" w:sz="8" w:space="0" w:color="B8CCE4"/>
            </w:tcBorders>
            <w:shd w:val="clear" w:color="auto" w:fill="auto"/>
            <w:noWrap/>
            <w:vAlign w:val="center"/>
          </w:tcPr>
          <w:p w14:paraId="2B143A4F" w14:textId="5184C001"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11%</w:t>
            </w:r>
          </w:p>
        </w:tc>
      </w:tr>
      <w:tr w:rsidR="001031FB" w:rsidRPr="005045BF" w14:paraId="528E15B8" w14:textId="77777777" w:rsidTr="0085479A">
        <w:trPr>
          <w:cantSplit/>
        </w:trPr>
        <w:tc>
          <w:tcPr>
            <w:tcW w:w="5103" w:type="dxa"/>
            <w:tcBorders>
              <w:top w:val="nil"/>
              <w:left w:val="single" w:sz="8" w:space="0" w:color="B8CCE4"/>
              <w:bottom w:val="single" w:sz="8" w:space="0" w:color="B8CCE4"/>
              <w:right w:val="single" w:sz="8" w:space="0" w:color="B8CCE4"/>
            </w:tcBorders>
            <w:shd w:val="clear" w:color="auto" w:fill="auto"/>
            <w:noWrap/>
            <w:vAlign w:val="center"/>
          </w:tcPr>
          <w:p w14:paraId="3EE32767" w14:textId="5A921190" w:rsidR="001031FB" w:rsidRPr="005045BF" w:rsidRDefault="001031FB" w:rsidP="00C217E8">
            <w:pPr>
              <w:spacing w:before="20" w:after="40"/>
              <w:rPr>
                <w:rFonts w:ascii="Arial" w:hAnsi="Arial" w:cs="Arial"/>
                <w:color w:val="0F243E" w:themeColor="text2" w:themeShade="80"/>
                <w:sz w:val="18"/>
                <w:szCs w:val="18"/>
              </w:rPr>
            </w:pPr>
            <w:r w:rsidRPr="005045BF">
              <w:rPr>
                <w:rFonts w:ascii="Arial" w:hAnsi="Arial" w:cs="Arial"/>
                <w:color w:val="0F243E" w:themeColor="text2" w:themeShade="80"/>
                <w:sz w:val="18"/>
                <w:szCs w:val="18"/>
              </w:rPr>
              <w:t>Dirección General de Apoyo Fiscal</w:t>
            </w:r>
          </w:p>
        </w:tc>
        <w:tc>
          <w:tcPr>
            <w:tcW w:w="1560" w:type="dxa"/>
            <w:tcBorders>
              <w:top w:val="nil"/>
              <w:left w:val="nil"/>
              <w:bottom w:val="single" w:sz="8" w:space="0" w:color="B8CCE4"/>
              <w:right w:val="single" w:sz="8" w:space="0" w:color="B8CCE4"/>
            </w:tcBorders>
            <w:shd w:val="clear" w:color="auto" w:fill="auto"/>
            <w:noWrap/>
            <w:vAlign w:val="center"/>
          </w:tcPr>
          <w:p w14:paraId="2B6B6A38" w14:textId="221C096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182</w:t>
            </w:r>
          </w:p>
        </w:tc>
        <w:tc>
          <w:tcPr>
            <w:tcW w:w="1559" w:type="dxa"/>
            <w:tcBorders>
              <w:top w:val="nil"/>
              <w:left w:val="nil"/>
              <w:bottom w:val="single" w:sz="8" w:space="0" w:color="B8CCE4"/>
              <w:right w:val="single" w:sz="8" w:space="0" w:color="B8CCE4"/>
            </w:tcBorders>
            <w:shd w:val="clear" w:color="auto" w:fill="auto"/>
            <w:noWrap/>
            <w:vAlign w:val="center"/>
          </w:tcPr>
          <w:p w14:paraId="52D6AAFA" w14:textId="711C344D"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181</w:t>
            </w:r>
          </w:p>
        </w:tc>
        <w:tc>
          <w:tcPr>
            <w:tcW w:w="1417" w:type="dxa"/>
            <w:tcBorders>
              <w:top w:val="nil"/>
              <w:left w:val="nil"/>
              <w:bottom w:val="single" w:sz="8" w:space="0" w:color="B8CCE4"/>
              <w:right w:val="single" w:sz="8" w:space="0" w:color="B8CCE4"/>
            </w:tcBorders>
            <w:shd w:val="clear" w:color="auto" w:fill="auto"/>
            <w:noWrap/>
            <w:vAlign w:val="center"/>
          </w:tcPr>
          <w:p w14:paraId="106A2159" w14:textId="42C9577C" w:rsidR="001031FB" w:rsidRPr="005045BF" w:rsidRDefault="001031FB" w:rsidP="00C217E8">
            <w:pPr>
              <w:spacing w:before="20" w:after="4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0,21%</w:t>
            </w:r>
          </w:p>
        </w:tc>
      </w:tr>
    </w:tbl>
    <w:p w14:paraId="5E122DF6" w14:textId="77777777" w:rsidR="00891C6A" w:rsidRPr="005045BF" w:rsidRDefault="00891C6A" w:rsidP="006E60BC">
      <w:pPr>
        <w:jc w:val="both"/>
        <w:rPr>
          <w:rFonts w:ascii="Arial" w:hAnsi="Arial" w:cs="Arial"/>
          <w:color w:val="0F243E" w:themeColor="text2" w:themeShade="80"/>
          <w:sz w:val="22"/>
          <w:szCs w:val="22"/>
        </w:rPr>
      </w:pPr>
    </w:p>
    <w:p w14:paraId="53BBED18" w14:textId="0611B136" w:rsidR="00D414D4" w:rsidRPr="00057A2B" w:rsidRDefault="00160CA0" w:rsidP="006E60BC">
      <w:pPr>
        <w:jc w:val="both"/>
        <w:rPr>
          <w:rFonts w:ascii="Arial" w:hAnsi="Arial" w:cs="Arial"/>
          <w:sz w:val="22"/>
          <w:szCs w:val="22"/>
        </w:rPr>
      </w:pPr>
      <w:r w:rsidRPr="00057A2B">
        <w:rPr>
          <w:rFonts w:ascii="Arial" w:hAnsi="Arial" w:cs="Arial"/>
          <w:sz w:val="22"/>
          <w:szCs w:val="22"/>
        </w:rPr>
        <w:t>De acuerdo con lo informado por la Subdirección de Gestión del Talento H</w:t>
      </w:r>
      <w:r w:rsidR="00D43594" w:rsidRPr="00057A2B">
        <w:rPr>
          <w:rFonts w:ascii="Arial" w:hAnsi="Arial" w:cs="Arial"/>
          <w:sz w:val="22"/>
          <w:szCs w:val="22"/>
        </w:rPr>
        <w:t>umano, en parte los incrementos</w:t>
      </w:r>
      <w:r w:rsidR="00D414D4" w:rsidRPr="00057A2B">
        <w:rPr>
          <w:rFonts w:ascii="Arial" w:hAnsi="Arial" w:cs="Arial"/>
          <w:sz w:val="22"/>
          <w:szCs w:val="22"/>
        </w:rPr>
        <w:t xml:space="preserve"> obedecieron a la asignación de los conductores a cada una de las dependencias (Direcciones, Despachos de Viceministerios y Secretaría General)</w:t>
      </w:r>
      <w:r w:rsidR="00F8696E" w:rsidRPr="00057A2B">
        <w:rPr>
          <w:rFonts w:ascii="Arial" w:hAnsi="Arial" w:cs="Arial"/>
          <w:sz w:val="22"/>
          <w:szCs w:val="22"/>
        </w:rPr>
        <w:t xml:space="preserve"> a partir de junio de 2019, </w:t>
      </w:r>
      <w:r w:rsidR="00D414D4" w:rsidRPr="00057A2B">
        <w:rPr>
          <w:rFonts w:ascii="Arial" w:hAnsi="Arial" w:cs="Arial"/>
          <w:sz w:val="22"/>
          <w:szCs w:val="22"/>
        </w:rPr>
        <w:t>los cuales en las vigencias anteriores estaban adscritos a la Subdirección de Servicios</w:t>
      </w:r>
      <w:r w:rsidR="00800F93" w:rsidRPr="00057A2B">
        <w:rPr>
          <w:rFonts w:ascii="Arial" w:hAnsi="Arial" w:cs="Arial"/>
          <w:sz w:val="22"/>
          <w:szCs w:val="22"/>
        </w:rPr>
        <w:t xml:space="preserve">. </w:t>
      </w:r>
    </w:p>
    <w:p w14:paraId="12289D31" w14:textId="6198E410" w:rsidR="00D458EC" w:rsidRPr="005045BF" w:rsidRDefault="00D458EC" w:rsidP="00A176C6">
      <w:pPr>
        <w:spacing w:line="168" w:lineRule="auto"/>
        <w:jc w:val="both"/>
        <w:rPr>
          <w:rFonts w:ascii="Arial" w:hAnsi="Arial" w:cs="Arial"/>
          <w:sz w:val="22"/>
          <w:szCs w:val="22"/>
          <w:highlight w:val="yellow"/>
        </w:rPr>
      </w:pPr>
    </w:p>
    <w:p w14:paraId="7CFD30EC" w14:textId="74AA3AC7" w:rsidR="00363E05" w:rsidRDefault="000A33C8" w:rsidP="006125A0">
      <w:pPr>
        <w:jc w:val="both"/>
        <w:rPr>
          <w:rFonts w:ascii="Arial" w:hAnsi="Arial" w:cs="Arial"/>
          <w:sz w:val="22"/>
          <w:szCs w:val="22"/>
        </w:rPr>
      </w:pPr>
      <w:r w:rsidRPr="005045BF">
        <w:rPr>
          <w:rFonts w:ascii="Arial" w:hAnsi="Arial" w:cs="Arial"/>
          <w:sz w:val="22"/>
          <w:szCs w:val="22"/>
        </w:rPr>
        <w:lastRenderedPageBreak/>
        <w:t>Referente a los Grupo</w:t>
      </w:r>
      <w:r w:rsidR="006B6B64" w:rsidRPr="005045BF">
        <w:rPr>
          <w:rFonts w:ascii="Arial" w:hAnsi="Arial" w:cs="Arial"/>
          <w:sz w:val="22"/>
          <w:szCs w:val="22"/>
        </w:rPr>
        <w:t xml:space="preserve">s: </w:t>
      </w:r>
      <w:r w:rsidRPr="005045BF">
        <w:rPr>
          <w:rFonts w:ascii="Arial" w:hAnsi="Arial" w:cs="Arial"/>
          <w:sz w:val="22"/>
          <w:szCs w:val="22"/>
        </w:rPr>
        <w:t>Logística y Servicios Especiales</w:t>
      </w:r>
      <w:r w:rsidR="006B6B64" w:rsidRPr="005045BF">
        <w:rPr>
          <w:rFonts w:ascii="Arial" w:hAnsi="Arial" w:cs="Arial"/>
          <w:sz w:val="22"/>
          <w:szCs w:val="22"/>
        </w:rPr>
        <w:t xml:space="preserve"> </w:t>
      </w:r>
      <w:r w:rsidR="00AD3DC8">
        <w:rPr>
          <w:rFonts w:ascii="Arial" w:hAnsi="Arial" w:cs="Arial"/>
          <w:sz w:val="22"/>
          <w:szCs w:val="22"/>
        </w:rPr>
        <w:t xml:space="preserve">y </w:t>
      </w:r>
      <w:r w:rsidRPr="005045BF">
        <w:rPr>
          <w:rFonts w:ascii="Arial" w:hAnsi="Arial" w:cs="Arial"/>
          <w:sz w:val="22"/>
          <w:szCs w:val="22"/>
        </w:rPr>
        <w:t>Bienes y Suministros</w:t>
      </w:r>
      <w:r w:rsidR="00F163B1" w:rsidRPr="005045BF">
        <w:rPr>
          <w:rFonts w:ascii="Arial" w:hAnsi="Arial" w:cs="Arial"/>
          <w:sz w:val="22"/>
          <w:szCs w:val="22"/>
        </w:rPr>
        <w:t xml:space="preserve">, </w:t>
      </w:r>
      <w:r w:rsidR="006B6B64" w:rsidRPr="005045BF">
        <w:rPr>
          <w:rFonts w:ascii="Arial" w:hAnsi="Arial" w:cs="Arial"/>
          <w:sz w:val="22"/>
          <w:szCs w:val="22"/>
        </w:rPr>
        <w:t xml:space="preserve">se aclara que </w:t>
      </w:r>
      <w:r w:rsidR="00F163B1" w:rsidRPr="005045BF">
        <w:rPr>
          <w:rFonts w:ascii="Arial" w:hAnsi="Arial" w:cs="Arial"/>
          <w:sz w:val="22"/>
          <w:szCs w:val="22"/>
        </w:rPr>
        <w:t xml:space="preserve">los mismos fueron creados </w:t>
      </w:r>
      <w:r w:rsidR="009B5789" w:rsidRPr="005045BF">
        <w:rPr>
          <w:rFonts w:ascii="Arial" w:hAnsi="Arial" w:cs="Arial"/>
          <w:sz w:val="22"/>
          <w:szCs w:val="22"/>
        </w:rPr>
        <w:t xml:space="preserve">en diciembre de 2019, </w:t>
      </w:r>
      <w:r w:rsidR="00F163B1" w:rsidRPr="005045BF">
        <w:rPr>
          <w:rFonts w:ascii="Arial" w:hAnsi="Arial" w:cs="Arial"/>
          <w:sz w:val="22"/>
          <w:szCs w:val="22"/>
        </w:rPr>
        <w:t xml:space="preserve">en consecuencia, </w:t>
      </w:r>
      <w:r w:rsidR="009B5789" w:rsidRPr="005045BF">
        <w:rPr>
          <w:rFonts w:ascii="Arial" w:hAnsi="Arial" w:cs="Arial"/>
          <w:sz w:val="22"/>
          <w:szCs w:val="22"/>
        </w:rPr>
        <w:t xml:space="preserve">para el primer trimestre de la </w:t>
      </w:r>
      <w:r w:rsidR="00F163B1" w:rsidRPr="005045BF">
        <w:rPr>
          <w:rFonts w:ascii="Arial" w:hAnsi="Arial" w:cs="Arial"/>
          <w:sz w:val="22"/>
          <w:szCs w:val="22"/>
        </w:rPr>
        <w:t>vigencia 201</w:t>
      </w:r>
      <w:r w:rsidR="009B5789" w:rsidRPr="005045BF">
        <w:rPr>
          <w:rFonts w:ascii="Arial" w:hAnsi="Arial" w:cs="Arial"/>
          <w:sz w:val="22"/>
          <w:szCs w:val="22"/>
        </w:rPr>
        <w:t>9</w:t>
      </w:r>
      <w:r w:rsidR="00F163B1" w:rsidRPr="005045BF">
        <w:rPr>
          <w:rFonts w:ascii="Arial" w:hAnsi="Arial" w:cs="Arial"/>
          <w:sz w:val="22"/>
          <w:szCs w:val="22"/>
        </w:rPr>
        <w:t xml:space="preserve"> </w:t>
      </w:r>
      <w:r w:rsidR="006125A0" w:rsidRPr="005045BF">
        <w:rPr>
          <w:rFonts w:ascii="Arial" w:hAnsi="Arial" w:cs="Arial"/>
          <w:sz w:val="22"/>
          <w:szCs w:val="22"/>
        </w:rPr>
        <w:t>no h</w:t>
      </w:r>
      <w:r w:rsidR="00C30B6C" w:rsidRPr="005045BF">
        <w:rPr>
          <w:rFonts w:ascii="Arial" w:hAnsi="Arial" w:cs="Arial"/>
          <w:sz w:val="22"/>
          <w:szCs w:val="22"/>
        </w:rPr>
        <w:t xml:space="preserve">ubo </w:t>
      </w:r>
      <w:r w:rsidR="006125A0" w:rsidRPr="005045BF">
        <w:rPr>
          <w:rFonts w:ascii="Arial" w:hAnsi="Arial" w:cs="Arial"/>
          <w:sz w:val="22"/>
          <w:szCs w:val="22"/>
        </w:rPr>
        <w:t>a lugar</w:t>
      </w:r>
      <w:r w:rsidR="00C50B00" w:rsidRPr="005045BF">
        <w:rPr>
          <w:rFonts w:ascii="Arial" w:hAnsi="Arial" w:cs="Arial"/>
          <w:sz w:val="22"/>
          <w:szCs w:val="22"/>
        </w:rPr>
        <w:t xml:space="preserve"> a</w:t>
      </w:r>
      <w:r w:rsidR="006125A0" w:rsidRPr="005045BF">
        <w:rPr>
          <w:rFonts w:ascii="Arial" w:hAnsi="Arial" w:cs="Arial"/>
          <w:sz w:val="22"/>
          <w:szCs w:val="22"/>
        </w:rPr>
        <w:t xml:space="preserve"> horas extras, es decir, que la variación no obedece a un incremento propio del concepto analiza</w:t>
      </w:r>
      <w:r w:rsidR="000E2EBD" w:rsidRPr="005045BF">
        <w:rPr>
          <w:rFonts w:ascii="Arial" w:hAnsi="Arial" w:cs="Arial"/>
          <w:sz w:val="22"/>
          <w:szCs w:val="22"/>
        </w:rPr>
        <w:t>do</w:t>
      </w:r>
      <w:r w:rsidR="00B67C03">
        <w:rPr>
          <w:rFonts w:ascii="Arial" w:hAnsi="Arial" w:cs="Arial"/>
          <w:sz w:val="22"/>
          <w:szCs w:val="22"/>
        </w:rPr>
        <w:t xml:space="preserve">. </w:t>
      </w:r>
    </w:p>
    <w:p w14:paraId="79E6B5AB" w14:textId="77777777" w:rsidR="00057A2B" w:rsidRPr="005045BF" w:rsidRDefault="00057A2B" w:rsidP="006125A0">
      <w:pPr>
        <w:jc w:val="both"/>
        <w:rPr>
          <w:rFonts w:ascii="Arial" w:hAnsi="Arial" w:cs="Arial"/>
          <w:sz w:val="22"/>
          <w:szCs w:val="22"/>
        </w:rPr>
      </w:pPr>
    </w:p>
    <w:p w14:paraId="76DD05E2" w14:textId="6D864607" w:rsidR="00E7010F" w:rsidRPr="005045BF" w:rsidRDefault="00F04C50" w:rsidP="00F04C50">
      <w:pPr>
        <w:jc w:val="both"/>
        <w:rPr>
          <w:rFonts w:ascii="Arial" w:hAnsi="Arial" w:cs="Arial"/>
          <w:sz w:val="22"/>
          <w:szCs w:val="22"/>
        </w:rPr>
      </w:pPr>
      <w:r w:rsidRPr="005045BF">
        <w:rPr>
          <w:rFonts w:ascii="Arial" w:hAnsi="Arial" w:cs="Arial"/>
          <w:sz w:val="22"/>
          <w:szCs w:val="22"/>
        </w:rPr>
        <w:t>Tal como lo muestra la siguiente gráfica, f</w:t>
      </w:r>
      <w:r w:rsidR="009338B8" w:rsidRPr="005045BF">
        <w:rPr>
          <w:rFonts w:ascii="Arial" w:hAnsi="Arial" w:cs="Arial"/>
          <w:sz w:val="22"/>
          <w:szCs w:val="22"/>
        </w:rPr>
        <w:t xml:space="preserve">rente al </w:t>
      </w:r>
      <w:r w:rsidRPr="005045BF">
        <w:rPr>
          <w:rFonts w:ascii="Arial" w:hAnsi="Arial" w:cs="Arial"/>
          <w:sz w:val="22"/>
          <w:szCs w:val="22"/>
        </w:rPr>
        <w:t xml:space="preserve">total </w:t>
      </w:r>
      <w:r w:rsidR="009338B8" w:rsidRPr="005045BF">
        <w:rPr>
          <w:rFonts w:ascii="Arial" w:hAnsi="Arial" w:cs="Arial"/>
          <w:sz w:val="22"/>
          <w:szCs w:val="22"/>
        </w:rPr>
        <w:t xml:space="preserve">de horas extras </w:t>
      </w:r>
      <w:r w:rsidR="009A3E0D" w:rsidRPr="005045BF">
        <w:rPr>
          <w:rFonts w:ascii="Arial" w:hAnsi="Arial" w:cs="Arial"/>
          <w:sz w:val="22"/>
          <w:szCs w:val="22"/>
        </w:rPr>
        <w:t>liquidadas</w:t>
      </w:r>
      <w:r w:rsidR="00931FE9" w:rsidRPr="005045BF">
        <w:rPr>
          <w:rFonts w:ascii="Arial" w:hAnsi="Arial" w:cs="Arial"/>
          <w:sz w:val="22"/>
          <w:szCs w:val="22"/>
        </w:rPr>
        <w:t xml:space="preserve"> durante el </w:t>
      </w:r>
      <w:r w:rsidR="00A01545" w:rsidRPr="005045BF">
        <w:rPr>
          <w:rFonts w:ascii="Arial" w:hAnsi="Arial" w:cs="Arial"/>
          <w:sz w:val="22"/>
          <w:szCs w:val="22"/>
        </w:rPr>
        <w:t xml:space="preserve">primer </w:t>
      </w:r>
      <w:r w:rsidR="00931FE9" w:rsidRPr="005045BF">
        <w:rPr>
          <w:rFonts w:ascii="Arial" w:hAnsi="Arial" w:cs="Arial"/>
          <w:sz w:val="22"/>
          <w:szCs w:val="22"/>
        </w:rPr>
        <w:t>trimestre</w:t>
      </w:r>
      <w:r w:rsidR="009338B8" w:rsidRPr="005045BF">
        <w:rPr>
          <w:rFonts w:ascii="Arial" w:hAnsi="Arial" w:cs="Arial"/>
          <w:sz w:val="22"/>
          <w:szCs w:val="22"/>
        </w:rPr>
        <w:t xml:space="preserve"> de</w:t>
      </w:r>
      <w:r w:rsidR="009A3E0D" w:rsidRPr="005045BF">
        <w:rPr>
          <w:rFonts w:ascii="Arial" w:hAnsi="Arial" w:cs="Arial"/>
          <w:sz w:val="22"/>
          <w:szCs w:val="22"/>
        </w:rPr>
        <w:t xml:space="preserve"> 20</w:t>
      </w:r>
      <w:r w:rsidR="00A01545" w:rsidRPr="005045BF">
        <w:rPr>
          <w:rFonts w:ascii="Arial" w:hAnsi="Arial" w:cs="Arial"/>
          <w:sz w:val="22"/>
          <w:szCs w:val="22"/>
        </w:rPr>
        <w:t>20</w:t>
      </w:r>
      <w:r w:rsidR="009A3E0D" w:rsidRPr="005045BF">
        <w:rPr>
          <w:rFonts w:ascii="Arial" w:hAnsi="Arial" w:cs="Arial"/>
          <w:sz w:val="22"/>
          <w:szCs w:val="22"/>
        </w:rPr>
        <w:t>, se observó</w:t>
      </w:r>
      <w:r w:rsidR="00801751" w:rsidRPr="005045BF">
        <w:rPr>
          <w:rFonts w:ascii="Arial" w:hAnsi="Arial" w:cs="Arial"/>
          <w:sz w:val="22"/>
          <w:szCs w:val="22"/>
        </w:rPr>
        <w:t xml:space="preserve"> </w:t>
      </w:r>
      <w:r w:rsidR="00910D05" w:rsidRPr="005045BF">
        <w:rPr>
          <w:rFonts w:ascii="Arial" w:hAnsi="Arial" w:cs="Arial"/>
          <w:sz w:val="22"/>
          <w:szCs w:val="22"/>
        </w:rPr>
        <w:t>que para los meses de</w:t>
      </w:r>
      <w:r w:rsidR="00DC194B" w:rsidRPr="005045BF">
        <w:rPr>
          <w:rFonts w:ascii="Arial" w:hAnsi="Arial" w:cs="Arial"/>
          <w:sz w:val="22"/>
          <w:szCs w:val="22"/>
        </w:rPr>
        <w:t xml:space="preserve"> </w:t>
      </w:r>
      <w:r w:rsidR="0076210C" w:rsidRPr="005045BF">
        <w:rPr>
          <w:rFonts w:ascii="Arial" w:hAnsi="Arial" w:cs="Arial"/>
          <w:sz w:val="22"/>
          <w:szCs w:val="22"/>
        </w:rPr>
        <w:t xml:space="preserve">enero </w:t>
      </w:r>
      <w:r w:rsidR="00DC194B" w:rsidRPr="005045BF">
        <w:rPr>
          <w:rFonts w:ascii="Arial" w:hAnsi="Arial" w:cs="Arial"/>
          <w:sz w:val="22"/>
          <w:szCs w:val="22"/>
        </w:rPr>
        <w:t xml:space="preserve">y </w:t>
      </w:r>
      <w:r w:rsidR="0076210C" w:rsidRPr="005045BF">
        <w:rPr>
          <w:rFonts w:ascii="Arial" w:hAnsi="Arial" w:cs="Arial"/>
          <w:sz w:val="22"/>
          <w:szCs w:val="22"/>
        </w:rPr>
        <w:t>febrero e</w:t>
      </w:r>
      <w:r w:rsidR="00910D05" w:rsidRPr="005045BF">
        <w:rPr>
          <w:rFonts w:ascii="Arial" w:hAnsi="Arial" w:cs="Arial"/>
          <w:sz w:val="22"/>
          <w:szCs w:val="22"/>
        </w:rPr>
        <w:t>l total de horas</w:t>
      </w:r>
      <w:r w:rsidR="00A5778D" w:rsidRPr="005045BF">
        <w:rPr>
          <w:rFonts w:ascii="Arial" w:hAnsi="Arial" w:cs="Arial"/>
          <w:sz w:val="22"/>
          <w:szCs w:val="22"/>
        </w:rPr>
        <w:t xml:space="preserve"> extras </w:t>
      </w:r>
      <w:r w:rsidR="00910D05" w:rsidRPr="005045BF">
        <w:rPr>
          <w:rFonts w:ascii="Arial" w:hAnsi="Arial" w:cs="Arial"/>
          <w:sz w:val="22"/>
          <w:szCs w:val="22"/>
        </w:rPr>
        <w:t>presentó un comportamiento</w:t>
      </w:r>
      <w:r w:rsidR="00E11F8D" w:rsidRPr="005045BF">
        <w:rPr>
          <w:rFonts w:ascii="Arial" w:hAnsi="Arial" w:cs="Arial"/>
          <w:sz w:val="22"/>
          <w:szCs w:val="22"/>
        </w:rPr>
        <w:t xml:space="preserve"> relativamente </w:t>
      </w:r>
      <w:r w:rsidR="00910D05" w:rsidRPr="005045BF">
        <w:rPr>
          <w:rFonts w:ascii="Arial" w:hAnsi="Arial" w:cs="Arial"/>
          <w:sz w:val="22"/>
          <w:szCs w:val="22"/>
        </w:rPr>
        <w:t>estable.</w:t>
      </w:r>
      <w:r w:rsidR="00DC194B" w:rsidRPr="005045BF">
        <w:rPr>
          <w:rFonts w:ascii="Arial" w:hAnsi="Arial" w:cs="Arial"/>
          <w:sz w:val="22"/>
          <w:szCs w:val="22"/>
        </w:rPr>
        <w:t xml:space="preserve"> Caso contrario</w:t>
      </w:r>
      <w:r w:rsidR="00573989">
        <w:rPr>
          <w:rFonts w:ascii="Arial" w:hAnsi="Arial" w:cs="Arial"/>
          <w:sz w:val="22"/>
          <w:szCs w:val="22"/>
        </w:rPr>
        <w:t>,</w:t>
      </w:r>
      <w:r w:rsidR="00CF7B11" w:rsidRPr="005045BF">
        <w:rPr>
          <w:rFonts w:ascii="Arial" w:hAnsi="Arial" w:cs="Arial"/>
          <w:sz w:val="22"/>
          <w:szCs w:val="22"/>
        </w:rPr>
        <w:t xml:space="preserve"> </w:t>
      </w:r>
      <w:r w:rsidR="00DC194B" w:rsidRPr="005045BF">
        <w:rPr>
          <w:rFonts w:ascii="Arial" w:hAnsi="Arial" w:cs="Arial"/>
          <w:sz w:val="22"/>
          <w:szCs w:val="22"/>
        </w:rPr>
        <w:t xml:space="preserve">se observó para el </w:t>
      </w:r>
      <w:r w:rsidR="00910D05" w:rsidRPr="005045BF">
        <w:rPr>
          <w:rFonts w:ascii="Arial" w:hAnsi="Arial" w:cs="Arial"/>
          <w:sz w:val="22"/>
          <w:szCs w:val="22"/>
        </w:rPr>
        <w:t xml:space="preserve">periodo de </w:t>
      </w:r>
      <w:r w:rsidR="0076210C" w:rsidRPr="005045BF">
        <w:rPr>
          <w:rFonts w:ascii="Arial" w:hAnsi="Arial" w:cs="Arial"/>
          <w:sz w:val="22"/>
          <w:szCs w:val="22"/>
        </w:rPr>
        <w:t>marzo</w:t>
      </w:r>
      <w:r w:rsidR="00573989">
        <w:rPr>
          <w:rFonts w:ascii="Arial" w:hAnsi="Arial" w:cs="Arial"/>
          <w:sz w:val="22"/>
          <w:szCs w:val="22"/>
        </w:rPr>
        <w:t xml:space="preserve"> </w:t>
      </w:r>
      <w:r w:rsidR="00B65602" w:rsidRPr="005045BF">
        <w:rPr>
          <w:rFonts w:ascii="Arial" w:hAnsi="Arial" w:cs="Arial"/>
          <w:sz w:val="22"/>
          <w:szCs w:val="22"/>
        </w:rPr>
        <w:t xml:space="preserve">en donde </w:t>
      </w:r>
      <w:r w:rsidR="00DC194B" w:rsidRPr="005045BF">
        <w:rPr>
          <w:rFonts w:ascii="Arial" w:hAnsi="Arial" w:cs="Arial"/>
          <w:sz w:val="22"/>
          <w:szCs w:val="22"/>
        </w:rPr>
        <w:t>se evidenció</w:t>
      </w:r>
      <w:r w:rsidR="00910D05" w:rsidRPr="005045BF">
        <w:rPr>
          <w:rFonts w:ascii="Arial" w:hAnsi="Arial" w:cs="Arial"/>
          <w:sz w:val="22"/>
          <w:szCs w:val="22"/>
        </w:rPr>
        <w:t xml:space="preserve"> una tendencia </w:t>
      </w:r>
      <w:r w:rsidR="00B65602" w:rsidRPr="005045BF">
        <w:rPr>
          <w:rFonts w:ascii="Arial" w:hAnsi="Arial" w:cs="Arial"/>
          <w:sz w:val="22"/>
          <w:szCs w:val="22"/>
        </w:rPr>
        <w:t xml:space="preserve">decreciente </w:t>
      </w:r>
      <w:r w:rsidR="0076210C" w:rsidRPr="005045BF">
        <w:rPr>
          <w:rFonts w:ascii="Arial" w:hAnsi="Arial" w:cs="Arial"/>
          <w:sz w:val="22"/>
          <w:szCs w:val="22"/>
        </w:rPr>
        <w:t xml:space="preserve">del 21% </w:t>
      </w:r>
      <w:r w:rsidR="00D37C71" w:rsidRPr="005045BF">
        <w:rPr>
          <w:rFonts w:ascii="Arial" w:hAnsi="Arial" w:cs="Arial"/>
          <w:sz w:val="22"/>
          <w:szCs w:val="22"/>
        </w:rPr>
        <w:t xml:space="preserve">en referencia al mes </w:t>
      </w:r>
      <w:r w:rsidR="0076210C" w:rsidRPr="005045BF">
        <w:rPr>
          <w:rFonts w:ascii="Arial" w:hAnsi="Arial" w:cs="Arial"/>
          <w:sz w:val="22"/>
          <w:szCs w:val="22"/>
        </w:rPr>
        <w:t xml:space="preserve">inmediatamente anterior. </w:t>
      </w:r>
    </w:p>
    <w:p w14:paraId="2A80FE31" w14:textId="77777777" w:rsidR="00E7010F" w:rsidRPr="005045BF" w:rsidRDefault="00E7010F" w:rsidP="00A176C6">
      <w:pPr>
        <w:spacing w:line="168" w:lineRule="auto"/>
        <w:jc w:val="both"/>
        <w:rPr>
          <w:rFonts w:ascii="Arial" w:hAnsi="Arial" w:cs="Arial"/>
          <w:sz w:val="22"/>
          <w:szCs w:val="22"/>
          <w:highlight w:val="yellow"/>
        </w:rPr>
      </w:pPr>
    </w:p>
    <w:p w14:paraId="5F82FCAC" w14:textId="0F22D430" w:rsidR="002F2422" w:rsidRPr="005045BF" w:rsidRDefault="00860A27" w:rsidP="002F2422">
      <w:pPr>
        <w:jc w:val="both"/>
        <w:rPr>
          <w:rFonts w:ascii="Arial" w:hAnsi="Arial" w:cs="Arial"/>
          <w:sz w:val="22"/>
          <w:szCs w:val="22"/>
        </w:rPr>
      </w:pPr>
      <w:r w:rsidRPr="005045BF">
        <w:rPr>
          <w:rFonts w:ascii="Arial" w:hAnsi="Arial" w:cs="Arial"/>
          <w:sz w:val="22"/>
          <w:szCs w:val="22"/>
        </w:rPr>
        <w:t xml:space="preserve">La variación presentada para el mes de </w:t>
      </w:r>
      <w:r w:rsidR="0098414E" w:rsidRPr="005045BF">
        <w:rPr>
          <w:rFonts w:ascii="Arial" w:hAnsi="Arial" w:cs="Arial"/>
          <w:sz w:val="22"/>
          <w:szCs w:val="22"/>
        </w:rPr>
        <w:t xml:space="preserve">marzo </w:t>
      </w:r>
      <w:r w:rsidRPr="005045BF">
        <w:rPr>
          <w:rFonts w:ascii="Arial" w:hAnsi="Arial" w:cs="Arial"/>
          <w:sz w:val="22"/>
          <w:szCs w:val="22"/>
        </w:rPr>
        <w:t>de 20</w:t>
      </w:r>
      <w:r w:rsidR="0098414E" w:rsidRPr="005045BF">
        <w:rPr>
          <w:rFonts w:ascii="Arial" w:hAnsi="Arial" w:cs="Arial"/>
          <w:sz w:val="22"/>
          <w:szCs w:val="22"/>
        </w:rPr>
        <w:t>20</w:t>
      </w:r>
      <w:r w:rsidRPr="005045BF">
        <w:rPr>
          <w:rFonts w:ascii="Arial" w:hAnsi="Arial" w:cs="Arial"/>
          <w:sz w:val="22"/>
          <w:szCs w:val="22"/>
        </w:rPr>
        <w:t xml:space="preserve">, </w:t>
      </w:r>
      <w:r w:rsidR="007B762E" w:rsidRPr="005045BF">
        <w:rPr>
          <w:rFonts w:ascii="Arial" w:hAnsi="Arial" w:cs="Arial"/>
          <w:sz w:val="22"/>
          <w:szCs w:val="22"/>
        </w:rPr>
        <w:t>se deduce que obedeció en parte a las medidas tomadas por este Ministerio</w:t>
      </w:r>
      <w:r w:rsidR="007B762E" w:rsidRPr="005045BF">
        <w:rPr>
          <w:rFonts w:ascii="Arial" w:hAnsi="Arial" w:cs="Arial"/>
          <w:color w:val="000000"/>
          <w:sz w:val="22"/>
          <w:szCs w:val="22"/>
          <w:bdr w:val="none" w:sz="0" w:space="0" w:color="auto" w:frame="1"/>
        </w:rPr>
        <w:t>,</w:t>
      </w:r>
      <w:r w:rsidR="007B762E" w:rsidRPr="005045BF">
        <w:rPr>
          <w:rFonts w:ascii="Arial" w:hAnsi="Arial" w:cs="Arial"/>
          <w:sz w:val="22"/>
          <w:szCs w:val="22"/>
        </w:rPr>
        <w:t xml:space="preserve"> entre las cuales estableció la modalidad de trabajo en casa </w:t>
      </w:r>
      <w:r w:rsidR="007B762E" w:rsidRPr="005045BF">
        <w:rPr>
          <w:rFonts w:ascii="Arial" w:hAnsi="Arial" w:cs="Arial"/>
          <w:color w:val="000000"/>
          <w:sz w:val="22"/>
          <w:szCs w:val="22"/>
          <w:bdr w:val="none" w:sz="0" w:space="0" w:color="auto" w:frame="1"/>
        </w:rPr>
        <w:t xml:space="preserve">a partir del </w:t>
      </w:r>
      <w:r w:rsidR="008B012C" w:rsidRPr="005045BF">
        <w:rPr>
          <w:rFonts w:ascii="Arial" w:hAnsi="Arial" w:cs="Arial"/>
          <w:color w:val="000000"/>
          <w:sz w:val="22"/>
          <w:szCs w:val="22"/>
          <w:bdr w:val="none" w:sz="0" w:space="0" w:color="auto" w:frame="1"/>
        </w:rPr>
        <w:t>20</w:t>
      </w:r>
      <w:r w:rsidR="007B762E" w:rsidRPr="005045BF">
        <w:rPr>
          <w:rFonts w:ascii="Arial" w:hAnsi="Arial" w:cs="Arial"/>
          <w:color w:val="000000"/>
          <w:sz w:val="22"/>
          <w:szCs w:val="22"/>
          <w:bdr w:val="none" w:sz="0" w:space="0" w:color="auto" w:frame="1"/>
        </w:rPr>
        <w:t xml:space="preserve"> de marzo de 2020, </w:t>
      </w:r>
      <w:r w:rsidR="007B762E" w:rsidRPr="005045BF">
        <w:rPr>
          <w:rFonts w:ascii="Arial" w:hAnsi="Arial" w:cs="Arial"/>
          <w:sz w:val="22"/>
          <w:szCs w:val="22"/>
        </w:rPr>
        <w:t xml:space="preserve">en virtud del </w:t>
      </w:r>
      <w:r w:rsidR="007B762E" w:rsidRPr="005045BF">
        <w:rPr>
          <w:rFonts w:ascii="Arial" w:hAnsi="Arial" w:cs="Arial"/>
          <w:color w:val="000000"/>
          <w:sz w:val="22"/>
          <w:szCs w:val="22"/>
          <w:bdr w:val="none" w:sz="0" w:space="0" w:color="auto" w:frame="1"/>
        </w:rPr>
        <w:t xml:space="preserve">aislamiento obligatorio con ocasión a la Emergencia Económica, Social y Ecológica [Covid-19] decretada por el Gobierno Nacional. </w:t>
      </w:r>
    </w:p>
    <w:p w14:paraId="4B78452B" w14:textId="3F244799" w:rsidR="007B762E" w:rsidRPr="005045BF" w:rsidRDefault="007B762E" w:rsidP="007B762E">
      <w:pPr>
        <w:jc w:val="both"/>
        <w:rPr>
          <w:rFonts w:ascii="Arial" w:hAnsi="Arial" w:cs="Arial"/>
          <w:sz w:val="22"/>
          <w:szCs w:val="22"/>
        </w:rPr>
      </w:pPr>
    </w:p>
    <w:p w14:paraId="486728BE" w14:textId="77777777" w:rsidR="00860A27" w:rsidRPr="005045BF" w:rsidRDefault="00860A27" w:rsidP="00860A27">
      <w:pPr>
        <w:jc w:val="both"/>
        <w:rPr>
          <w:rFonts w:ascii="Arial" w:hAnsi="Arial" w:cs="Arial"/>
          <w:sz w:val="22"/>
          <w:szCs w:val="22"/>
          <w:highlight w:val="yellow"/>
        </w:rPr>
      </w:pPr>
    </w:p>
    <w:p w14:paraId="4DEAD134" w14:textId="45F4E326" w:rsidR="00C07351" w:rsidRPr="005045BF" w:rsidRDefault="00C07351" w:rsidP="00AF761F">
      <w:pPr>
        <w:ind w:firstLine="708"/>
        <w:jc w:val="both"/>
        <w:rPr>
          <w:highlight w:val="yellow"/>
        </w:rPr>
      </w:pPr>
      <w:r w:rsidRPr="005045BF">
        <w:rPr>
          <w:noProof/>
        </w:rPr>
        <w:drawing>
          <wp:inline distT="0" distB="0" distL="0" distR="0" wp14:anchorId="5EBB123A" wp14:editId="28846A30">
            <wp:extent cx="5495925" cy="2333625"/>
            <wp:effectExtent l="0" t="0" r="0" b="0"/>
            <wp:docPr id="39" name="Gráfico 39">
              <a:extLst xmlns:a="http://schemas.openxmlformats.org/drawingml/2006/main">
                <a:ext uri="{FF2B5EF4-FFF2-40B4-BE49-F238E27FC236}">
                  <a16:creationId xmlns:a16="http://schemas.microsoft.com/office/drawing/2014/main" id="{C3CE691B-5CC6-4218-BCF9-54176B2360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34FB8D" w14:textId="77777777" w:rsidR="00E11F8D" w:rsidRPr="005045BF" w:rsidRDefault="00E11F8D" w:rsidP="00EB639F">
      <w:pPr>
        <w:jc w:val="both"/>
        <w:rPr>
          <w:rFonts w:ascii="Arial" w:hAnsi="Arial" w:cs="Arial"/>
          <w:sz w:val="22"/>
          <w:szCs w:val="22"/>
        </w:rPr>
      </w:pPr>
    </w:p>
    <w:p w14:paraId="329C8BFD" w14:textId="53395E1F" w:rsidR="0016456B" w:rsidRPr="005045BF" w:rsidRDefault="0016456B" w:rsidP="00EB639F">
      <w:pPr>
        <w:jc w:val="both"/>
        <w:rPr>
          <w:rFonts w:ascii="Arial" w:hAnsi="Arial" w:cs="Arial"/>
          <w:sz w:val="22"/>
          <w:szCs w:val="22"/>
        </w:rPr>
      </w:pPr>
      <w:r w:rsidRPr="005045BF">
        <w:rPr>
          <w:rFonts w:ascii="Arial" w:hAnsi="Arial" w:cs="Arial"/>
          <w:sz w:val="22"/>
          <w:szCs w:val="22"/>
        </w:rPr>
        <w:t xml:space="preserve">Por otro lado, se procedió a comparar el valor de las horas extras para lo cual se tomó como fuente de información los reportes enviados por el Grupo de Administración de Personal generados del sistema SARA. </w:t>
      </w:r>
      <w:r w:rsidR="00323612" w:rsidRPr="005045BF">
        <w:rPr>
          <w:rFonts w:ascii="Arial" w:hAnsi="Arial" w:cs="Arial"/>
          <w:sz w:val="22"/>
          <w:szCs w:val="22"/>
        </w:rPr>
        <w:t>Es importante mencionar que, para el mes de marzo se adicionó el valor</w:t>
      </w:r>
      <w:r w:rsidR="00783810" w:rsidRPr="005045BF">
        <w:rPr>
          <w:rFonts w:ascii="Arial" w:hAnsi="Arial" w:cs="Arial"/>
          <w:sz w:val="22"/>
          <w:szCs w:val="22"/>
        </w:rPr>
        <w:t xml:space="preserve"> de</w:t>
      </w:r>
      <w:r w:rsidR="00573989">
        <w:rPr>
          <w:rFonts w:ascii="Arial" w:hAnsi="Arial" w:cs="Arial"/>
          <w:sz w:val="22"/>
          <w:szCs w:val="22"/>
        </w:rPr>
        <w:t>l</w:t>
      </w:r>
      <w:r w:rsidR="00783810" w:rsidRPr="005045BF">
        <w:rPr>
          <w:rFonts w:ascii="Arial" w:hAnsi="Arial" w:cs="Arial"/>
          <w:sz w:val="22"/>
          <w:szCs w:val="22"/>
        </w:rPr>
        <w:t xml:space="preserve"> retroactivo </w:t>
      </w:r>
      <w:r w:rsidR="00323612" w:rsidRPr="005045BF">
        <w:rPr>
          <w:rFonts w:ascii="Arial" w:hAnsi="Arial" w:cs="Arial"/>
          <w:sz w:val="22"/>
          <w:szCs w:val="22"/>
        </w:rPr>
        <w:t>correspondiente a las horas extras liquidadas para el periodo analizado</w:t>
      </w:r>
      <w:r w:rsidR="00783810" w:rsidRPr="005045BF">
        <w:rPr>
          <w:rFonts w:ascii="Arial" w:hAnsi="Arial" w:cs="Arial"/>
          <w:sz w:val="22"/>
          <w:szCs w:val="22"/>
        </w:rPr>
        <w:t xml:space="preserve"> por valor de $1.283.271.</w:t>
      </w:r>
      <w:r w:rsidR="00783810" w:rsidRPr="005045BF">
        <w:rPr>
          <w:rFonts w:ascii="Arial" w:hAnsi="Arial" w:cs="Arial"/>
          <w:color w:val="000000"/>
          <w:sz w:val="22"/>
          <w:szCs w:val="22"/>
        </w:rPr>
        <w:t xml:space="preserve"> </w:t>
      </w:r>
      <w:r w:rsidR="00783810" w:rsidRPr="005045BF">
        <w:rPr>
          <w:rFonts w:ascii="Arial" w:hAnsi="Arial" w:cs="Arial"/>
          <w:sz w:val="22"/>
          <w:szCs w:val="22"/>
        </w:rPr>
        <w:t>En</w:t>
      </w:r>
      <w:r w:rsidRPr="005045BF">
        <w:rPr>
          <w:rFonts w:ascii="Arial" w:hAnsi="Arial" w:cs="Arial"/>
          <w:sz w:val="22"/>
          <w:szCs w:val="22"/>
        </w:rPr>
        <w:t xml:space="preserve"> la siguiente tabla se expone la comparación realizada </w:t>
      </w:r>
      <w:r w:rsidR="00FD4809" w:rsidRPr="005045BF">
        <w:rPr>
          <w:rFonts w:ascii="Arial" w:hAnsi="Arial" w:cs="Arial"/>
          <w:sz w:val="22"/>
          <w:szCs w:val="22"/>
        </w:rPr>
        <w:t xml:space="preserve">para </w:t>
      </w:r>
      <w:r w:rsidRPr="005045BF">
        <w:rPr>
          <w:rFonts w:ascii="Arial" w:hAnsi="Arial" w:cs="Arial"/>
          <w:sz w:val="22"/>
          <w:szCs w:val="22"/>
        </w:rPr>
        <w:t xml:space="preserve">el valor de horas extras liquidadas: </w:t>
      </w:r>
    </w:p>
    <w:p w14:paraId="2B14414E" w14:textId="357DDA1C" w:rsidR="00791637" w:rsidRPr="005045BF" w:rsidRDefault="00791637" w:rsidP="00791637">
      <w:pPr>
        <w:rPr>
          <w:rFonts w:ascii="Arial" w:hAnsi="Arial" w:cs="Arial"/>
          <w:sz w:val="22"/>
          <w:szCs w:val="22"/>
          <w:highlight w:val="yellow"/>
        </w:rPr>
      </w:pPr>
    </w:p>
    <w:p w14:paraId="38252968" w14:textId="77777777" w:rsidR="00A92CFB" w:rsidRPr="005045BF" w:rsidRDefault="00A92CFB" w:rsidP="00791637">
      <w:pPr>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139"/>
        <w:gridCol w:w="2162"/>
        <w:gridCol w:w="2107"/>
        <w:gridCol w:w="1795"/>
        <w:gridCol w:w="1217"/>
      </w:tblGrid>
      <w:tr w:rsidR="0016456B" w:rsidRPr="005045BF" w14:paraId="6C0F108E" w14:textId="77777777" w:rsidTr="00004E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3AB327DA" w14:textId="77777777" w:rsidR="0016456B" w:rsidRPr="005045BF" w:rsidRDefault="0016456B" w:rsidP="00A92CFB">
            <w:pPr>
              <w:spacing w:before="10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t>Concepto</w:t>
            </w:r>
          </w:p>
        </w:tc>
        <w:tc>
          <w:tcPr>
            <w:tcW w:w="0" w:type="auto"/>
            <w:gridSpan w:val="2"/>
            <w:shd w:val="clear" w:color="auto" w:fill="4F81BD" w:themeFill="accent1"/>
            <w:vAlign w:val="center"/>
            <w:hideMark/>
          </w:tcPr>
          <w:p w14:paraId="060C9FDB" w14:textId="77777777" w:rsidR="0016456B" w:rsidRPr="005045BF" w:rsidRDefault="0016456B" w:rsidP="00A92CFB">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Valor Gasto Horas Extras</w:t>
            </w:r>
          </w:p>
        </w:tc>
        <w:tc>
          <w:tcPr>
            <w:tcW w:w="0" w:type="auto"/>
            <w:gridSpan w:val="2"/>
            <w:shd w:val="clear" w:color="auto" w:fill="4F81BD" w:themeFill="accent1"/>
            <w:vAlign w:val="center"/>
            <w:hideMark/>
          </w:tcPr>
          <w:p w14:paraId="2D5D36E1" w14:textId="77777777" w:rsidR="0016456B" w:rsidRPr="005045BF" w:rsidRDefault="0016456B" w:rsidP="00A92CFB">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r>
      <w:tr w:rsidR="0016456B" w:rsidRPr="005045BF" w14:paraId="08D9018A" w14:textId="77777777" w:rsidTr="00004E27">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bottom w:val="nil"/>
            </w:tcBorders>
            <w:shd w:val="clear" w:color="auto" w:fill="4F81BD" w:themeFill="accent1"/>
            <w:vAlign w:val="center"/>
            <w:hideMark/>
          </w:tcPr>
          <w:p w14:paraId="18FB07FB" w14:textId="77777777" w:rsidR="0016456B" w:rsidRPr="005045BF" w:rsidRDefault="0016456B" w:rsidP="00A92CFB">
            <w:pPr>
              <w:spacing w:before="100" w:after="100"/>
              <w:rPr>
                <w:rFonts w:ascii="Arial" w:hAnsi="Arial" w:cs="Arial"/>
                <w:color w:val="FFFFFF" w:themeColor="background1"/>
                <w:sz w:val="20"/>
                <w:szCs w:val="20"/>
              </w:rPr>
            </w:pPr>
          </w:p>
        </w:tc>
        <w:tc>
          <w:tcPr>
            <w:tcW w:w="0" w:type="auto"/>
            <w:tcBorders>
              <w:bottom w:val="nil"/>
            </w:tcBorders>
            <w:shd w:val="clear" w:color="auto" w:fill="4F81BD" w:themeFill="accent1"/>
            <w:vAlign w:val="center"/>
            <w:hideMark/>
          </w:tcPr>
          <w:p w14:paraId="716DED57" w14:textId="56D1A66D" w:rsidR="0016456B" w:rsidRPr="005045BF" w:rsidRDefault="000C4784"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5045BF">
              <w:rPr>
                <w:rFonts w:ascii="Arial" w:hAnsi="Arial" w:cs="Arial"/>
                <w:b/>
                <w:color w:val="FFFFFF" w:themeColor="background1"/>
                <w:sz w:val="20"/>
                <w:szCs w:val="20"/>
              </w:rPr>
              <w:t xml:space="preserve"> I Trimestre</w:t>
            </w:r>
            <w:r w:rsidR="0016456B" w:rsidRPr="005045BF">
              <w:rPr>
                <w:rFonts w:ascii="Arial" w:hAnsi="Arial" w:cs="Arial"/>
                <w:b/>
                <w:color w:val="FFFFFF" w:themeColor="background1"/>
                <w:sz w:val="20"/>
                <w:szCs w:val="20"/>
              </w:rPr>
              <w:t xml:space="preserve"> de 20</w:t>
            </w:r>
            <w:r w:rsidR="00004E27" w:rsidRPr="005045BF">
              <w:rPr>
                <w:rFonts w:ascii="Arial" w:hAnsi="Arial" w:cs="Arial"/>
                <w:b/>
                <w:color w:val="FFFFFF" w:themeColor="background1"/>
                <w:sz w:val="20"/>
                <w:szCs w:val="20"/>
              </w:rPr>
              <w:t>20</w:t>
            </w:r>
          </w:p>
        </w:tc>
        <w:tc>
          <w:tcPr>
            <w:tcW w:w="0" w:type="auto"/>
            <w:tcBorders>
              <w:bottom w:val="nil"/>
            </w:tcBorders>
            <w:shd w:val="clear" w:color="auto" w:fill="4F81BD" w:themeFill="accent1"/>
            <w:vAlign w:val="center"/>
            <w:hideMark/>
          </w:tcPr>
          <w:p w14:paraId="2137158C" w14:textId="3B6E618C" w:rsidR="0016456B" w:rsidRPr="005045BF" w:rsidRDefault="00004E27"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5045BF">
              <w:rPr>
                <w:rFonts w:ascii="Arial" w:hAnsi="Arial" w:cs="Arial"/>
                <w:b/>
                <w:color w:val="FFFFFF" w:themeColor="background1"/>
                <w:sz w:val="20"/>
                <w:szCs w:val="20"/>
              </w:rPr>
              <w:t>I Trimestre de 2019</w:t>
            </w:r>
          </w:p>
        </w:tc>
        <w:tc>
          <w:tcPr>
            <w:tcW w:w="0" w:type="auto"/>
            <w:tcBorders>
              <w:bottom w:val="nil"/>
            </w:tcBorders>
            <w:shd w:val="clear" w:color="auto" w:fill="4F81BD" w:themeFill="accent1"/>
            <w:vAlign w:val="center"/>
            <w:hideMark/>
          </w:tcPr>
          <w:p w14:paraId="594267E9" w14:textId="77777777" w:rsidR="0016456B" w:rsidRPr="005045BF" w:rsidRDefault="0016456B"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5045BF">
              <w:rPr>
                <w:rFonts w:ascii="Arial" w:hAnsi="Arial" w:cs="Arial"/>
                <w:b/>
                <w:color w:val="FFFFFF" w:themeColor="background1"/>
                <w:sz w:val="20"/>
                <w:szCs w:val="20"/>
              </w:rPr>
              <w:t>Absoluta $</w:t>
            </w:r>
          </w:p>
        </w:tc>
        <w:tc>
          <w:tcPr>
            <w:tcW w:w="0" w:type="auto"/>
            <w:tcBorders>
              <w:bottom w:val="nil"/>
            </w:tcBorders>
            <w:shd w:val="clear" w:color="auto" w:fill="4F81BD" w:themeFill="accent1"/>
            <w:vAlign w:val="center"/>
            <w:hideMark/>
          </w:tcPr>
          <w:p w14:paraId="63993D7E" w14:textId="77777777" w:rsidR="0016456B" w:rsidRPr="005045BF" w:rsidRDefault="0016456B"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rPr>
            </w:pPr>
            <w:r w:rsidRPr="005045BF">
              <w:rPr>
                <w:rFonts w:ascii="Arial" w:hAnsi="Arial" w:cs="Arial"/>
                <w:b/>
                <w:color w:val="FFFFFF" w:themeColor="background1"/>
                <w:sz w:val="20"/>
                <w:szCs w:val="20"/>
              </w:rPr>
              <w:t>Relativa %</w:t>
            </w:r>
          </w:p>
        </w:tc>
      </w:tr>
      <w:tr w:rsidR="00004E27" w:rsidRPr="005045BF" w14:paraId="399BA733" w14:textId="77777777" w:rsidTr="00004E2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081CBACA" w14:textId="0E5090E8" w:rsidR="00004E27" w:rsidRPr="005045BF" w:rsidRDefault="00004E27" w:rsidP="00A92CFB">
            <w:pPr>
              <w:spacing w:before="100" w:after="100"/>
              <w:jc w:val="center"/>
              <w:rPr>
                <w:rFonts w:ascii="Arial" w:hAnsi="Arial" w:cs="Arial"/>
                <w:b w:val="0"/>
                <w:color w:val="0F243E" w:themeColor="text2" w:themeShade="80"/>
                <w:sz w:val="20"/>
                <w:szCs w:val="20"/>
              </w:rPr>
            </w:pPr>
            <w:r w:rsidRPr="005045BF">
              <w:rPr>
                <w:rFonts w:ascii="Arial" w:hAnsi="Arial" w:cs="Arial"/>
                <w:color w:val="0F243E"/>
                <w:sz w:val="20"/>
                <w:szCs w:val="20"/>
              </w:rPr>
              <w:t xml:space="preserve"> Enero  </w:t>
            </w:r>
          </w:p>
        </w:tc>
        <w:tc>
          <w:tcPr>
            <w:tcW w:w="0" w:type="auto"/>
            <w:tcBorders>
              <w:top w:val="nil"/>
              <w:left w:val="nil"/>
              <w:bottom w:val="nil"/>
              <w:right w:val="nil"/>
            </w:tcBorders>
            <w:vAlign w:val="center"/>
          </w:tcPr>
          <w:p w14:paraId="51369EF0" w14:textId="2F81910D"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26.400.138 </w:t>
            </w:r>
          </w:p>
        </w:tc>
        <w:tc>
          <w:tcPr>
            <w:tcW w:w="0" w:type="auto"/>
            <w:tcBorders>
              <w:top w:val="nil"/>
              <w:left w:val="nil"/>
              <w:bottom w:val="nil"/>
              <w:right w:val="nil"/>
            </w:tcBorders>
            <w:noWrap/>
            <w:vAlign w:val="center"/>
          </w:tcPr>
          <w:p w14:paraId="377C48EF" w14:textId="18A65C1E"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24.826.479 </w:t>
            </w:r>
          </w:p>
        </w:tc>
        <w:tc>
          <w:tcPr>
            <w:tcW w:w="0" w:type="auto"/>
            <w:tcBorders>
              <w:top w:val="nil"/>
              <w:left w:val="nil"/>
              <w:bottom w:val="nil"/>
              <w:right w:val="nil"/>
            </w:tcBorders>
            <w:noWrap/>
            <w:vAlign w:val="center"/>
          </w:tcPr>
          <w:p w14:paraId="3606DA4F" w14:textId="4128ADCF"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1.573.659 </w:t>
            </w:r>
          </w:p>
        </w:tc>
        <w:tc>
          <w:tcPr>
            <w:tcW w:w="0" w:type="auto"/>
            <w:tcBorders>
              <w:top w:val="nil"/>
              <w:left w:val="nil"/>
              <w:bottom w:val="nil"/>
              <w:right w:val="nil"/>
            </w:tcBorders>
            <w:vAlign w:val="center"/>
          </w:tcPr>
          <w:p w14:paraId="3FF1C83D" w14:textId="50A0BFE8" w:rsidR="00004E27" w:rsidRPr="005045BF" w:rsidRDefault="00004E27"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6%</w:t>
            </w:r>
          </w:p>
        </w:tc>
      </w:tr>
      <w:tr w:rsidR="00004E27" w:rsidRPr="005045BF" w14:paraId="323240DE" w14:textId="77777777" w:rsidTr="00004E2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236A1D9B" w14:textId="3389DD59" w:rsidR="00004E27" w:rsidRPr="005045BF" w:rsidRDefault="00004E27" w:rsidP="00A92CFB">
            <w:pPr>
              <w:spacing w:before="100" w:after="100"/>
              <w:jc w:val="center"/>
              <w:rPr>
                <w:rFonts w:ascii="Arial" w:hAnsi="Arial" w:cs="Arial"/>
                <w:b w:val="0"/>
                <w:color w:val="0F243E" w:themeColor="text2" w:themeShade="80"/>
                <w:sz w:val="20"/>
                <w:szCs w:val="20"/>
              </w:rPr>
            </w:pPr>
            <w:r w:rsidRPr="005045BF">
              <w:rPr>
                <w:rFonts w:ascii="Arial" w:hAnsi="Arial" w:cs="Arial"/>
                <w:color w:val="0F243E"/>
                <w:sz w:val="20"/>
                <w:szCs w:val="20"/>
              </w:rPr>
              <w:t xml:space="preserve"> Febrero </w:t>
            </w:r>
          </w:p>
        </w:tc>
        <w:tc>
          <w:tcPr>
            <w:tcW w:w="0" w:type="auto"/>
            <w:tcBorders>
              <w:top w:val="nil"/>
              <w:left w:val="nil"/>
              <w:bottom w:val="nil"/>
              <w:right w:val="nil"/>
            </w:tcBorders>
            <w:noWrap/>
            <w:vAlign w:val="center"/>
          </w:tcPr>
          <w:p w14:paraId="38FE8120" w14:textId="41EEFBBA"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29.763.702 </w:t>
            </w:r>
          </w:p>
        </w:tc>
        <w:tc>
          <w:tcPr>
            <w:tcW w:w="0" w:type="auto"/>
            <w:tcBorders>
              <w:top w:val="nil"/>
              <w:left w:val="nil"/>
              <w:bottom w:val="nil"/>
              <w:right w:val="nil"/>
            </w:tcBorders>
            <w:noWrap/>
            <w:vAlign w:val="center"/>
          </w:tcPr>
          <w:p w14:paraId="16AC7CD9" w14:textId="083BDD40"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26.821.098 </w:t>
            </w:r>
          </w:p>
        </w:tc>
        <w:tc>
          <w:tcPr>
            <w:tcW w:w="0" w:type="auto"/>
            <w:tcBorders>
              <w:top w:val="nil"/>
              <w:left w:val="nil"/>
              <w:bottom w:val="nil"/>
              <w:right w:val="nil"/>
            </w:tcBorders>
            <w:noWrap/>
            <w:vAlign w:val="center"/>
          </w:tcPr>
          <w:p w14:paraId="723E4A99" w14:textId="7BA38915" w:rsidR="00004E27" w:rsidRPr="005045BF" w:rsidRDefault="00004E27"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2.942.604 </w:t>
            </w:r>
          </w:p>
        </w:tc>
        <w:tc>
          <w:tcPr>
            <w:tcW w:w="0" w:type="auto"/>
            <w:tcBorders>
              <w:top w:val="nil"/>
              <w:left w:val="nil"/>
              <w:bottom w:val="nil"/>
              <w:right w:val="nil"/>
            </w:tcBorders>
            <w:vAlign w:val="center"/>
          </w:tcPr>
          <w:p w14:paraId="5AC0D182" w14:textId="4BCEEA9B" w:rsidR="00004E27" w:rsidRPr="005045BF" w:rsidRDefault="00004E27"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11%</w:t>
            </w:r>
          </w:p>
        </w:tc>
      </w:tr>
      <w:tr w:rsidR="00783810" w:rsidRPr="005045BF" w14:paraId="15F24970" w14:textId="77777777" w:rsidTr="00004E2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4CEF59EB" w14:textId="38909E65" w:rsidR="00783810" w:rsidRPr="005045BF" w:rsidRDefault="00783810" w:rsidP="00A92CFB">
            <w:pPr>
              <w:spacing w:before="100" w:after="100"/>
              <w:jc w:val="center"/>
              <w:rPr>
                <w:rFonts w:ascii="Arial" w:hAnsi="Arial" w:cs="Arial"/>
                <w:b w:val="0"/>
                <w:color w:val="0F243E" w:themeColor="text2" w:themeShade="80"/>
                <w:sz w:val="20"/>
                <w:szCs w:val="20"/>
              </w:rPr>
            </w:pPr>
            <w:r w:rsidRPr="005045BF">
              <w:rPr>
                <w:rFonts w:ascii="Arial" w:hAnsi="Arial" w:cs="Arial"/>
                <w:color w:val="0F243E"/>
                <w:sz w:val="20"/>
                <w:szCs w:val="20"/>
              </w:rPr>
              <w:t xml:space="preserve"> Marzo  </w:t>
            </w:r>
          </w:p>
        </w:tc>
        <w:tc>
          <w:tcPr>
            <w:tcW w:w="0" w:type="auto"/>
            <w:tcBorders>
              <w:top w:val="nil"/>
              <w:left w:val="nil"/>
              <w:bottom w:val="double" w:sz="4" w:space="0" w:color="4F81BD" w:themeColor="accent1"/>
              <w:right w:val="nil"/>
            </w:tcBorders>
            <w:noWrap/>
            <w:vAlign w:val="center"/>
          </w:tcPr>
          <w:p w14:paraId="15595AF9" w14:textId="3A843167"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24.959.490 </w:t>
            </w:r>
          </w:p>
        </w:tc>
        <w:tc>
          <w:tcPr>
            <w:tcW w:w="0" w:type="auto"/>
            <w:tcBorders>
              <w:top w:val="nil"/>
              <w:left w:val="nil"/>
              <w:bottom w:val="double" w:sz="4" w:space="0" w:color="4F81BD" w:themeColor="accent1"/>
              <w:right w:val="nil"/>
            </w:tcBorders>
            <w:noWrap/>
            <w:vAlign w:val="center"/>
          </w:tcPr>
          <w:p w14:paraId="2003CAB1" w14:textId="31C1F171"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26.937.785 </w:t>
            </w:r>
          </w:p>
        </w:tc>
        <w:tc>
          <w:tcPr>
            <w:tcW w:w="0" w:type="auto"/>
            <w:tcBorders>
              <w:top w:val="nil"/>
              <w:left w:val="nil"/>
              <w:bottom w:val="double" w:sz="4" w:space="0" w:color="4F81BD" w:themeColor="accent1"/>
              <w:right w:val="nil"/>
            </w:tcBorders>
            <w:noWrap/>
            <w:vAlign w:val="center"/>
          </w:tcPr>
          <w:p w14:paraId="4C839FAC" w14:textId="3D167BD0"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(1.978.295) </w:t>
            </w:r>
          </w:p>
        </w:tc>
        <w:tc>
          <w:tcPr>
            <w:tcW w:w="0" w:type="auto"/>
            <w:tcBorders>
              <w:top w:val="nil"/>
              <w:left w:val="nil"/>
              <w:bottom w:val="double" w:sz="4" w:space="0" w:color="4F81BD" w:themeColor="accent1"/>
              <w:right w:val="nil"/>
            </w:tcBorders>
            <w:vAlign w:val="center"/>
          </w:tcPr>
          <w:p w14:paraId="70916C3D" w14:textId="2026099D" w:rsidR="00783810" w:rsidRPr="005045BF" w:rsidRDefault="00783810"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(7%)</w:t>
            </w:r>
          </w:p>
        </w:tc>
      </w:tr>
      <w:tr w:rsidR="00783810" w:rsidRPr="005045BF" w14:paraId="14B394F9" w14:textId="77777777" w:rsidTr="00004E2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vAlign w:val="center"/>
            <w:hideMark/>
          </w:tcPr>
          <w:p w14:paraId="0AF8091C" w14:textId="77777777" w:rsidR="00783810" w:rsidRPr="005045BF" w:rsidRDefault="00783810" w:rsidP="00A92CFB">
            <w:pPr>
              <w:spacing w:before="100" w:after="10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Totales </w:t>
            </w:r>
          </w:p>
        </w:tc>
        <w:tc>
          <w:tcPr>
            <w:tcW w:w="0" w:type="auto"/>
            <w:tcBorders>
              <w:top w:val="double" w:sz="4" w:space="0" w:color="4F81BD" w:themeColor="accent1"/>
              <w:left w:val="nil"/>
              <w:bottom w:val="double" w:sz="4" w:space="0" w:color="4F81BD" w:themeColor="accent1"/>
              <w:right w:val="nil"/>
            </w:tcBorders>
            <w:vAlign w:val="center"/>
          </w:tcPr>
          <w:p w14:paraId="68822C38" w14:textId="409ACE9B"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                 81.123.330 </w:t>
            </w:r>
          </w:p>
        </w:tc>
        <w:tc>
          <w:tcPr>
            <w:tcW w:w="0" w:type="auto"/>
            <w:tcBorders>
              <w:top w:val="double" w:sz="4" w:space="0" w:color="4F81BD" w:themeColor="accent1"/>
              <w:left w:val="nil"/>
              <w:bottom w:val="double" w:sz="4" w:space="0" w:color="4F81BD" w:themeColor="accent1"/>
              <w:right w:val="nil"/>
            </w:tcBorders>
            <w:vAlign w:val="center"/>
          </w:tcPr>
          <w:p w14:paraId="64E75142" w14:textId="7D3FC6A8"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                78.585.363 </w:t>
            </w:r>
          </w:p>
        </w:tc>
        <w:tc>
          <w:tcPr>
            <w:tcW w:w="0" w:type="auto"/>
            <w:tcBorders>
              <w:top w:val="double" w:sz="4" w:space="0" w:color="4F81BD" w:themeColor="accent1"/>
              <w:left w:val="nil"/>
              <w:bottom w:val="double" w:sz="4" w:space="0" w:color="4F81BD" w:themeColor="accent1"/>
              <w:right w:val="nil"/>
            </w:tcBorders>
            <w:vAlign w:val="center"/>
          </w:tcPr>
          <w:p w14:paraId="192546EB" w14:textId="1A1FCC86" w:rsidR="00783810" w:rsidRPr="005045BF" w:rsidRDefault="00783810" w:rsidP="00A92CFB">
            <w:pPr>
              <w:spacing w:before="10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            2.537.967 </w:t>
            </w:r>
          </w:p>
        </w:tc>
        <w:tc>
          <w:tcPr>
            <w:tcW w:w="0" w:type="auto"/>
            <w:tcBorders>
              <w:top w:val="double" w:sz="4" w:space="0" w:color="4F81BD" w:themeColor="accent1"/>
              <w:left w:val="nil"/>
              <w:bottom w:val="double" w:sz="4" w:space="0" w:color="4F81BD" w:themeColor="accent1"/>
              <w:right w:val="nil"/>
            </w:tcBorders>
            <w:vAlign w:val="center"/>
          </w:tcPr>
          <w:p w14:paraId="461E551A" w14:textId="6216EE5F" w:rsidR="00783810" w:rsidRPr="005045BF" w:rsidRDefault="00783810" w:rsidP="00A92CFB">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3%</w:t>
            </w:r>
          </w:p>
        </w:tc>
      </w:tr>
    </w:tbl>
    <w:p w14:paraId="08478669" w14:textId="77777777" w:rsidR="00AA232F" w:rsidRPr="005045BF" w:rsidRDefault="00AA232F" w:rsidP="0016456B">
      <w:pPr>
        <w:jc w:val="both"/>
        <w:rPr>
          <w:rFonts w:ascii="Arial" w:hAnsi="Arial" w:cs="Arial"/>
          <w:sz w:val="22"/>
          <w:szCs w:val="22"/>
        </w:rPr>
      </w:pPr>
    </w:p>
    <w:p w14:paraId="448D56B8" w14:textId="4C202566" w:rsidR="00E36202" w:rsidRPr="005045BF" w:rsidRDefault="00420B56" w:rsidP="0016456B">
      <w:pPr>
        <w:jc w:val="both"/>
        <w:rPr>
          <w:rFonts w:ascii="Arial" w:hAnsi="Arial" w:cs="Arial"/>
          <w:sz w:val="22"/>
          <w:szCs w:val="22"/>
        </w:rPr>
      </w:pPr>
      <w:r w:rsidRPr="005045BF">
        <w:rPr>
          <w:rFonts w:ascii="Arial" w:hAnsi="Arial" w:cs="Arial"/>
          <w:sz w:val="22"/>
          <w:szCs w:val="22"/>
        </w:rPr>
        <w:lastRenderedPageBreak/>
        <w:t xml:space="preserve">De acuerdo con los resultados obtenidos de la comparación antes expuesta, </w:t>
      </w:r>
      <w:r w:rsidR="004024A6" w:rsidRPr="005045BF">
        <w:rPr>
          <w:rFonts w:ascii="Arial" w:hAnsi="Arial" w:cs="Arial"/>
          <w:sz w:val="22"/>
          <w:szCs w:val="22"/>
        </w:rPr>
        <w:t>se concluye</w:t>
      </w:r>
      <w:r w:rsidRPr="005045BF">
        <w:rPr>
          <w:rFonts w:ascii="Arial" w:hAnsi="Arial" w:cs="Arial"/>
          <w:sz w:val="22"/>
          <w:szCs w:val="22"/>
        </w:rPr>
        <w:t xml:space="preserve"> que el </w:t>
      </w:r>
      <w:r w:rsidR="0016456B" w:rsidRPr="005045BF">
        <w:rPr>
          <w:rFonts w:ascii="Arial" w:hAnsi="Arial" w:cs="Arial"/>
          <w:sz w:val="22"/>
          <w:szCs w:val="22"/>
        </w:rPr>
        <w:t xml:space="preserve">valor de las horas extras para el </w:t>
      </w:r>
      <w:r w:rsidR="00AB7377" w:rsidRPr="005045BF">
        <w:rPr>
          <w:rFonts w:ascii="Arial" w:hAnsi="Arial" w:cs="Arial"/>
          <w:sz w:val="22"/>
          <w:szCs w:val="22"/>
        </w:rPr>
        <w:t xml:space="preserve">primer </w:t>
      </w:r>
      <w:r w:rsidR="0016456B" w:rsidRPr="005045BF">
        <w:rPr>
          <w:rFonts w:ascii="Arial" w:hAnsi="Arial" w:cs="Arial"/>
          <w:sz w:val="22"/>
          <w:szCs w:val="22"/>
        </w:rPr>
        <w:t>trimestre 20</w:t>
      </w:r>
      <w:r w:rsidR="00AB7377" w:rsidRPr="005045BF">
        <w:rPr>
          <w:rFonts w:ascii="Arial" w:hAnsi="Arial" w:cs="Arial"/>
          <w:sz w:val="22"/>
          <w:szCs w:val="22"/>
        </w:rPr>
        <w:t>20</w:t>
      </w:r>
      <w:r w:rsidR="0016456B" w:rsidRPr="005045BF">
        <w:rPr>
          <w:rFonts w:ascii="Arial" w:hAnsi="Arial" w:cs="Arial"/>
          <w:sz w:val="22"/>
          <w:szCs w:val="22"/>
        </w:rPr>
        <w:t xml:space="preserve"> comparado con el mismo periodo de la vigencia 201</w:t>
      </w:r>
      <w:r w:rsidR="00AB7377" w:rsidRPr="005045BF">
        <w:rPr>
          <w:rFonts w:ascii="Arial" w:hAnsi="Arial" w:cs="Arial"/>
          <w:sz w:val="22"/>
          <w:szCs w:val="22"/>
        </w:rPr>
        <w:t>9</w:t>
      </w:r>
      <w:r w:rsidR="0016456B" w:rsidRPr="005045BF">
        <w:rPr>
          <w:rFonts w:ascii="Arial" w:hAnsi="Arial" w:cs="Arial"/>
          <w:sz w:val="22"/>
          <w:szCs w:val="22"/>
        </w:rPr>
        <w:t>,</w:t>
      </w:r>
      <w:r w:rsidR="00AB7377" w:rsidRPr="005045BF">
        <w:rPr>
          <w:rFonts w:ascii="Arial" w:hAnsi="Arial" w:cs="Arial"/>
          <w:sz w:val="22"/>
          <w:szCs w:val="22"/>
        </w:rPr>
        <w:t xml:space="preserve"> </w:t>
      </w:r>
      <w:r w:rsidR="00AB7377" w:rsidRPr="005045BF">
        <w:rPr>
          <w:rFonts w:ascii="Arial" w:hAnsi="Arial" w:cs="Arial"/>
          <w:b/>
          <w:bCs/>
          <w:sz w:val="22"/>
          <w:szCs w:val="22"/>
        </w:rPr>
        <w:t>aumentó</w:t>
      </w:r>
      <w:r w:rsidR="00AB7377" w:rsidRPr="005045BF">
        <w:rPr>
          <w:rFonts w:ascii="Arial" w:hAnsi="Arial" w:cs="Arial"/>
          <w:sz w:val="22"/>
          <w:szCs w:val="22"/>
        </w:rPr>
        <w:t xml:space="preserve"> </w:t>
      </w:r>
      <w:r w:rsidR="0016456B" w:rsidRPr="005045BF">
        <w:rPr>
          <w:rFonts w:ascii="Arial" w:hAnsi="Arial" w:cs="Arial"/>
          <w:sz w:val="22"/>
          <w:szCs w:val="22"/>
        </w:rPr>
        <w:t>en $</w:t>
      </w:r>
      <w:r w:rsidRPr="005045BF">
        <w:rPr>
          <w:rFonts w:ascii="Arial" w:hAnsi="Arial" w:cs="Arial"/>
          <w:sz w:val="22"/>
          <w:szCs w:val="22"/>
        </w:rPr>
        <w:t xml:space="preserve"> </w:t>
      </w:r>
      <w:r w:rsidR="00783810" w:rsidRPr="005045BF">
        <w:rPr>
          <w:rFonts w:ascii="Arial" w:hAnsi="Arial" w:cs="Arial"/>
          <w:sz w:val="22"/>
          <w:szCs w:val="22"/>
        </w:rPr>
        <w:t>2.537.967</w:t>
      </w:r>
      <w:r w:rsidR="00AB7377" w:rsidRPr="005045BF">
        <w:rPr>
          <w:rFonts w:ascii="Arial" w:hAnsi="Arial" w:cs="Arial"/>
          <w:sz w:val="22"/>
          <w:szCs w:val="22"/>
        </w:rPr>
        <w:t xml:space="preserve"> </w:t>
      </w:r>
      <w:r w:rsidR="0016456B" w:rsidRPr="005045BF">
        <w:rPr>
          <w:rFonts w:ascii="Arial" w:hAnsi="Arial" w:cs="Arial"/>
          <w:sz w:val="22"/>
          <w:szCs w:val="22"/>
        </w:rPr>
        <w:t xml:space="preserve">equivalente al </w:t>
      </w:r>
      <w:r w:rsidR="00783810" w:rsidRPr="005045BF">
        <w:rPr>
          <w:rFonts w:ascii="Arial" w:hAnsi="Arial" w:cs="Arial"/>
          <w:sz w:val="22"/>
          <w:szCs w:val="22"/>
        </w:rPr>
        <w:t>3</w:t>
      </w:r>
      <w:r w:rsidR="00E36202" w:rsidRPr="005045BF">
        <w:rPr>
          <w:rFonts w:ascii="Arial" w:hAnsi="Arial" w:cs="Arial"/>
          <w:sz w:val="22"/>
          <w:szCs w:val="22"/>
        </w:rPr>
        <w:t>%.</w:t>
      </w:r>
      <w:r w:rsidR="00AA71D1" w:rsidRPr="005045BF">
        <w:rPr>
          <w:rFonts w:ascii="Arial" w:hAnsi="Arial" w:cs="Arial"/>
          <w:sz w:val="22"/>
          <w:szCs w:val="22"/>
        </w:rPr>
        <w:t xml:space="preserve"> </w:t>
      </w:r>
      <w:r w:rsidR="00E36202" w:rsidRPr="005045BF">
        <w:rPr>
          <w:rFonts w:ascii="Arial" w:hAnsi="Arial" w:cs="Arial"/>
          <w:sz w:val="22"/>
          <w:szCs w:val="22"/>
        </w:rPr>
        <w:t xml:space="preserve">Es importante tener en cuenta que, según lo establecido en el Decreto </w:t>
      </w:r>
      <w:r w:rsidR="00AB7377" w:rsidRPr="005045BF">
        <w:rPr>
          <w:rFonts w:ascii="Arial" w:hAnsi="Arial" w:cs="Arial"/>
          <w:sz w:val="22"/>
          <w:szCs w:val="22"/>
        </w:rPr>
        <w:t>304</w:t>
      </w:r>
      <w:r w:rsidR="00E36202" w:rsidRPr="005045BF">
        <w:rPr>
          <w:rFonts w:ascii="Arial" w:hAnsi="Arial" w:cs="Arial"/>
          <w:sz w:val="22"/>
          <w:szCs w:val="22"/>
        </w:rPr>
        <w:t xml:space="preserve"> de</w:t>
      </w:r>
      <w:r w:rsidR="00D01F3C" w:rsidRPr="005045BF">
        <w:rPr>
          <w:rFonts w:ascii="Arial" w:hAnsi="Arial" w:cs="Arial"/>
          <w:sz w:val="22"/>
          <w:szCs w:val="22"/>
        </w:rPr>
        <w:t xml:space="preserve">l 27 </w:t>
      </w:r>
      <w:r w:rsidR="00D65E54" w:rsidRPr="005045BF">
        <w:rPr>
          <w:rFonts w:ascii="Arial" w:hAnsi="Arial" w:cs="Arial"/>
          <w:sz w:val="22"/>
          <w:szCs w:val="22"/>
        </w:rPr>
        <w:t>de febrero</w:t>
      </w:r>
      <w:r w:rsidR="00D01F3C" w:rsidRPr="005045BF">
        <w:rPr>
          <w:rFonts w:ascii="Arial" w:hAnsi="Arial" w:cs="Arial"/>
          <w:sz w:val="22"/>
          <w:szCs w:val="22"/>
        </w:rPr>
        <w:t xml:space="preserve"> de </w:t>
      </w:r>
      <w:r w:rsidR="00E36202" w:rsidRPr="005045BF">
        <w:rPr>
          <w:rFonts w:ascii="Arial" w:hAnsi="Arial" w:cs="Arial"/>
          <w:sz w:val="22"/>
          <w:szCs w:val="22"/>
        </w:rPr>
        <w:t>20</w:t>
      </w:r>
      <w:r w:rsidR="00AB7377" w:rsidRPr="005045BF">
        <w:rPr>
          <w:rFonts w:ascii="Arial" w:hAnsi="Arial" w:cs="Arial"/>
          <w:sz w:val="22"/>
          <w:szCs w:val="22"/>
        </w:rPr>
        <w:t>20</w:t>
      </w:r>
      <w:r w:rsidR="008D3477" w:rsidRPr="005045BF">
        <w:rPr>
          <w:rFonts w:ascii="Arial" w:hAnsi="Arial" w:cs="Arial"/>
          <w:sz w:val="22"/>
          <w:szCs w:val="22"/>
        </w:rPr>
        <w:t xml:space="preserve"> </w:t>
      </w:r>
      <w:r w:rsidR="00E36202" w:rsidRPr="005045BF">
        <w:rPr>
          <w:rFonts w:ascii="Arial" w:hAnsi="Arial" w:cs="Arial"/>
          <w:sz w:val="22"/>
          <w:szCs w:val="22"/>
        </w:rPr>
        <w:t>el incremento salarial para la vigencia 20</w:t>
      </w:r>
      <w:r w:rsidR="00AB7377" w:rsidRPr="005045BF">
        <w:rPr>
          <w:rFonts w:ascii="Arial" w:hAnsi="Arial" w:cs="Arial"/>
          <w:sz w:val="22"/>
          <w:szCs w:val="22"/>
        </w:rPr>
        <w:t>20</w:t>
      </w:r>
      <w:r w:rsidR="00E36202" w:rsidRPr="005045BF">
        <w:rPr>
          <w:rFonts w:ascii="Arial" w:hAnsi="Arial" w:cs="Arial"/>
          <w:sz w:val="22"/>
          <w:szCs w:val="22"/>
        </w:rPr>
        <w:t xml:space="preserve"> fue de </w:t>
      </w:r>
      <w:r w:rsidR="00AB7377" w:rsidRPr="005045BF">
        <w:rPr>
          <w:rFonts w:ascii="Arial" w:hAnsi="Arial" w:cs="Arial"/>
          <w:sz w:val="22"/>
          <w:szCs w:val="22"/>
        </w:rPr>
        <w:t>5,12</w:t>
      </w:r>
      <w:r w:rsidR="00D01F3C" w:rsidRPr="005045BF">
        <w:rPr>
          <w:rFonts w:ascii="Arial" w:hAnsi="Arial" w:cs="Arial"/>
          <w:sz w:val="22"/>
          <w:szCs w:val="22"/>
        </w:rPr>
        <w:t>% con retroactivo desde el 1° de enero de 2020,</w:t>
      </w:r>
      <w:r w:rsidR="00E36202" w:rsidRPr="005045BF">
        <w:rPr>
          <w:rFonts w:ascii="Arial" w:hAnsi="Arial" w:cs="Arial"/>
          <w:sz w:val="22"/>
          <w:szCs w:val="22"/>
        </w:rPr>
        <w:t xml:space="preserve"> de manera que, </w:t>
      </w:r>
      <w:r w:rsidR="004024A6" w:rsidRPr="005045BF">
        <w:rPr>
          <w:rFonts w:ascii="Arial" w:hAnsi="Arial" w:cs="Arial"/>
          <w:sz w:val="22"/>
          <w:szCs w:val="22"/>
        </w:rPr>
        <w:t>la variación presentada en cuanto al valor</w:t>
      </w:r>
      <w:r w:rsidR="006964E0" w:rsidRPr="005045BF">
        <w:rPr>
          <w:rFonts w:ascii="Arial" w:hAnsi="Arial" w:cs="Arial"/>
          <w:sz w:val="22"/>
          <w:szCs w:val="22"/>
        </w:rPr>
        <w:t xml:space="preserve"> del gasto</w:t>
      </w:r>
      <w:r w:rsidR="00E36202" w:rsidRPr="005045BF">
        <w:rPr>
          <w:rFonts w:ascii="Arial" w:hAnsi="Arial" w:cs="Arial"/>
          <w:sz w:val="22"/>
          <w:szCs w:val="22"/>
        </w:rPr>
        <w:t xml:space="preserve"> </w:t>
      </w:r>
      <w:r w:rsidR="001F4C87" w:rsidRPr="005045BF">
        <w:rPr>
          <w:rFonts w:ascii="Arial" w:hAnsi="Arial" w:cs="Arial"/>
          <w:sz w:val="22"/>
          <w:szCs w:val="22"/>
        </w:rPr>
        <w:t xml:space="preserve">estaría </w:t>
      </w:r>
      <w:r w:rsidR="008A0015" w:rsidRPr="005045BF">
        <w:rPr>
          <w:rFonts w:ascii="Arial" w:hAnsi="Arial" w:cs="Arial"/>
          <w:sz w:val="22"/>
          <w:szCs w:val="22"/>
        </w:rPr>
        <w:t>relacionada</w:t>
      </w:r>
      <w:r w:rsidR="0016456B" w:rsidRPr="005045BF">
        <w:rPr>
          <w:rFonts w:ascii="Arial" w:hAnsi="Arial" w:cs="Arial"/>
          <w:sz w:val="22"/>
          <w:szCs w:val="22"/>
        </w:rPr>
        <w:t xml:space="preserve"> </w:t>
      </w:r>
      <w:r w:rsidR="00AA71D1" w:rsidRPr="005045BF">
        <w:rPr>
          <w:rFonts w:ascii="Arial" w:hAnsi="Arial" w:cs="Arial"/>
          <w:sz w:val="22"/>
          <w:szCs w:val="22"/>
        </w:rPr>
        <w:t xml:space="preserve">con dicha medida. </w:t>
      </w:r>
    </w:p>
    <w:p w14:paraId="29101669" w14:textId="64235119" w:rsidR="0016456B" w:rsidRPr="005045BF" w:rsidRDefault="007B4DC7" w:rsidP="00334DAE">
      <w:pPr>
        <w:spacing w:line="168" w:lineRule="auto"/>
        <w:ind w:left="709" w:hanging="709"/>
        <w:jc w:val="both"/>
        <w:rPr>
          <w:rFonts w:ascii="Arial" w:hAnsi="Arial" w:cs="Arial"/>
          <w:sz w:val="22"/>
          <w:szCs w:val="22"/>
          <w:highlight w:val="yellow"/>
        </w:rPr>
      </w:pPr>
      <w:r w:rsidRPr="005045BF">
        <w:rPr>
          <w:rFonts w:ascii="Arial" w:hAnsi="Arial" w:cs="Arial"/>
          <w:sz w:val="22"/>
          <w:szCs w:val="22"/>
          <w:highlight w:val="yellow"/>
        </w:rPr>
        <w:t xml:space="preserve"> </w:t>
      </w:r>
      <w:r w:rsidR="004024A6" w:rsidRPr="005045BF">
        <w:rPr>
          <w:rFonts w:ascii="Arial" w:hAnsi="Arial" w:cs="Arial"/>
          <w:sz w:val="22"/>
          <w:szCs w:val="22"/>
          <w:highlight w:val="yellow"/>
        </w:rPr>
        <w:t xml:space="preserve"> </w:t>
      </w:r>
      <w:r w:rsidR="0016456B" w:rsidRPr="005045BF">
        <w:rPr>
          <w:rFonts w:ascii="Arial" w:hAnsi="Arial" w:cs="Arial"/>
          <w:sz w:val="22"/>
          <w:szCs w:val="22"/>
          <w:highlight w:val="yellow"/>
        </w:rPr>
        <w:t xml:space="preserve"> </w:t>
      </w:r>
    </w:p>
    <w:p w14:paraId="69388093" w14:textId="4E731319" w:rsidR="0016456B" w:rsidRPr="005045BF" w:rsidRDefault="00EA3324" w:rsidP="0016456B">
      <w:pPr>
        <w:shd w:val="clear" w:color="auto" w:fill="FFFFFF" w:themeFill="background1"/>
        <w:jc w:val="both"/>
        <w:rPr>
          <w:rFonts w:ascii="Arial" w:hAnsi="Arial" w:cs="Arial"/>
          <w:sz w:val="22"/>
          <w:szCs w:val="22"/>
        </w:rPr>
      </w:pPr>
      <w:r w:rsidRPr="005045BF">
        <w:rPr>
          <w:rFonts w:ascii="Arial" w:hAnsi="Arial" w:cs="Arial"/>
          <w:sz w:val="22"/>
          <w:szCs w:val="22"/>
        </w:rPr>
        <w:t>Ahora bien, c</w:t>
      </w:r>
      <w:r w:rsidR="0016456B" w:rsidRPr="005045BF">
        <w:rPr>
          <w:rFonts w:ascii="Arial" w:hAnsi="Arial" w:cs="Arial"/>
          <w:sz w:val="22"/>
          <w:szCs w:val="22"/>
        </w:rPr>
        <w:t xml:space="preserve">on el propósito de constatar el valor total de horas extras liquidadas según el reporte del aplicativo SARA para los meses de </w:t>
      </w:r>
      <w:r w:rsidR="009E1FB0" w:rsidRPr="005045BF">
        <w:rPr>
          <w:rFonts w:ascii="Arial" w:hAnsi="Arial" w:cs="Arial"/>
          <w:sz w:val="22"/>
          <w:szCs w:val="22"/>
        </w:rPr>
        <w:t xml:space="preserve">enero, febrero y marzo </w:t>
      </w:r>
      <w:r w:rsidR="0016456B" w:rsidRPr="005045BF">
        <w:rPr>
          <w:rFonts w:ascii="Arial" w:hAnsi="Arial" w:cs="Arial"/>
          <w:sz w:val="22"/>
          <w:szCs w:val="22"/>
        </w:rPr>
        <w:t>de 20</w:t>
      </w:r>
      <w:r w:rsidR="009E1FB0" w:rsidRPr="005045BF">
        <w:rPr>
          <w:rFonts w:ascii="Arial" w:hAnsi="Arial" w:cs="Arial"/>
          <w:sz w:val="22"/>
          <w:szCs w:val="22"/>
        </w:rPr>
        <w:t>20</w:t>
      </w:r>
      <w:r w:rsidR="0016456B" w:rsidRPr="005045BF">
        <w:rPr>
          <w:rFonts w:ascii="Arial" w:hAnsi="Arial" w:cs="Arial"/>
          <w:sz w:val="22"/>
          <w:szCs w:val="22"/>
        </w:rPr>
        <w:t>, se consultó en el SIIF el valor obligado por dicho concepto. Como resultado, se observ</w:t>
      </w:r>
      <w:r w:rsidR="00E11F8D" w:rsidRPr="005045BF">
        <w:rPr>
          <w:rFonts w:ascii="Arial" w:hAnsi="Arial" w:cs="Arial"/>
          <w:sz w:val="22"/>
          <w:szCs w:val="22"/>
        </w:rPr>
        <w:t>ó una</w:t>
      </w:r>
      <w:r w:rsidR="009E1FB0" w:rsidRPr="005045BF">
        <w:rPr>
          <w:rFonts w:ascii="Arial" w:hAnsi="Arial" w:cs="Arial"/>
          <w:sz w:val="22"/>
          <w:szCs w:val="22"/>
        </w:rPr>
        <w:t xml:space="preserve"> </w:t>
      </w:r>
      <w:r w:rsidR="0016456B" w:rsidRPr="005045BF">
        <w:rPr>
          <w:rFonts w:ascii="Arial" w:hAnsi="Arial" w:cs="Arial"/>
          <w:sz w:val="22"/>
          <w:szCs w:val="22"/>
        </w:rPr>
        <w:t>diferencia</w:t>
      </w:r>
      <w:r w:rsidR="00E11F8D" w:rsidRPr="005045BF">
        <w:rPr>
          <w:rFonts w:ascii="Arial" w:hAnsi="Arial" w:cs="Arial"/>
          <w:sz w:val="22"/>
          <w:szCs w:val="22"/>
        </w:rPr>
        <w:t xml:space="preserve"> para el mes </w:t>
      </w:r>
      <w:r w:rsidR="009E1FB0" w:rsidRPr="005045BF">
        <w:rPr>
          <w:rFonts w:ascii="Arial" w:hAnsi="Arial" w:cs="Arial"/>
          <w:sz w:val="22"/>
          <w:szCs w:val="22"/>
        </w:rPr>
        <w:t xml:space="preserve">de febrero, así: </w:t>
      </w:r>
    </w:p>
    <w:p w14:paraId="37A97DB7" w14:textId="129BE783" w:rsidR="0016456B" w:rsidRPr="005045BF" w:rsidRDefault="0016456B" w:rsidP="0016456B">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139"/>
        <w:gridCol w:w="2473"/>
        <w:gridCol w:w="2273"/>
        <w:gridCol w:w="1995"/>
      </w:tblGrid>
      <w:tr w:rsidR="009E1FB0" w:rsidRPr="005045BF" w14:paraId="1E8B4ECD" w14:textId="77777777" w:rsidTr="009E1FB0">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502CC350" w14:textId="77777777" w:rsidR="009E1FB0" w:rsidRPr="005045BF" w:rsidRDefault="009E1FB0" w:rsidP="00334DAE">
            <w:pPr>
              <w:spacing w:before="60" w:after="40"/>
              <w:jc w:val="center"/>
              <w:rPr>
                <w:rFonts w:ascii="Arial" w:hAnsi="Arial" w:cs="Arial"/>
                <w:color w:val="FFFFFF"/>
                <w:sz w:val="20"/>
                <w:szCs w:val="20"/>
              </w:rPr>
            </w:pPr>
            <w:r w:rsidRPr="005045BF">
              <w:rPr>
                <w:rFonts w:ascii="Arial" w:hAnsi="Arial" w:cs="Arial"/>
                <w:color w:val="FFFFFF"/>
                <w:sz w:val="20"/>
                <w:szCs w:val="20"/>
              </w:rPr>
              <w:t xml:space="preserve">Concepto </w:t>
            </w:r>
          </w:p>
        </w:tc>
        <w:tc>
          <w:tcPr>
            <w:tcW w:w="0" w:type="auto"/>
            <w:gridSpan w:val="3"/>
            <w:shd w:val="clear" w:color="auto" w:fill="4F81BD" w:themeFill="accent1"/>
            <w:vAlign w:val="center"/>
            <w:hideMark/>
          </w:tcPr>
          <w:p w14:paraId="604DAA4E" w14:textId="77777777" w:rsidR="009E1FB0" w:rsidRPr="005045BF" w:rsidRDefault="009E1FB0" w:rsidP="00334DAE">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 xml:space="preserve"> Valor Gasto Horas Extras </w:t>
            </w:r>
          </w:p>
        </w:tc>
      </w:tr>
      <w:tr w:rsidR="009E1FB0" w:rsidRPr="005045BF" w14:paraId="09D68C44" w14:textId="77777777" w:rsidTr="009E1FB0">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615AC77E" w14:textId="77777777" w:rsidR="009E1FB0" w:rsidRPr="005045BF" w:rsidRDefault="009E1FB0" w:rsidP="00334DAE">
            <w:pPr>
              <w:spacing w:before="60" w:after="40"/>
              <w:rPr>
                <w:rFonts w:ascii="Arial" w:hAnsi="Arial" w:cs="Arial"/>
                <w:color w:val="FFFFFF"/>
                <w:sz w:val="20"/>
                <w:szCs w:val="20"/>
              </w:rPr>
            </w:pPr>
          </w:p>
        </w:tc>
        <w:tc>
          <w:tcPr>
            <w:tcW w:w="0" w:type="auto"/>
            <w:shd w:val="clear" w:color="auto" w:fill="4F81BD" w:themeFill="accent1"/>
            <w:vAlign w:val="center"/>
            <w:hideMark/>
          </w:tcPr>
          <w:p w14:paraId="72A40F60" w14:textId="77777777" w:rsidR="009E1FB0" w:rsidRPr="005045BF" w:rsidRDefault="009E1FB0" w:rsidP="00334DAE">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 xml:space="preserve">  I Trimestre 2020 SARA  </w:t>
            </w:r>
          </w:p>
        </w:tc>
        <w:tc>
          <w:tcPr>
            <w:tcW w:w="0" w:type="auto"/>
            <w:shd w:val="clear" w:color="auto" w:fill="4F81BD" w:themeFill="accent1"/>
            <w:vAlign w:val="center"/>
            <w:hideMark/>
          </w:tcPr>
          <w:p w14:paraId="1AEED794" w14:textId="77777777" w:rsidR="009E1FB0" w:rsidRPr="005045BF" w:rsidRDefault="009E1FB0" w:rsidP="00334DAE">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 xml:space="preserve">  I Trimestre 2020 SIIF  </w:t>
            </w:r>
          </w:p>
        </w:tc>
        <w:tc>
          <w:tcPr>
            <w:tcW w:w="0" w:type="auto"/>
            <w:shd w:val="clear" w:color="auto" w:fill="4F81BD" w:themeFill="accent1"/>
            <w:vAlign w:val="center"/>
            <w:hideMark/>
          </w:tcPr>
          <w:p w14:paraId="57D10C6D" w14:textId="77777777" w:rsidR="009E1FB0" w:rsidRPr="005045BF" w:rsidRDefault="009E1FB0" w:rsidP="00334DAE">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 xml:space="preserve"> Diferencia </w:t>
            </w:r>
          </w:p>
        </w:tc>
      </w:tr>
      <w:tr w:rsidR="009E1FB0" w:rsidRPr="005045BF" w14:paraId="59E62BD0" w14:textId="77777777" w:rsidTr="009E1FB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6CFB7F1" w14:textId="77777777" w:rsidR="009E1FB0" w:rsidRPr="005045BF" w:rsidRDefault="009E1FB0" w:rsidP="00334DAE">
            <w:pPr>
              <w:spacing w:before="60" w:after="40"/>
              <w:jc w:val="center"/>
              <w:rPr>
                <w:rFonts w:ascii="Arial" w:hAnsi="Arial" w:cs="Arial"/>
                <w:color w:val="0F243E"/>
                <w:sz w:val="20"/>
                <w:szCs w:val="20"/>
              </w:rPr>
            </w:pPr>
            <w:r w:rsidRPr="005045BF">
              <w:rPr>
                <w:rFonts w:ascii="Arial" w:hAnsi="Arial" w:cs="Arial"/>
                <w:color w:val="0F243E"/>
                <w:sz w:val="20"/>
                <w:szCs w:val="20"/>
              </w:rPr>
              <w:t xml:space="preserve"> Enero  </w:t>
            </w:r>
          </w:p>
        </w:tc>
        <w:tc>
          <w:tcPr>
            <w:tcW w:w="0" w:type="auto"/>
            <w:vAlign w:val="center"/>
            <w:hideMark/>
          </w:tcPr>
          <w:p w14:paraId="69D0449B" w14:textId="77777777" w:rsidR="009E1FB0" w:rsidRPr="005045BF" w:rsidRDefault="009E1FB0" w:rsidP="00334DAE">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26.400.138 </w:t>
            </w:r>
          </w:p>
        </w:tc>
        <w:tc>
          <w:tcPr>
            <w:tcW w:w="0" w:type="auto"/>
            <w:noWrap/>
            <w:vAlign w:val="center"/>
            <w:hideMark/>
          </w:tcPr>
          <w:p w14:paraId="75E4E704" w14:textId="77777777" w:rsidR="009E1FB0" w:rsidRPr="005045BF" w:rsidRDefault="009E1F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26.400.138 </w:t>
            </w:r>
          </w:p>
        </w:tc>
        <w:tc>
          <w:tcPr>
            <w:tcW w:w="0" w:type="auto"/>
            <w:noWrap/>
            <w:vAlign w:val="center"/>
            <w:hideMark/>
          </w:tcPr>
          <w:p w14:paraId="697F7631" w14:textId="7A7CFE05" w:rsidR="009E1FB0" w:rsidRPr="005045BF" w:rsidRDefault="009E1F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                              0 </w:t>
            </w:r>
          </w:p>
        </w:tc>
      </w:tr>
      <w:tr w:rsidR="009E1FB0" w:rsidRPr="005045BF" w14:paraId="14C58E8C" w14:textId="77777777" w:rsidTr="009E1FB0">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E2BA79F" w14:textId="77777777" w:rsidR="009E1FB0" w:rsidRPr="005045BF" w:rsidRDefault="009E1FB0" w:rsidP="00334DAE">
            <w:pPr>
              <w:spacing w:before="60" w:after="40"/>
              <w:jc w:val="center"/>
              <w:rPr>
                <w:rFonts w:ascii="Arial" w:hAnsi="Arial" w:cs="Arial"/>
                <w:color w:val="0F243E"/>
                <w:sz w:val="20"/>
                <w:szCs w:val="20"/>
              </w:rPr>
            </w:pPr>
            <w:r w:rsidRPr="005045BF">
              <w:rPr>
                <w:rFonts w:ascii="Arial" w:hAnsi="Arial" w:cs="Arial"/>
                <w:color w:val="0F243E"/>
                <w:sz w:val="20"/>
                <w:szCs w:val="20"/>
              </w:rPr>
              <w:t xml:space="preserve"> Febrero </w:t>
            </w:r>
          </w:p>
        </w:tc>
        <w:tc>
          <w:tcPr>
            <w:tcW w:w="0" w:type="auto"/>
            <w:noWrap/>
            <w:vAlign w:val="center"/>
            <w:hideMark/>
          </w:tcPr>
          <w:p w14:paraId="1BCA6F88" w14:textId="77777777" w:rsidR="009E1FB0" w:rsidRPr="005045BF" w:rsidRDefault="009E1FB0" w:rsidP="00334DAE">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29.763.702 </w:t>
            </w:r>
          </w:p>
        </w:tc>
        <w:tc>
          <w:tcPr>
            <w:tcW w:w="0" w:type="auto"/>
            <w:noWrap/>
            <w:vAlign w:val="center"/>
            <w:hideMark/>
          </w:tcPr>
          <w:p w14:paraId="4025761E" w14:textId="77777777" w:rsidR="009E1FB0" w:rsidRPr="005045BF" w:rsidRDefault="009E1F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32.860.809 </w:t>
            </w:r>
          </w:p>
        </w:tc>
        <w:tc>
          <w:tcPr>
            <w:tcW w:w="0" w:type="auto"/>
            <w:noWrap/>
            <w:vAlign w:val="center"/>
            <w:hideMark/>
          </w:tcPr>
          <w:p w14:paraId="78314233" w14:textId="5D491D0E" w:rsidR="009E1FB0" w:rsidRPr="005045BF" w:rsidRDefault="009E1F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             </w:t>
            </w:r>
            <w:r w:rsidR="00936E3E" w:rsidRPr="005045BF">
              <w:rPr>
                <w:rFonts w:ascii="Arial" w:hAnsi="Arial" w:cs="Arial"/>
                <w:color w:val="000000"/>
                <w:sz w:val="20"/>
                <w:szCs w:val="20"/>
              </w:rPr>
              <w:t>(</w:t>
            </w:r>
            <w:r w:rsidRPr="005045BF">
              <w:rPr>
                <w:rFonts w:ascii="Arial" w:hAnsi="Arial" w:cs="Arial"/>
                <w:color w:val="000000"/>
                <w:sz w:val="20"/>
                <w:szCs w:val="20"/>
              </w:rPr>
              <w:t>3.097.108</w:t>
            </w:r>
            <w:r w:rsidR="00936E3E" w:rsidRPr="005045BF">
              <w:rPr>
                <w:rFonts w:ascii="Arial" w:hAnsi="Arial" w:cs="Arial"/>
                <w:color w:val="000000"/>
                <w:sz w:val="20"/>
                <w:szCs w:val="20"/>
              </w:rPr>
              <w:t>)</w:t>
            </w:r>
            <w:r w:rsidRPr="005045BF">
              <w:rPr>
                <w:rFonts w:ascii="Arial" w:hAnsi="Arial" w:cs="Arial"/>
                <w:color w:val="000000"/>
                <w:sz w:val="20"/>
                <w:szCs w:val="20"/>
              </w:rPr>
              <w:t xml:space="preserve"> </w:t>
            </w:r>
          </w:p>
        </w:tc>
      </w:tr>
      <w:tr w:rsidR="003540B0" w:rsidRPr="005045BF" w14:paraId="63E0737C" w14:textId="77777777" w:rsidTr="003540B0">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double" w:sz="4" w:space="0" w:color="4F81BD" w:themeColor="accent1"/>
            </w:tcBorders>
            <w:vAlign w:val="center"/>
            <w:hideMark/>
          </w:tcPr>
          <w:p w14:paraId="79FA599D" w14:textId="77777777" w:rsidR="003540B0" w:rsidRPr="005045BF" w:rsidRDefault="003540B0" w:rsidP="00334DAE">
            <w:pPr>
              <w:spacing w:before="60" w:after="40"/>
              <w:jc w:val="center"/>
              <w:rPr>
                <w:rFonts w:ascii="Arial" w:hAnsi="Arial" w:cs="Arial"/>
                <w:color w:val="0F243E"/>
                <w:sz w:val="20"/>
                <w:szCs w:val="20"/>
              </w:rPr>
            </w:pPr>
            <w:r w:rsidRPr="005045BF">
              <w:rPr>
                <w:rFonts w:ascii="Arial" w:hAnsi="Arial" w:cs="Arial"/>
                <w:color w:val="0F243E"/>
                <w:sz w:val="20"/>
                <w:szCs w:val="20"/>
              </w:rPr>
              <w:t xml:space="preserve"> Marzo </w:t>
            </w:r>
          </w:p>
        </w:tc>
        <w:tc>
          <w:tcPr>
            <w:tcW w:w="0" w:type="auto"/>
            <w:tcBorders>
              <w:bottom w:val="double" w:sz="4" w:space="0" w:color="4F81BD" w:themeColor="accent1"/>
            </w:tcBorders>
            <w:noWrap/>
            <w:vAlign w:val="center"/>
            <w:hideMark/>
          </w:tcPr>
          <w:p w14:paraId="144CC430" w14:textId="5A2883A7" w:rsidR="003540B0" w:rsidRPr="005045BF" w:rsidRDefault="003540B0" w:rsidP="00334DAE">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24.959.490 </w:t>
            </w:r>
          </w:p>
        </w:tc>
        <w:tc>
          <w:tcPr>
            <w:tcW w:w="0" w:type="auto"/>
            <w:tcBorders>
              <w:bottom w:val="double" w:sz="4" w:space="0" w:color="4F81BD" w:themeColor="accent1"/>
            </w:tcBorders>
            <w:noWrap/>
            <w:vAlign w:val="center"/>
            <w:hideMark/>
          </w:tcPr>
          <w:p w14:paraId="600F2B7E" w14:textId="77777777" w:rsidR="003540B0" w:rsidRPr="005045BF" w:rsidRDefault="003540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                   24.959.490 </w:t>
            </w:r>
          </w:p>
        </w:tc>
        <w:tc>
          <w:tcPr>
            <w:tcW w:w="0" w:type="auto"/>
            <w:tcBorders>
              <w:bottom w:val="double" w:sz="4" w:space="0" w:color="4F81BD" w:themeColor="accent1"/>
            </w:tcBorders>
            <w:noWrap/>
            <w:vAlign w:val="center"/>
          </w:tcPr>
          <w:p w14:paraId="41047A9B" w14:textId="5F4F9421" w:rsidR="003540B0" w:rsidRPr="005045BF" w:rsidRDefault="003540B0" w:rsidP="00334DAE">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r>
      <w:tr w:rsidR="003540B0" w:rsidRPr="005045BF" w14:paraId="0A0CF389" w14:textId="77777777" w:rsidTr="009E1FB0">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hideMark/>
          </w:tcPr>
          <w:p w14:paraId="34BB3A75" w14:textId="77777777" w:rsidR="003540B0" w:rsidRPr="005045BF" w:rsidRDefault="003540B0" w:rsidP="00334DAE">
            <w:pPr>
              <w:spacing w:before="60" w:after="40"/>
              <w:jc w:val="center"/>
              <w:rPr>
                <w:rFonts w:ascii="Arial" w:hAnsi="Arial" w:cs="Arial"/>
                <w:color w:val="0F243E"/>
                <w:sz w:val="20"/>
                <w:szCs w:val="20"/>
              </w:rPr>
            </w:pPr>
            <w:r w:rsidRPr="005045BF">
              <w:rPr>
                <w:rFonts w:ascii="Arial" w:hAnsi="Arial" w:cs="Arial"/>
                <w:color w:val="0F243E"/>
                <w:sz w:val="20"/>
                <w:szCs w:val="20"/>
              </w:rPr>
              <w:t xml:space="preserve">  Totales  </w:t>
            </w:r>
          </w:p>
        </w:tc>
        <w:tc>
          <w:tcPr>
            <w:tcW w:w="0" w:type="auto"/>
            <w:tcBorders>
              <w:top w:val="double" w:sz="4" w:space="0" w:color="4F81BD" w:themeColor="accent1"/>
              <w:bottom w:val="double" w:sz="4" w:space="0" w:color="4F81BD" w:themeColor="accent1"/>
            </w:tcBorders>
            <w:vAlign w:val="center"/>
            <w:hideMark/>
          </w:tcPr>
          <w:p w14:paraId="0DBE6F40" w14:textId="4265BF12" w:rsidR="003540B0" w:rsidRPr="005045BF" w:rsidRDefault="001C7ED7" w:rsidP="00334DAE">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81.123.330</w:t>
            </w:r>
            <w:r w:rsidR="003540B0" w:rsidRPr="005045BF">
              <w:rPr>
                <w:rFonts w:ascii="Arial" w:hAnsi="Arial" w:cs="Arial"/>
                <w:b/>
                <w:bCs/>
                <w:color w:val="0F243E"/>
                <w:sz w:val="20"/>
                <w:szCs w:val="20"/>
              </w:rPr>
              <w:t xml:space="preserve"> </w:t>
            </w:r>
          </w:p>
        </w:tc>
        <w:tc>
          <w:tcPr>
            <w:tcW w:w="0" w:type="auto"/>
            <w:tcBorders>
              <w:top w:val="double" w:sz="4" w:space="0" w:color="4F81BD" w:themeColor="accent1"/>
              <w:bottom w:val="double" w:sz="4" w:space="0" w:color="4F81BD" w:themeColor="accent1"/>
            </w:tcBorders>
            <w:vAlign w:val="center"/>
            <w:hideMark/>
          </w:tcPr>
          <w:p w14:paraId="5DBEAE6F" w14:textId="77777777" w:rsidR="003540B0" w:rsidRPr="005045BF" w:rsidRDefault="003540B0" w:rsidP="00334DAE">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                   84.220.438 </w:t>
            </w:r>
          </w:p>
        </w:tc>
        <w:tc>
          <w:tcPr>
            <w:tcW w:w="0" w:type="auto"/>
            <w:tcBorders>
              <w:top w:val="double" w:sz="4" w:space="0" w:color="4F81BD" w:themeColor="accent1"/>
              <w:bottom w:val="double" w:sz="4" w:space="0" w:color="4F81BD" w:themeColor="accent1"/>
            </w:tcBorders>
            <w:noWrap/>
            <w:vAlign w:val="center"/>
            <w:hideMark/>
          </w:tcPr>
          <w:p w14:paraId="7736BD66" w14:textId="1A5299A3" w:rsidR="003540B0" w:rsidRPr="005045BF" w:rsidRDefault="003540B0" w:rsidP="00334DAE">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b/>
                <w:bCs/>
                <w:color w:val="000000"/>
                <w:sz w:val="20"/>
                <w:szCs w:val="20"/>
              </w:rPr>
              <w:t>(3.097.108</w:t>
            </w:r>
            <w:r w:rsidRPr="005045BF">
              <w:rPr>
                <w:rFonts w:ascii="Arial" w:hAnsi="Arial" w:cs="Arial"/>
                <w:color w:val="000000"/>
                <w:sz w:val="20"/>
                <w:szCs w:val="20"/>
              </w:rPr>
              <w:t>)</w:t>
            </w:r>
          </w:p>
        </w:tc>
      </w:tr>
    </w:tbl>
    <w:p w14:paraId="10BC2790" w14:textId="77777777" w:rsidR="00A92CFB" w:rsidRPr="005045BF" w:rsidRDefault="00A92CFB" w:rsidP="0016456B">
      <w:pPr>
        <w:jc w:val="both"/>
        <w:rPr>
          <w:rFonts w:ascii="Arial" w:hAnsi="Arial" w:cs="Arial"/>
          <w:sz w:val="22"/>
          <w:szCs w:val="22"/>
        </w:rPr>
      </w:pPr>
    </w:p>
    <w:p w14:paraId="5E992D39" w14:textId="2571905E" w:rsidR="000252CE" w:rsidRPr="005045BF" w:rsidRDefault="0016456B" w:rsidP="0016456B">
      <w:pPr>
        <w:jc w:val="both"/>
        <w:rPr>
          <w:rFonts w:ascii="Arial" w:hAnsi="Arial" w:cs="Arial"/>
          <w:sz w:val="22"/>
          <w:szCs w:val="22"/>
        </w:rPr>
      </w:pPr>
      <w:r w:rsidRPr="005045BF">
        <w:rPr>
          <w:rFonts w:ascii="Arial" w:hAnsi="Arial" w:cs="Arial"/>
          <w:sz w:val="22"/>
          <w:szCs w:val="22"/>
        </w:rPr>
        <w:t xml:space="preserve">Sobre el particular, el funcionario responsable del área de Talento Humano informó que la diferencia antes relacionada </w:t>
      </w:r>
      <w:r w:rsidR="00B7214E" w:rsidRPr="005045BF">
        <w:rPr>
          <w:rFonts w:ascii="Arial" w:hAnsi="Arial" w:cs="Arial"/>
          <w:sz w:val="22"/>
          <w:szCs w:val="22"/>
        </w:rPr>
        <w:t xml:space="preserve">para el mes de febrero de 2020 </w:t>
      </w:r>
      <w:r w:rsidRPr="005045BF">
        <w:rPr>
          <w:rFonts w:ascii="Arial" w:hAnsi="Arial" w:cs="Arial"/>
          <w:sz w:val="22"/>
          <w:szCs w:val="22"/>
        </w:rPr>
        <w:t>obedeció a horas extras</w:t>
      </w:r>
      <w:r w:rsidR="00B7214E" w:rsidRPr="005045BF">
        <w:rPr>
          <w:rFonts w:ascii="Arial" w:hAnsi="Arial" w:cs="Arial"/>
          <w:sz w:val="22"/>
          <w:szCs w:val="22"/>
        </w:rPr>
        <w:t xml:space="preserve"> liquidadas por valor de </w:t>
      </w:r>
      <w:r w:rsidR="00B7214E" w:rsidRPr="005045BF">
        <w:rPr>
          <w:rFonts w:ascii="Arial" w:hAnsi="Arial" w:cs="Arial"/>
          <w:color w:val="000000"/>
          <w:sz w:val="22"/>
          <w:szCs w:val="22"/>
        </w:rPr>
        <w:t xml:space="preserve">                             $ 3.028.687 </w:t>
      </w:r>
      <w:r w:rsidR="00B7214E" w:rsidRPr="005045BF">
        <w:rPr>
          <w:rFonts w:ascii="Arial" w:hAnsi="Arial" w:cs="Arial"/>
          <w:sz w:val="22"/>
          <w:szCs w:val="22"/>
        </w:rPr>
        <w:t xml:space="preserve">y el retroactivo de las mismas por valor de $ 68.420 </w:t>
      </w:r>
      <w:r w:rsidR="00C109D9" w:rsidRPr="005045BF">
        <w:rPr>
          <w:rFonts w:ascii="Arial" w:hAnsi="Arial" w:cs="Arial"/>
          <w:sz w:val="22"/>
          <w:szCs w:val="22"/>
        </w:rPr>
        <w:t xml:space="preserve">correspondientes </w:t>
      </w:r>
      <w:r w:rsidR="00891C6A" w:rsidRPr="005045BF">
        <w:rPr>
          <w:rFonts w:ascii="Arial" w:hAnsi="Arial" w:cs="Arial"/>
          <w:sz w:val="22"/>
          <w:szCs w:val="22"/>
        </w:rPr>
        <w:t>a</w:t>
      </w:r>
      <w:r w:rsidR="00B7214E" w:rsidRPr="005045BF">
        <w:rPr>
          <w:rFonts w:ascii="Arial" w:hAnsi="Arial" w:cs="Arial"/>
          <w:sz w:val="22"/>
          <w:szCs w:val="22"/>
        </w:rPr>
        <w:t xml:space="preserve">l </w:t>
      </w:r>
      <w:r w:rsidR="00891C6A" w:rsidRPr="005045BF">
        <w:rPr>
          <w:rFonts w:ascii="Arial" w:hAnsi="Arial" w:cs="Arial"/>
          <w:sz w:val="22"/>
          <w:szCs w:val="22"/>
        </w:rPr>
        <w:t>exfuncionario</w:t>
      </w:r>
      <w:r w:rsidR="00B7214E" w:rsidRPr="005045BF">
        <w:rPr>
          <w:rFonts w:ascii="Arial" w:hAnsi="Arial" w:cs="Arial"/>
          <w:sz w:val="22"/>
          <w:szCs w:val="22"/>
        </w:rPr>
        <w:t xml:space="preserve"> identificado con cédula de ciudadanía 11.203.824. </w:t>
      </w:r>
      <w:r w:rsidR="000252CE" w:rsidRPr="005045BF">
        <w:rPr>
          <w:rFonts w:ascii="ArialMT" w:hAnsi="ArialMT"/>
          <w:color w:val="000000"/>
          <w:sz w:val="22"/>
          <w:szCs w:val="22"/>
        </w:rPr>
        <w:t>Con base en la información allegada a esta Oficina por el área (liquidación laboral), se pudo constatar que el valor obligado en el SIIF es el resultado del total de horas extras liquidadas en el periodo teniendo en cuenta la aplicación de las novedades relacionadas con horas extras.</w:t>
      </w:r>
    </w:p>
    <w:p w14:paraId="33EA4CCB" w14:textId="77777777" w:rsidR="005F3ECB" w:rsidRPr="005045BF" w:rsidRDefault="005F3ECB" w:rsidP="00334DAE">
      <w:pPr>
        <w:spacing w:line="168" w:lineRule="auto"/>
        <w:jc w:val="both"/>
        <w:rPr>
          <w:rFonts w:ascii="Arial" w:hAnsi="Arial" w:cs="Arial"/>
          <w:sz w:val="22"/>
          <w:szCs w:val="22"/>
          <w:highlight w:val="yellow"/>
        </w:rPr>
      </w:pPr>
    </w:p>
    <w:p w14:paraId="09B89E04" w14:textId="0E4E1824" w:rsidR="00430385" w:rsidRPr="005045BF" w:rsidRDefault="00677AC3" w:rsidP="00960301">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Finalmente, se concluye que </w:t>
      </w:r>
      <w:r w:rsidR="003E000A" w:rsidRPr="005045BF">
        <w:rPr>
          <w:rFonts w:ascii="Arial" w:hAnsi="Arial" w:cs="Arial"/>
          <w:color w:val="000000" w:themeColor="text1"/>
          <w:sz w:val="22"/>
          <w:szCs w:val="22"/>
        </w:rPr>
        <w:t>la aplicación de los controles</w:t>
      </w:r>
      <w:r w:rsidR="00D01F3C" w:rsidRPr="005045BF">
        <w:rPr>
          <w:rFonts w:ascii="Arial" w:hAnsi="Arial" w:cs="Arial"/>
          <w:color w:val="000000" w:themeColor="text1"/>
          <w:sz w:val="22"/>
          <w:szCs w:val="22"/>
        </w:rPr>
        <w:t xml:space="preserve">, así como la situación exógena de   aislamiento preventivo en virtud de la </w:t>
      </w:r>
      <w:r w:rsidR="00D01F3C" w:rsidRPr="005045BF">
        <w:rPr>
          <w:rFonts w:ascii="Arial" w:hAnsi="Arial" w:cs="Arial"/>
          <w:color w:val="000000"/>
          <w:sz w:val="22"/>
          <w:szCs w:val="22"/>
          <w:bdr w:val="none" w:sz="0" w:space="0" w:color="auto" w:frame="1"/>
        </w:rPr>
        <w:t>Emergencia Económica, Social y Ecológica [Covid-19],</w:t>
      </w:r>
      <w:r w:rsidR="00D01F3C" w:rsidRPr="005045BF">
        <w:rPr>
          <w:rFonts w:ascii="Arial" w:hAnsi="Arial" w:cs="Arial"/>
          <w:color w:val="000000" w:themeColor="text1"/>
          <w:sz w:val="22"/>
          <w:szCs w:val="22"/>
        </w:rPr>
        <w:t xml:space="preserve"> </w:t>
      </w:r>
      <w:r w:rsidR="003E000A" w:rsidRPr="005045BF">
        <w:rPr>
          <w:rFonts w:ascii="Arial" w:hAnsi="Arial" w:cs="Arial"/>
          <w:color w:val="000000" w:themeColor="text1"/>
          <w:sz w:val="22"/>
          <w:szCs w:val="22"/>
        </w:rPr>
        <w:t>permitió</w:t>
      </w:r>
      <w:r w:rsidRPr="005045BF">
        <w:rPr>
          <w:rFonts w:ascii="Arial" w:hAnsi="Arial" w:cs="Arial"/>
          <w:color w:val="000000" w:themeColor="text1"/>
          <w:sz w:val="22"/>
          <w:szCs w:val="22"/>
        </w:rPr>
        <w:t xml:space="preserve"> que durant</w:t>
      </w:r>
      <w:r w:rsidR="00C67034" w:rsidRPr="005045BF">
        <w:rPr>
          <w:rFonts w:ascii="Arial" w:hAnsi="Arial" w:cs="Arial"/>
          <w:color w:val="000000" w:themeColor="text1"/>
          <w:sz w:val="22"/>
          <w:szCs w:val="22"/>
        </w:rPr>
        <w:t>e</w:t>
      </w:r>
      <w:r w:rsidR="00D01F3C" w:rsidRPr="005045BF">
        <w:rPr>
          <w:rFonts w:ascii="Arial" w:hAnsi="Arial" w:cs="Arial"/>
          <w:color w:val="000000" w:themeColor="text1"/>
          <w:sz w:val="22"/>
          <w:szCs w:val="22"/>
        </w:rPr>
        <w:t xml:space="preserve"> el primer trimestre de 2020 </w:t>
      </w:r>
      <w:r w:rsidR="00C67034" w:rsidRPr="005045BF">
        <w:rPr>
          <w:rFonts w:ascii="Arial" w:hAnsi="Arial" w:cs="Arial"/>
          <w:color w:val="000000" w:themeColor="text1"/>
          <w:sz w:val="22"/>
          <w:szCs w:val="22"/>
        </w:rPr>
        <w:t>se presentara</w:t>
      </w:r>
      <w:r w:rsidR="00D01F3C" w:rsidRPr="005045BF">
        <w:rPr>
          <w:rFonts w:ascii="Arial" w:hAnsi="Arial" w:cs="Arial"/>
          <w:color w:val="000000" w:themeColor="text1"/>
          <w:sz w:val="22"/>
          <w:szCs w:val="22"/>
        </w:rPr>
        <w:t xml:space="preserve"> una variación negativa en cuanto a la cantidad de </w:t>
      </w:r>
      <w:r w:rsidRPr="005045BF">
        <w:rPr>
          <w:rFonts w:ascii="Arial" w:hAnsi="Arial" w:cs="Arial"/>
          <w:color w:val="000000" w:themeColor="text1"/>
          <w:sz w:val="22"/>
          <w:szCs w:val="22"/>
        </w:rPr>
        <w:t>horas extras</w:t>
      </w:r>
      <w:r w:rsidR="00D01F3C" w:rsidRPr="005045BF">
        <w:rPr>
          <w:rFonts w:ascii="Arial" w:hAnsi="Arial" w:cs="Arial"/>
          <w:color w:val="000000" w:themeColor="text1"/>
          <w:sz w:val="22"/>
          <w:szCs w:val="22"/>
        </w:rPr>
        <w:t xml:space="preserve">, la cual representó una disminución del 7%. Frente al total del </w:t>
      </w:r>
      <w:r w:rsidR="000C3528" w:rsidRPr="005045BF">
        <w:rPr>
          <w:rFonts w:ascii="Arial" w:hAnsi="Arial" w:cs="Arial"/>
          <w:color w:val="000000" w:themeColor="text1"/>
          <w:sz w:val="22"/>
          <w:szCs w:val="22"/>
        </w:rPr>
        <w:t>ga</w:t>
      </w:r>
      <w:r w:rsidR="003E000A" w:rsidRPr="005045BF">
        <w:rPr>
          <w:rFonts w:ascii="Arial" w:hAnsi="Arial" w:cs="Arial"/>
          <w:color w:val="000000" w:themeColor="text1"/>
          <w:sz w:val="22"/>
          <w:szCs w:val="22"/>
        </w:rPr>
        <w:t>sto</w:t>
      </w:r>
      <w:r w:rsidR="00D01F3C" w:rsidRPr="005045BF">
        <w:rPr>
          <w:rFonts w:ascii="Arial" w:hAnsi="Arial" w:cs="Arial"/>
          <w:color w:val="000000" w:themeColor="text1"/>
          <w:sz w:val="22"/>
          <w:szCs w:val="22"/>
        </w:rPr>
        <w:t xml:space="preserve"> por el concepto analizado, se presentó una variación positiva equivalente a un incremento del </w:t>
      </w:r>
      <w:r w:rsidR="00603855" w:rsidRPr="005045BF">
        <w:rPr>
          <w:rFonts w:ascii="Arial" w:hAnsi="Arial" w:cs="Arial"/>
          <w:color w:val="000000" w:themeColor="text1"/>
          <w:sz w:val="22"/>
          <w:szCs w:val="22"/>
        </w:rPr>
        <w:t>3</w:t>
      </w:r>
      <w:r w:rsidR="00D01F3C" w:rsidRPr="005045BF">
        <w:rPr>
          <w:rFonts w:ascii="Arial" w:hAnsi="Arial" w:cs="Arial"/>
          <w:color w:val="000000" w:themeColor="text1"/>
          <w:sz w:val="22"/>
          <w:szCs w:val="22"/>
        </w:rPr>
        <w:t xml:space="preserve">%, deduciendo que en parte obedeció al </w:t>
      </w:r>
      <w:r w:rsidR="00D01F3C" w:rsidRPr="005045BF">
        <w:rPr>
          <w:rFonts w:ascii="Arial" w:hAnsi="Arial" w:cs="Arial"/>
          <w:sz w:val="22"/>
          <w:szCs w:val="22"/>
        </w:rPr>
        <w:t xml:space="preserve">incremento salarial para la vigencia 2020 </w:t>
      </w:r>
      <w:r w:rsidR="00D16CE5" w:rsidRPr="005045BF">
        <w:rPr>
          <w:rFonts w:ascii="Arial" w:hAnsi="Arial" w:cs="Arial"/>
          <w:sz w:val="22"/>
          <w:szCs w:val="22"/>
        </w:rPr>
        <w:t xml:space="preserve">el cual </w:t>
      </w:r>
      <w:r w:rsidR="00D01F3C" w:rsidRPr="005045BF">
        <w:rPr>
          <w:rFonts w:ascii="Arial" w:hAnsi="Arial" w:cs="Arial"/>
          <w:sz w:val="22"/>
          <w:szCs w:val="22"/>
        </w:rPr>
        <w:t>fue de 5,12% según lo establecido en el Decreto 304 de 2020</w:t>
      </w:r>
      <w:r w:rsidR="00652345" w:rsidRPr="005045BF">
        <w:rPr>
          <w:rFonts w:ascii="Arial" w:hAnsi="Arial" w:cs="Arial"/>
          <w:sz w:val="22"/>
          <w:szCs w:val="22"/>
        </w:rPr>
        <w:t xml:space="preserve">. </w:t>
      </w:r>
    </w:p>
    <w:p w14:paraId="14B4F799" w14:textId="59E5CDD5" w:rsidR="00677AC3" w:rsidRPr="005045BF" w:rsidRDefault="00677AC3" w:rsidP="00960301">
      <w:pPr>
        <w:jc w:val="both"/>
        <w:rPr>
          <w:rFonts w:ascii="Arial" w:hAnsi="Arial" w:cs="Arial"/>
          <w:color w:val="000000" w:themeColor="text1"/>
          <w:sz w:val="22"/>
          <w:szCs w:val="22"/>
        </w:rPr>
      </w:pPr>
    </w:p>
    <w:p w14:paraId="1050624B" w14:textId="77777777" w:rsidR="00846033" w:rsidRPr="005045BF" w:rsidRDefault="00846033" w:rsidP="0010145C">
      <w:pPr>
        <w:pStyle w:val="Prrafodelista"/>
        <w:spacing w:line="168" w:lineRule="auto"/>
        <w:ind w:left="0"/>
        <w:rPr>
          <w:rFonts w:ascii="Arial" w:hAnsi="Arial" w:cs="Arial"/>
          <w:color w:val="000000" w:themeColor="text1"/>
          <w:sz w:val="22"/>
          <w:szCs w:val="22"/>
        </w:rPr>
      </w:pPr>
    </w:p>
    <w:p w14:paraId="59652B61" w14:textId="3F4426C6" w:rsidR="004679A1" w:rsidRPr="005045BF" w:rsidRDefault="00E7227A" w:rsidP="00960301">
      <w:pPr>
        <w:tabs>
          <w:tab w:val="left" w:pos="709"/>
        </w:tabs>
        <w:rPr>
          <w:rFonts w:ascii="Arial" w:hAnsi="Arial" w:cs="Arial"/>
          <w:b/>
          <w:sz w:val="22"/>
          <w:szCs w:val="22"/>
        </w:rPr>
      </w:pPr>
      <w:r w:rsidRPr="005045BF">
        <w:rPr>
          <w:rFonts w:ascii="Arial" w:hAnsi="Arial" w:cs="Arial"/>
          <w:b/>
          <w:sz w:val="22"/>
          <w:szCs w:val="22"/>
        </w:rPr>
        <w:t>2.</w:t>
      </w:r>
      <w:r w:rsidR="007D0C9E" w:rsidRPr="005045BF">
        <w:rPr>
          <w:rFonts w:ascii="Arial" w:hAnsi="Arial" w:cs="Arial"/>
          <w:b/>
          <w:sz w:val="22"/>
          <w:szCs w:val="22"/>
        </w:rPr>
        <w:t>3</w:t>
      </w:r>
      <w:r w:rsidRPr="005045BF">
        <w:rPr>
          <w:rFonts w:ascii="Arial" w:hAnsi="Arial" w:cs="Arial"/>
          <w:b/>
          <w:sz w:val="22"/>
          <w:szCs w:val="22"/>
        </w:rPr>
        <w:t xml:space="preserve">. </w:t>
      </w:r>
      <w:r w:rsidR="001F6C8E" w:rsidRPr="005045BF">
        <w:rPr>
          <w:rFonts w:ascii="Arial" w:hAnsi="Arial" w:cs="Arial"/>
          <w:b/>
          <w:sz w:val="22"/>
          <w:szCs w:val="22"/>
        </w:rPr>
        <w:t>PRESTACIÓN DE SERVICIOS PROFESIONALES Y DE APOYO A LA GESTIÓN</w:t>
      </w:r>
    </w:p>
    <w:p w14:paraId="193E16C3" w14:textId="77777777" w:rsidR="001F6C8E" w:rsidRPr="005045BF" w:rsidRDefault="001F6C8E" w:rsidP="00A92CFB">
      <w:pPr>
        <w:pStyle w:val="Prrafodelista"/>
        <w:widowControl w:val="0"/>
        <w:tabs>
          <w:tab w:val="left" w:pos="709"/>
        </w:tabs>
        <w:spacing w:line="168" w:lineRule="auto"/>
        <w:ind w:left="357"/>
        <w:contextualSpacing w:val="0"/>
        <w:jc w:val="left"/>
        <w:rPr>
          <w:rFonts w:ascii="Arial" w:hAnsi="Arial" w:cs="Arial"/>
          <w:b/>
        </w:rPr>
      </w:pPr>
    </w:p>
    <w:p w14:paraId="7DFBE73D" w14:textId="77777777" w:rsidR="005A0962" w:rsidRPr="005045BF" w:rsidRDefault="00DD029E" w:rsidP="00A92CFB">
      <w:pPr>
        <w:widowControl w:val="0"/>
        <w:jc w:val="both"/>
        <w:rPr>
          <w:rFonts w:ascii="Arial" w:hAnsi="Arial" w:cs="Arial"/>
          <w:sz w:val="22"/>
          <w:szCs w:val="22"/>
        </w:rPr>
      </w:pPr>
      <w:r w:rsidRPr="005045BF">
        <w:rPr>
          <w:rFonts w:ascii="Arial" w:hAnsi="Arial" w:cs="Arial"/>
          <w:sz w:val="22"/>
          <w:szCs w:val="22"/>
        </w:rPr>
        <w:t xml:space="preserve">La Directiva Presidencial 09 de 2018, en el numeral 1 [subnumeral 1.5 - Literal A], </w:t>
      </w:r>
      <w:r w:rsidR="004A462A" w:rsidRPr="005045BF">
        <w:rPr>
          <w:rFonts w:ascii="Arial" w:hAnsi="Arial" w:cs="Arial"/>
          <w:sz w:val="22"/>
          <w:szCs w:val="22"/>
        </w:rPr>
        <w:t>señaló</w:t>
      </w:r>
      <w:r w:rsidR="003A2A42" w:rsidRPr="005045BF">
        <w:rPr>
          <w:rFonts w:ascii="Arial" w:hAnsi="Arial" w:cs="Arial"/>
          <w:sz w:val="22"/>
          <w:szCs w:val="22"/>
        </w:rPr>
        <w:t xml:space="preserve"> lo siguiente: «</w:t>
      </w:r>
      <w:r w:rsidRPr="005045BF">
        <w:rPr>
          <w:rFonts w:ascii="Arial" w:hAnsi="Arial" w:cs="Arial"/>
          <w:color w:val="000000"/>
          <w:sz w:val="22"/>
          <w:szCs w:val="22"/>
        </w:rPr>
        <w:t xml:space="preserve">Deberá realizarse, en todas las entidades de la rama ejecutiva del orden nacional, una revisión previa y rigurosa de las razones que justifiquen la contratación de personal para la prestación de servicios profesionales y de apoyo a la gestión. Solo se celebrarán aquellos contratos que sean estrictamente necesarios para coadyuvar el cumplimiento de las funciones y fines de cada entidad, en concordancia con lo previsto en el artículo 2.8.4.4.5. y siguientes del Decreto 1068 de 2015 </w:t>
      </w:r>
      <w:r w:rsidRPr="005045BF">
        <w:rPr>
          <w:rFonts w:ascii="Arial" w:hAnsi="Arial" w:cs="Arial"/>
          <w:i/>
          <w:iCs/>
          <w:color w:val="000000"/>
          <w:sz w:val="22"/>
          <w:szCs w:val="22"/>
        </w:rPr>
        <w:t xml:space="preserve">Por medio del cual </w:t>
      </w:r>
      <w:r w:rsidRPr="005045BF">
        <w:rPr>
          <w:rFonts w:ascii="Arial" w:hAnsi="Arial" w:cs="Arial"/>
          <w:color w:val="000000"/>
          <w:sz w:val="22"/>
          <w:szCs w:val="22"/>
        </w:rPr>
        <w:t xml:space="preserve">se </w:t>
      </w:r>
      <w:r w:rsidRPr="005045BF">
        <w:rPr>
          <w:rFonts w:ascii="Arial" w:hAnsi="Arial" w:cs="Arial"/>
          <w:i/>
          <w:iCs/>
          <w:color w:val="000000"/>
          <w:sz w:val="22"/>
          <w:szCs w:val="22"/>
        </w:rPr>
        <w:t xml:space="preserve">expide el Decreto Único Reglamentario del Sector Hacienda </w:t>
      </w:r>
      <w:r w:rsidRPr="005045BF">
        <w:rPr>
          <w:rFonts w:ascii="Arial" w:hAnsi="Arial" w:cs="Arial"/>
          <w:color w:val="000000"/>
          <w:sz w:val="22"/>
          <w:szCs w:val="22"/>
        </w:rPr>
        <w:t xml:space="preserve">y </w:t>
      </w:r>
      <w:r w:rsidRPr="005045BF">
        <w:rPr>
          <w:rFonts w:ascii="Arial" w:hAnsi="Arial" w:cs="Arial"/>
          <w:i/>
          <w:iCs/>
          <w:color w:val="000000"/>
          <w:sz w:val="22"/>
          <w:szCs w:val="22"/>
        </w:rPr>
        <w:t xml:space="preserve">Crédito Público». </w:t>
      </w:r>
    </w:p>
    <w:p w14:paraId="43E31C66" w14:textId="77777777" w:rsidR="00DD029E" w:rsidRPr="005045BF" w:rsidRDefault="00DD029E" w:rsidP="00A92CFB">
      <w:pPr>
        <w:pStyle w:val="Prrafodelista"/>
        <w:widowControl w:val="0"/>
        <w:tabs>
          <w:tab w:val="left" w:pos="709"/>
        </w:tabs>
        <w:spacing w:line="168" w:lineRule="auto"/>
        <w:ind w:left="357"/>
        <w:contextualSpacing w:val="0"/>
        <w:jc w:val="left"/>
        <w:rPr>
          <w:rFonts w:ascii="Arial" w:hAnsi="Arial" w:cs="Arial"/>
          <w:sz w:val="22"/>
          <w:szCs w:val="22"/>
        </w:rPr>
      </w:pPr>
    </w:p>
    <w:p w14:paraId="0DF68B1F" w14:textId="77777777" w:rsidR="00334DAE" w:rsidRDefault="003A2A42" w:rsidP="00A92CFB">
      <w:pPr>
        <w:widowControl w:val="0"/>
        <w:jc w:val="both"/>
        <w:rPr>
          <w:rFonts w:ascii="Arial" w:hAnsi="Arial" w:cs="Arial"/>
          <w:sz w:val="22"/>
          <w:szCs w:val="22"/>
        </w:rPr>
      </w:pPr>
      <w:r w:rsidRPr="005045BF">
        <w:rPr>
          <w:rFonts w:ascii="Arial" w:hAnsi="Arial" w:cs="Arial"/>
          <w:sz w:val="22"/>
          <w:szCs w:val="22"/>
        </w:rPr>
        <w:t xml:space="preserve">Por lo anterior, </w:t>
      </w:r>
      <w:r w:rsidR="0055353E" w:rsidRPr="005045BF">
        <w:rPr>
          <w:rFonts w:ascii="Arial" w:hAnsi="Arial" w:cs="Arial"/>
          <w:sz w:val="22"/>
          <w:szCs w:val="22"/>
        </w:rPr>
        <w:t xml:space="preserve">en este ítem </w:t>
      </w:r>
      <w:r w:rsidR="00573F50" w:rsidRPr="005045BF">
        <w:rPr>
          <w:rFonts w:ascii="Arial" w:hAnsi="Arial" w:cs="Arial"/>
          <w:sz w:val="22"/>
          <w:szCs w:val="22"/>
        </w:rPr>
        <w:t>se analizó</w:t>
      </w:r>
      <w:r w:rsidR="0055353E" w:rsidRPr="005045BF">
        <w:rPr>
          <w:rFonts w:ascii="Arial" w:hAnsi="Arial" w:cs="Arial"/>
          <w:sz w:val="22"/>
          <w:szCs w:val="22"/>
        </w:rPr>
        <w:t xml:space="preserve"> la contratación realizada </w:t>
      </w:r>
      <w:r w:rsidRPr="005045BF">
        <w:rPr>
          <w:rFonts w:ascii="Arial" w:hAnsi="Arial" w:cs="Arial"/>
          <w:sz w:val="22"/>
          <w:szCs w:val="22"/>
        </w:rPr>
        <w:t xml:space="preserve">por este Ministerio relacionada con </w:t>
      </w:r>
      <w:r w:rsidR="00D71C89" w:rsidRPr="005045BF">
        <w:rPr>
          <w:rFonts w:ascii="Arial" w:hAnsi="Arial" w:cs="Arial"/>
          <w:sz w:val="22"/>
          <w:szCs w:val="22"/>
        </w:rPr>
        <w:t>la prestación de servicios profes</w:t>
      </w:r>
      <w:r w:rsidRPr="005045BF">
        <w:rPr>
          <w:rFonts w:ascii="Arial" w:hAnsi="Arial" w:cs="Arial"/>
          <w:sz w:val="22"/>
          <w:szCs w:val="22"/>
        </w:rPr>
        <w:t>ionales y de apoyo a la gestión</w:t>
      </w:r>
      <w:r w:rsidR="00573F50" w:rsidRPr="005045BF">
        <w:rPr>
          <w:rFonts w:ascii="Arial" w:hAnsi="Arial" w:cs="Arial"/>
          <w:sz w:val="22"/>
          <w:szCs w:val="22"/>
        </w:rPr>
        <w:t>. S</w:t>
      </w:r>
      <w:r w:rsidRPr="005045BF">
        <w:rPr>
          <w:rFonts w:ascii="Arial" w:hAnsi="Arial" w:cs="Arial"/>
          <w:sz w:val="22"/>
          <w:szCs w:val="22"/>
        </w:rPr>
        <w:t xml:space="preserve">egún el nuevo Catálogo de Clasificación Presupuestal – CCP, </w:t>
      </w:r>
      <w:r w:rsidR="000E0804" w:rsidRPr="005045BF">
        <w:rPr>
          <w:rFonts w:ascii="Arial" w:hAnsi="Arial" w:cs="Arial"/>
          <w:sz w:val="22"/>
          <w:szCs w:val="22"/>
        </w:rPr>
        <w:t>dichas contrataciones se registrarán</w:t>
      </w:r>
      <w:r w:rsidR="006C5403" w:rsidRPr="005045BF">
        <w:rPr>
          <w:rFonts w:ascii="Arial" w:hAnsi="Arial" w:cs="Arial"/>
          <w:sz w:val="22"/>
          <w:szCs w:val="22"/>
        </w:rPr>
        <w:t xml:space="preserve"> en </w:t>
      </w:r>
      <w:r w:rsidR="007B0FA4" w:rsidRPr="005045BF">
        <w:rPr>
          <w:rFonts w:ascii="Arial" w:hAnsi="Arial" w:cs="Arial"/>
          <w:sz w:val="22"/>
          <w:szCs w:val="22"/>
        </w:rPr>
        <w:t>el rubro</w:t>
      </w:r>
      <w:r w:rsidR="00221FEF" w:rsidRPr="005045BF">
        <w:rPr>
          <w:rFonts w:ascii="Arial" w:hAnsi="Arial" w:cs="Arial"/>
          <w:sz w:val="22"/>
          <w:szCs w:val="22"/>
        </w:rPr>
        <w:t xml:space="preserve"> presupuestal A</w:t>
      </w:r>
      <w:r w:rsidR="000845DC" w:rsidRPr="005045BF">
        <w:rPr>
          <w:rFonts w:ascii="Arial" w:hAnsi="Arial" w:cs="Arial"/>
          <w:sz w:val="22"/>
          <w:szCs w:val="22"/>
        </w:rPr>
        <w:t>-</w:t>
      </w:r>
      <w:r w:rsidR="006C5403" w:rsidRPr="005045BF">
        <w:rPr>
          <w:rFonts w:ascii="Arial" w:hAnsi="Arial" w:cs="Arial"/>
          <w:sz w:val="22"/>
          <w:szCs w:val="22"/>
        </w:rPr>
        <w:t xml:space="preserve">02-02-02-008 Servicios Prestados a las Empresas y Servicios de Producción. </w:t>
      </w:r>
      <w:bookmarkStart w:id="0" w:name="_Hlk45718891"/>
    </w:p>
    <w:p w14:paraId="35DA66C3" w14:textId="77777777" w:rsidR="00334DAE" w:rsidRDefault="00334DAE" w:rsidP="00A92CFB">
      <w:pPr>
        <w:widowControl w:val="0"/>
        <w:jc w:val="both"/>
        <w:rPr>
          <w:rFonts w:ascii="Arial" w:hAnsi="Arial" w:cs="Arial"/>
          <w:sz w:val="22"/>
          <w:szCs w:val="22"/>
        </w:rPr>
      </w:pPr>
    </w:p>
    <w:p w14:paraId="7AC55E07" w14:textId="4643E5F9" w:rsidR="00056C0F" w:rsidRPr="00E44738" w:rsidRDefault="005A4E9D" w:rsidP="00A92CFB">
      <w:pPr>
        <w:widowControl w:val="0"/>
        <w:jc w:val="both"/>
        <w:rPr>
          <w:rFonts w:ascii="Arial" w:hAnsi="Arial" w:cs="Arial"/>
          <w:color w:val="000000" w:themeColor="text1"/>
          <w:sz w:val="22"/>
          <w:szCs w:val="22"/>
        </w:rPr>
      </w:pPr>
      <w:r w:rsidRPr="00E44738">
        <w:rPr>
          <w:rFonts w:ascii="Arial" w:hAnsi="Arial" w:cs="Arial"/>
          <w:color w:val="000000" w:themeColor="text1"/>
          <w:sz w:val="22"/>
          <w:szCs w:val="22"/>
        </w:rPr>
        <w:lastRenderedPageBreak/>
        <w:t xml:space="preserve">Es importante mencionar que, para el presente análisis se incluyeron las contrataciones efectuadas con las siguientes personas jurídicas: KRESTON RM S.A y LITIGAR PUNTO COM S.A, toda vez que, según el objeto de los respectivos contratos corresponden al desarrollo de actividades de apoyo a la gestión propia de este Ministerio. </w:t>
      </w:r>
    </w:p>
    <w:bookmarkEnd w:id="0"/>
    <w:p w14:paraId="731C231F" w14:textId="77777777" w:rsidR="005B3A07" w:rsidRPr="00E44738" w:rsidRDefault="005B3A07" w:rsidP="00A92CFB">
      <w:pPr>
        <w:pStyle w:val="Prrafodelista"/>
        <w:widowControl w:val="0"/>
        <w:tabs>
          <w:tab w:val="left" w:pos="709"/>
        </w:tabs>
        <w:spacing w:line="168" w:lineRule="auto"/>
        <w:ind w:left="357"/>
        <w:contextualSpacing w:val="0"/>
        <w:jc w:val="left"/>
        <w:rPr>
          <w:rFonts w:ascii="Arial" w:hAnsi="Arial" w:cs="Arial"/>
          <w:color w:val="000000" w:themeColor="text1"/>
          <w:sz w:val="22"/>
          <w:szCs w:val="22"/>
        </w:rPr>
      </w:pPr>
    </w:p>
    <w:p w14:paraId="3F691D97" w14:textId="6CA2C7D6" w:rsidR="000C36A0" w:rsidRPr="00E44738" w:rsidRDefault="006C5403" w:rsidP="00A92CFB">
      <w:pPr>
        <w:widowControl w:val="0"/>
        <w:jc w:val="both"/>
        <w:rPr>
          <w:rFonts w:ascii="Arial" w:hAnsi="Arial" w:cs="Arial"/>
          <w:color w:val="000000" w:themeColor="text1"/>
          <w:sz w:val="22"/>
          <w:szCs w:val="22"/>
        </w:rPr>
      </w:pPr>
      <w:r w:rsidRPr="00E44738">
        <w:rPr>
          <w:rFonts w:ascii="Arial" w:hAnsi="Arial" w:cs="Arial"/>
          <w:color w:val="000000" w:themeColor="text1"/>
          <w:sz w:val="22"/>
          <w:szCs w:val="22"/>
        </w:rPr>
        <w:t>C</w:t>
      </w:r>
      <w:r w:rsidR="00937E36" w:rsidRPr="00E44738">
        <w:rPr>
          <w:rFonts w:ascii="Arial" w:hAnsi="Arial" w:cs="Arial"/>
          <w:color w:val="000000" w:themeColor="text1"/>
          <w:sz w:val="22"/>
          <w:szCs w:val="22"/>
        </w:rPr>
        <w:t>on</w:t>
      </w:r>
      <w:r w:rsidR="00376710" w:rsidRPr="00E44738">
        <w:rPr>
          <w:rFonts w:ascii="Arial" w:hAnsi="Arial" w:cs="Arial"/>
          <w:color w:val="000000" w:themeColor="text1"/>
          <w:sz w:val="22"/>
          <w:szCs w:val="22"/>
        </w:rPr>
        <w:t xml:space="preserve"> base en la información entregada por el Grupo de </w:t>
      </w:r>
      <w:r w:rsidR="004B176F" w:rsidRPr="00E44738">
        <w:rPr>
          <w:rFonts w:ascii="Arial" w:hAnsi="Arial" w:cs="Arial"/>
          <w:color w:val="000000" w:themeColor="text1"/>
          <w:sz w:val="22"/>
          <w:szCs w:val="22"/>
        </w:rPr>
        <w:t xml:space="preserve">Contratación Directa </w:t>
      </w:r>
      <w:r w:rsidR="00376710" w:rsidRPr="00E44738">
        <w:rPr>
          <w:rFonts w:ascii="Arial" w:hAnsi="Arial" w:cs="Arial"/>
          <w:color w:val="000000" w:themeColor="text1"/>
          <w:sz w:val="22"/>
          <w:szCs w:val="22"/>
        </w:rPr>
        <w:t xml:space="preserve">de la Dirección Administrativa, con </w:t>
      </w:r>
      <w:r w:rsidR="00937E36" w:rsidRPr="00E44738">
        <w:rPr>
          <w:rFonts w:ascii="Arial" w:hAnsi="Arial" w:cs="Arial"/>
          <w:color w:val="000000" w:themeColor="text1"/>
          <w:sz w:val="22"/>
          <w:szCs w:val="22"/>
        </w:rPr>
        <w:t>corte a 3</w:t>
      </w:r>
      <w:r w:rsidR="0059534B" w:rsidRPr="00E44738">
        <w:rPr>
          <w:rFonts w:ascii="Arial" w:hAnsi="Arial" w:cs="Arial"/>
          <w:color w:val="000000" w:themeColor="text1"/>
          <w:sz w:val="22"/>
          <w:szCs w:val="22"/>
        </w:rPr>
        <w:t>1</w:t>
      </w:r>
      <w:r w:rsidR="000E0804" w:rsidRPr="00E44738">
        <w:rPr>
          <w:rFonts w:ascii="Arial" w:hAnsi="Arial" w:cs="Arial"/>
          <w:color w:val="000000" w:themeColor="text1"/>
          <w:sz w:val="22"/>
          <w:szCs w:val="22"/>
        </w:rPr>
        <w:t xml:space="preserve"> de </w:t>
      </w:r>
      <w:r w:rsidR="00D57461" w:rsidRPr="00E44738">
        <w:rPr>
          <w:rFonts w:ascii="Arial" w:hAnsi="Arial" w:cs="Arial"/>
          <w:color w:val="000000" w:themeColor="text1"/>
          <w:sz w:val="22"/>
          <w:szCs w:val="22"/>
        </w:rPr>
        <w:t xml:space="preserve">marzo </w:t>
      </w:r>
      <w:r w:rsidR="00937E36" w:rsidRPr="00E44738">
        <w:rPr>
          <w:rFonts w:ascii="Arial" w:hAnsi="Arial" w:cs="Arial"/>
          <w:color w:val="000000" w:themeColor="text1"/>
          <w:sz w:val="22"/>
          <w:szCs w:val="22"/>
        </w:rPr>
        <w:t xml:space="preserve">de </w:t>
      </w:r>
      <w:r w:rsidR="004177C2" w:rsidRPr="00E44738">
        <w:rPr>
          <w:rFonts w:ascii="Arial" w:hAnsi="Arial" w:cs="Arial"/>
          <w:color w:val="000000" w:themeColor="text1"/>
          <w:sz w:val="22"/>
          <w:szCs w:val="22"/>
        </w:rPr>
        <w:t>20</w:t>
      </w:r>
      <w:r w:rsidR="00D57461" w:rsidRPr="00E44738">
        <w:rPr>
          <w:rFonts w:ascii="Arial" w:hAnsi="Arial" w:cs="Arial"/>
          <w:color w:val="000000" w:themeColor="text1"/>
          <w:sz w:val="22"/>
          <w:szCs w:val="22"/>
        </w:rPr>
        <w:t>20</w:t>
      </w:r>
      <w:r w:rsidR="00B246DF" w:rsidRPr="00E44738">
        <w:rPr>
          <w:rFonts w:ascii="Arial" w:hAnsi="Arial" w:cs="Arial"/>
          <w:color w:val="000000" w:themeColor="text1"/>
          <w:sz w:val="22"/>
          <w:szCs w:val="22"/>
        </w:rPr>
        <w:t xml:space="preserve"> (inclusive)</w:t>
      </w:r>
      <w:r w:rsidR="004177C2" w:rsidRPr="00E44738">
        <w:rPr>
          <w:rFonts w:ascii="Arial" w:hAnsi="Arial" w:cs="Arial"/>
          <w:color w:val="000000" w:themeColor="text1"/>
          <w:sz w:val="22"/>
          <w:szCs w:val="22"/>
        </w:rPr>
        <w:t>, se encontraban</w:t>
      </w:r>
      <w:r w:rsidR="00937E36" w:rsidRPr="00E44738">
        <w:rPr>
          <w:rFonts w:ascii="Arial" w:hAnsi="Arial" w:cs="Arial"/>
          <w:color w:val="000000" w:themeColor="text1"/>
          <w:sz w:val="22"/>
          <w:szCs w:val="22"/>
        </w:rPr>
        <w:t xml:space="preserve"> vigentes </w:t>
      </w:r>
      <w:r w:rsidR="00106DAE" w:rsidRPr="00E44738">
        <w:rPr>
          <w:rFonts w:ascii="Arial" w:hAnsi="Arial" w:cs="Arial"/>
          <w:color w:val="000000" w:themeColor="text1"/>
          <w:sz w:val="22"/>
          <w:szCs w:val="22"/>
        </w:rPr>
        <w:t>8</w:t>
      </w:r>
      <w:r w:rsidR="00D57461" w:rsidRPr="00E44738">
        <w:rPr>
          <w:rFonts w:ascii="Arial" w:hAnsi="Arial" w:cs="Arial"/>
          <w:color w:val="000000" w:themeColor="text1"/>
          <w:sz w:val="22"/>
          <w:szCs w:val="22"/>
        </w:rPr>
        <w:t>7</w:t>
      </w:r>
      <w:r w:rsidR="00937E36" w:rsidRPr="00E44738">
        <w:rPr>
          <w:rFonts w:ascii="Arial" w:hAnsi="Arial" w:cs="Arial"/>
          <w:color w:val="000000" w:themeColor="text1"/>
          <w:sz w:val="22"/>
          <w:szCs w:val="22"/>
        </w:rPr>
        <w:t xml:space="preserve"> contratos </w:t>
      </w:r>
      <w:r w:rsidR="004177C2" w:rsidRPr="00E44738">
        <w:rPr>
          <w:rFonts w:ascii="Arial" w:hAnsi="Arial" w:cs="Arial"/>
          <w:color w:val="000000" w:themeColor="text1"/>
          <w:sz w:val="22"/>
          <w:szCs w:val="22"/>
        </w:rPr>
        <w:t xml:space="preserve">de </w:t>
      </w:r>
      <w:r w:rsidR="00846033" w:rsidRPr="00E44738">
        <w:rPr>
          <w:rFonts w:ascii="Arial" w:hAnsi="Arial" w:cs="Arial"/>
          <w:color w:val="000000" w:themeColor="text1"/>
          <w:sz w:val="22"/>
          <w:szCs w:val="22"/>
        </w:rPr>
        <w:t xml:space="preserve">prestación de </w:t>
      </w:r>
      <w:r w:rsidR="004177C2" w:rsidRPr="00E44738">
        <w:rPr>
          <w:rFonts w:ascii="Arial" w:hAnsi="Arial" w:cs="Arial"/>
          <w:color w:val="000000" w:themeColor="text1"/>
          <w:sz w:val="22"/>
          <w:szCs w:val="22"/>
        </w:rPr>
        <w:t xml:space="preserve">servicios </w:t>
      </w:r>
      <w:r w:rsidR="00937E36" w:rsidRPr="00E44738">
        <w:rPr>
          <w:rFonts w:ascii="Arial" w:hAnsi="Arial" w:cs="Arial"/>
          <w:color w:val="000000" w:themeColor="text1"/>
          <w:sz w:val="22"/>
          <w:szCs w:val="22"/>
        </w:rPr>
        <w:t>distribuidos en las siguientes dependencias d</w:t>
      </w:r>
      <w:r w:rsidR="0069289D" w:rsidRPr="00E44738">
        <w:rPr>
          <w:rFonts w:ascii="Arial" w:hAnsi="Arial" w:cs="Arial"/>
          <w:color w:val="000000" w:themeColor="text1"/>
          <w:sz w:val="22"/>
          <w:szCs w:val="22"/>
        </w:rPr>
        <w:t>e este Ministerio:</w:t>
      </w:r>
    </w:p>
    <w:p w14:paraId="42B67EAC" w14:textId="77777777" w:rsidR="003E748F" w:rsidRPr="005045BF" w:rsidRDefault="003E748F" w:rsidP="008B6A50">
      <w:pPr>
        <w:jc w:val="both"/>
        <w:rPr>
          <w:rFonts w:ascii="Arial" w:hAnsi="Arial" w:cs="Arial"/>
          <w:sz w:val="22"/>
          <w:szCs w:val="22"/>
        </w:rPr>
      </w:pPr>
    </w:p>
    <w:p w14:paraId="3D68DF7C" w14:textId="72B76D25" w:rsidR="000C36A0" w:rsidRPr="005045BF" w:rsidRDefault="000C36A0" w:rsidP="008B6A50">
      <w:pPr>
        <w:jc w:val="both"/>
        <w:rPr>
          <w:rFonts w:ascii="Arial" w:hAnsi="Arial" w:cs="Arial"/>
          <w:sz w:val="22"/>
          <w:szCs w:val="22"/>
        </w:rPr>
      </w:pPr>
    </w:p>
    <w:tbl>
      <w:tblPr>
        <w:tblStyle w:val="Tablaconcuadrcula1clara-nfasis1"/>
        <w:tblW w:w="0" w:type="auto"/>
        <w:tblLook w:val="04A0" w:firstRow="1" w:lastRow="0" w:firstColumn="1" w:lastColumn="0" w:noHBand="0" w:noVBand="1"/>
      </w:tblPr>
      <w:tblGrid>
        <w:gridCol w:w="1980"/>
        <w:gridCol w:w="1161"/>
      </w:tblGrid>
      <w:tr w:rsidR="000C36A0" w:rsidRPr="005045BF" w14:paraId="0CC3E471" w14:textId="77777777" w:rsidTr="00A92CFB">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980" w:type="dxa"/>
            <w:shd w:val="clear" w:color="auto" w:fill="4F81BD" w:themeFill="accent1"/>
            <w:vAlign w:val="center"/>
            <w:hideMark/>
          </w:tcPr>
          <w:p w14:paraId="2027DAF8" w14:textId="77777777" w:rsidR="000C36A0" w:rsidRPr="005045BF" w:rsidRDefault="000C36A0" w:rsidP="000C36A0">
            <w:pPr>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Dependencias - Según Estudios Previos </w:t>
            </w:r>
          </w:p>
        </w:tc>
        <w:tc>
          <w:tcPr>
            <w:tcW w:w="754" w:type="dxa"/>
            <w:shd w:val="clear" w:color="auto" w:fill="4F81BD" w:themeFill="accent1"/>
            <w:vAlign w:val="center"/>
            <w:hideMark/>
          </w:tcPr>
          <w:p w14:paraId="34081E55" w14:textId="77777777" w:rsidR="000C36A0" w:rsidRPr="005045BF" w:rsidRDefault="000C36A0" w:rsidP="000C36A0">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Cantidad de Contratos</w:t>
            </w:r>
          </w:p>
        </w:tc>
      </w:tr>
      <w:tr w:rsidR="000C36A0" w:rsidRPr="005045BF" w14:paraId="125BDA27"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521F6CC9"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SJ</w:t>
            </w:r>
          </w:p>
        </w:tc>
        <w:tc>
          <w:tcPr>
            <w:tcW w:w="754" w:type="dxa"/>
            <w:vAlign w:val="center"/>
            <w:hideMark/>
          </w:tcPr>
          <w:p w14:paraId="1A9D3B88"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26</w:t>
            </w:r>
          </w:p>
        </w:tc>
      </w:tr>
      <w:tr w:rsidR="000C36A0" w:rsidRPr="005045BF" w14:paraId="47C4BE9E"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8CCB759"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SART</w:t>
            </w:r>
          </w:p>
        </w:tc>
        <w:tc>
          <w:tcPr>
            <w:tcW w:w="754" w:type="dxa"/>
            <w:vAlign w:val="center"/>
            <w:hideMark/>
          </w:tcPr>
          <w:p w14:paraId="10A2BF7B"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w:t>
            </w:r>
          </w:p>
        </w:tc>
      </w:tr>
      <w:tr w:rsidR="000C36A0" w:rsidRPr="005045BF" w14:paraId="2D51938D"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1D19062"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DGPPN</w:t>
            </w:r>
          </w:p>
        </w:tc>
        <w:tc>
          <w:tcPr>
            <w:tcW w:w="754" w:type="dxa"/>
            <w:vAlign w:val="center"/>
            <w:hideMark/>
          </w:tcPr>
          <w:p w14:paraId="3F9CE967"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w:t>
            </w:r>
          </w:p>
        </w:tc>
      </w:tr>
      <w:tr w:rsidR="000C36A0" w:rsidRPr="005045BF" w14:paraId="70123AE8"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2D9661FD"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SIS</w:t>
            </w:r>
          </w:p>
        </w:tc>
        <w:tc>
          <w:tcPr>
            <w:tcW w:w="754" w:type="dxa"/>
            <w:vAlign w:val="center"/>
            <w:hideMark/>
          </w:tcPr>
          <w:p w14:paraId="7D39F19C"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8</w:t>
            </w:r>
          </w:p>
        </w:tc>
      </w:tr>
      <w:tr w:rsidR="000C36A0" w:rsidRPr="005045BF" w14:paraId="0BA27E38"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66ADBA8"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DM</w:t>
            </w:r>
          </w:p>
        </w:tc>
        <w:tc>
          <w:tcPr>
            <w:tcW w:w="754" w:type="dxa"/>
            <w:vAlign w:val="center"/>
            <w:hideMark/>
          </w:tcPr>
          <w:p w14:paraId="4C797BCB"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7</w:t>
            </w:r>
          </w:p>
        </w:tc>
      </w:tr>
      <w:tr w:rsidR="000C36A0" w:rsidRPr="005045BF" w14:paraId="1107BF7F"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73D0EEE6"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OBP</w:t>
            </w:r>
          </w:p>
        </w:tc>
        <w:tc>
          <w:tcPr>
            <w:tcW w:w="754" w:type="dxa"/>
            <w:vAlign w:val="center"/>
            <w:hideMark/>
          </w:tcPr>
          <w:p w14:paraId="3169F57A"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w:t>
            </w:r>
          </w:p>
        </w:tc>
      </w:tr>
      <w:tr w:rsidR="000C36A0" w:rsidRPr="005045BF" w14:paraId="1AEDFE79"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noWrap/>
            <w:vAlign w:val="center"/>
            <w:hideMark/>
          </w:tcPr>
          <w:p w14:paraId="714A23B4" w14:textId="77777777" w:rsidR="000C36A0" w:rsidRPr="005045BF" w:rsidRDefault="000C36A0" w:rsidP="000C36A0">
            <w:pPr>
              <w:rPr>
                <w:rFonts w:ascii="Arial Narrow" w:hAnsi="Arial Narrow" w:cs="Calibri"/>
                <w:b w:val="0"/>
                <w:bCs w:val="0"/>
                <w:color w:val="0F243E" w:themeColor="text2" w:themeShade="80"/>
                <w:sz w:val="20"/>
                <w:szCs w:val="20"/>
              </w:rPr>
            </w:pPr>
            <w:r w:rsidRPr="005045BF">
              <w:rPr>
                <w:rFonts w:ascii="Arial Narrow" w:hAnsi="Arial Narrow" w:cs="Calibri"/>
                <w:b w:val="0"/>
                <w:bCs w:val="0"/>
                <w:color w:val="0F243E" w:themeColor="text2" w:themeShade="80"/>
                <w:sz w:val="20"/>
                <w:szCs w:val="20"/>
              </w:rPr>
              <w:t>DGPE</w:t>
            </w:r>
          </w:p>
        </w:tc>
        <w:tc>
          <w:tcPr>
            <w:tcW w:w="754" w:type="dxa"/>
            <w:vAlign w:val="center"/>
            <w:hideMark/>
          </w:tcPr>
          <w:p w14:paraId="4448B5EA"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025E09BA"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7482EB1"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SIIF</w:t>
            </w:r>
          </w:p>
        </w:tc>
        <w:tc>
          <w:tcPr>
            <w:tcW w:w="754" w:type="dxa"/>
            <w:vAlign w:val="center"/>
            <w:hideMark/>
          </w:tcPr>
          <w:p w14:paraId="673401C2"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0B53252F"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CA7CDDA"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OCDI</w:t>
            </w:r>
          </w:p>
        </w:tc>
        <w:tc>
          <w:tcPr>
            <w:tcW w:w="754" w:type="dxa"/>
            <w:vAlign w:val="center"/>
            <w:hideMark/>
          </w:tcPr>
          <w:p w14:paraId="7C91279E"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12B6E62A"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FC63A45"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DGRESS</w:t>
            </w:r>
          </w:p>
        </w:tc>
        <w:tc>
          <w:tcPr>
            <w:tcW w:w="754" w:type="dxa"/>
            <w:vAlign w:val="center"/>
            <w:hideMark/>
          </w:tcPr>
          <w:p w14:paraId="42B61367"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377C861A"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DA8931B" w14:textId="0EF95B1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OAJ</w:t>
            </w:r>
          </w:p>
        </w:tc>
        <w:tc>
          <w:tcPr>
            <w:tcW w:w="754" w:type="dxa"/>
            <w:vAlign w:val="center"/>
            <w:hideMark/>
          </w:tcPr>
          <w:p w14:paraId="17202EFB"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0AC69E7E"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F3153BC"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SR</w:t>
            </w:r>
          </w:p>
        </w:tc>
        <w:tc>
          <w:tcPr>
            <w:tcW w:w="754" w:type="dxa"/>
            <w:vAlign w:val="center"/>
            <w:hideMark/>
          </w:tcPr>
          <w:p w14:paraId="6266274A" w14:textId="5B91F34C"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0C36A0" w:rsidRPr="005045BF" w14:paraId="7D25A9D5"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0BB0FC9"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DGCPTN</w:t>
            </w:r>
          </w:p>
        </w:tc>
        <w:tc>
          <w:tcPr>
            <w:tcW w:w="754" w:type="dxa"/>
            <w:vAlign w:val="center"/>
            <w:hideMark/>
          </w:tcPr>
          <w:p w14:paraId="2359347D"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08BD798E"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28F152F1"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SG</w:t>
            </w:r>
          </w:p>
        </w:tc>
        <w:tc>
          <w:tcPr>
            <w:tcW w:w="754" w:type="dxa"/>
            <w:vAlign w:val="center"/>
            <w:hideMark/>
          </w:tcPr>
          <w:p w14:paraId="4D07C1D7"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0BF79EE4"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67ED0005"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DT</w:t>
            </w:r>
          </w:p>
        </w:tc>
        <w:tc>
          <w:tcPr>
            <w:tcW w:w="754" w:type="dxa"/>
            <w:vAlign w:val="center"/>
            <w:hideMark/>
          </w:tcPr>
          <w:p w14:paraId="0A26ABF1"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5B039E3D"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5975AB5"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SS</w:t>
            </w:r>
          </w:p>
        </w:tc>
        <w:tc>
          <w:tcPr>
            <w:tcW w:w="754" w:type="dxa"/>
            <w:vAlign w:val="center"/>
            <w:hideMark/>
          </w:tcPr>
          <w:p w14:paraId="0A7FAF58"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558F9965"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34DA821F"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OCI</w:t>
            </w:r>
          </w:p>
        </w:tc>
        <w:tc>
          <w:tcPr>
            <w:tcW w:w="754" w:type="dxa"/>
            <w:vAlign w:val="center"/>
            <w:hideMark/>
          </w:tcPr>
          <w:p w14:paraId="3DBEB1AF"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52CA75D1"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vAlign w:val="center"/>
            <w:hideMark/>
          </w:tcPr>
          <w:p w14:paraId="00FC8A57"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SAPP</w:t>
            </w:r>
          </w:p>
        </w:tc>
        <w:tc>
          <w:tcPr>
            <w:tcW w:w="754" w:type="dxa"/>
            <w:vAlign w:val="center"/>
            <w:hideMark/>
          </w:tcPr>
          <w:p w14:paraId="7353EC7E"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327E84E1"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tcBorders>
              <w:bottom w:val="double" w:sz="4" w:space="0" w:color="4F81BD" w:themeColor="accent1"/>
            </w:tcBorders>
            <w:vAlign w:val="center"/>
            <w:hideMark/>
          </w:tcPr>
          <w:p w14:paraId="3C16A905" w14:textId="77777777" w:rsidR="000C36A0" w:rsidRPr="005045BF" w:rsidRDefault="000C36A0" w:rsidP="000C36A0">
            <w:pP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SO</w:t>
            </w:r>
          </w:p>
        </w:tc>
        <w:tc>
          <w:tcPr>
            <w:tcW w:w="754" w:type="dxa"/>
            <w:tcBorders>
              <w:bottom w:val="double" w:sz="4" w:space="0" w:color="4F81BD" w:themeColor="accent1"/>
            </w:tcBorders>
            <w:vAlign w:val="center"/>
            <w:hideMark/>
          </w:tcPr>
          <w:p w14:paraId="4C5EF357"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w:t>
            </w:r>
          </w:p>
        </w:tc>
      </w:tr>
      <w:tr w:rsidR="000C36A0" w:rsidRPr="005045BF" w14:paraId="1DEECF68" w14:textId="77777777" w:rsidTr="00A92CFB">
        <w:trPr>
          <w:cantSplit/>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4F81BD" w:themeColor="accent1"/>
              <w:bottom w:val="double" w:sz="4" w:space="0" w:color="4F81BD" w:themeColor="accent1"/>
            </w:tcBorders>
            <w:vAlign w:val="center"/>
            <w:hideMark/>
          </w:tcPr>
          <w:p w14:paraId="1AE86399" w14:textId="77777777" w:rsidR="000C36A0" w:rsidRPr="005045BF" w:rsidRDefault="000C36A0" w:rsidP="000C36A0">
            <w:pPr>
              <w:jc w:val="center"/>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 xml:space="preserve">Total Contratos Vigentes </w:t>
            </w:r>
          </w:p>
          <w:p w14:paraId="3ABC7372" w14:textId="59BBF665" w:rsidR="000C36A0" w:rsidRPr="005045BF" w:rsidRDefault="000C36A0" w:rsidP="000C36A0">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31-03-2020</w:t>
            </w:r>
          </w:p>
        </w:tc>
        <w:tc>
          <w:tcPr>
            <w:tcW w:w="754" w:type="dxa"/>
            <w:tcBorders>
              <w:top w:val="double" w:sz="4" w:space="0" w:color="4F81BD" w:themeColor="accent1"/>
              <w:bottom w:val="double" w:sz="4" w:space="0" w:color="4F81BD" w:themeColor="accent1"/>
            </w:tcBorders>
            <w:vAlign w:val="center"/>
            <w:hideMark/>
          </w:tcPr>
          <w:p w14:paraId="6AA5AFBB" w14:textId="77777777" w:rsidR="000C36A0" w:rsidRPr="005045BF" w:rsidRDefault="000C36A0" w:rsidP="000C36A0">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87</w:t>
            </w:r>
          </w:p>
        </w:tc>
      </w:tr>
    </w:tbl>
    <w:p w14:paraId="5B15DDDF" w14:textId="3BD94006" w:rsidR="002A1C7E" w:rsidRPr="005045BF" w:rsidRDefault="00A92CFB" w:rsidP="00852B96">
      <w:pPr>
        <w:rPr>
          <w:rFonts w:ascii="Arial" w:hAnsi="Arial" w:cs="Arial"/>
          <w:sz w:val="22"/>
          <w:szCs w:val="22"/>
        </w:rPr>
      </w:pPr>
      <w:r w:rsidRPr="005045BF">
        <w:rPr>
          <w:rFonts w:ascii="Arial" w:hAnsi="Arial" w:cs="Arial"/>
          <w:noProof/>
          <w:color w:val="000000"/>
          <w:sz w:val="22"/>
          <w:szCs w:val="22"/>
        </w:rPr>
        <w:drawing>
          <wp:anchor distT="0" distB="0" distL="114300" distR="114300" simplePos="0" relativeHeight="252214272" behindDoc="0" locked="0" layoutInCell="1" allowOverlap="1" wp14:anchorId="1812B148" wp14:editId="1E748D69">
            <wp:simplePos x="0" y="0"/>
            <wp:positionH relativeFrom="column">
              <wp:posOffset>2014220</wp:posOffset>
            </wp:positionH>
            <wp:positionV relativeFrom="paragraph">
              <wp:posOffset>-3839209</wp:posOffset>
            </wp:positionV>
            <wp:extent cx="3981450" cy="3848100"/>
            <wp:effectExtent l="0" t="0" r="0" b="0"/>
            <wp:wrapNone/>
            <wp:docPr id="3" name="Gráfico 3">
              <a:extLst xmlns:a="http://schemas.openxmlformats.org/drawingml/2006/main">
                <a:ext uri="{FF2B5EF4-FFF2-40B4-BE49-F238E27FC236}">
                  <a16:creationId xmlns:a16="http://schemas.microsoft.com/office/drawing/2014/main" id="{8C3D994E-8285-431B-B903-C23F3A7D57F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r w:rsidR="002A1C7E" w:rsidRPr="005045BF">
        <w:rPr>
          <w:rStyle w:val="Refdenotaalpie"/>
          <w:rFonts w:ascii="Arial" w:hAnsi="Arial" w:cs="Arial"/>
          <w:sz w:val="22"/>
          <w:szCs w:val="22"/>
        </w:rPr>
        <w:footnoteReference w:id="4"/>
      </w:r>
    </w:p>
    <w:p w14:paraId="011E4C7C" w14:textId="77777777" w:rsidR="003B745E" w:rsidRPr="005045BF" w:rsidRDefault="003B745E" w:rsidP="00093AD1">
      <w:pPr>
        <w:jc w:val="both"/>
        <w:rPr>
          <w:rFonts w:ascii="Arial" w:hAnsi="Arial" w:cs="Arial"/>
          <w:sz w:val="22"/>
          <w:szCs w:val="22"/>
          <w:highlight w:val="yellow"/>
        </w:rPr>
      </w:pPr>
    </w:p>
    <w:p w14:paraId="70EDA035" w14:textId="2970961E" w:rsidR="001C2332" w:rsidRPr="005045BF" w:rsidRDefault="003300BA" w:rsidP="00093AD1">
      <w:pPr>
        <w:jc w:val="both"/>
        <w:rPr>
          <w:rFonts w:ascii="Arial" w:hAnsi="Arial" w:cs="Arial"/>
          <w:color w:val="000000" w:themeColor="text1"/>
          <w:sz w:val="22"/>
          <w:szCs w:val="22"/>
        </w:rPr>
      </w:pPr>
      <w:r w:rsidRPr="005045BF">
        <w:rPr>
          <w:rFonts w:ascii="Arial" w:hAnsi="Arial" w:cs="Arial"/>
          <w:color w:val="000000" w:themeColor="text1"/>
          <w:sz w:val="22"/>
          <w:szCs w:val="22"/>
        </w:rPr>
        <w:t>Con corte a 31 de</w:t>
      </w:r>
      <w:r w:rsidR="00D57461" w:rsidRPr="005045BF">
        <w:rPr>
          <w:rFonts w:ascii="Arial" w:hAnsi="Arial" w:cs="Arial"/>
          <w:color w:val="000000" w:themeColor="text1"/>
          <w:sz w:val="22"/>
          <w:szCs w:val="22"/>
        </w:rPr>
        <w:t xml:space="preserve"> marzo </w:t>
      </w:r>
      <w:r w:rsidRPr="005045BF">
        <w:rPr>
          <w:rFonts w:ascii="Arial" w:hAnsi="Arial" w:cs="Arial"/>
          <w:color w:val="000000" w:themeColor="text1"/>
          <w:sz w:val="22"/>
          <w:szCs w:val="22"/>
        </w:rPr>
        <w:t>de 20</w:t>
      </w:r>
      <w:r w:rsidR="00D57461" w:rsidRPr="005045BF">
        <w:rPr>
          <w:rFonts w:ascii="Arial" w:hAnsi="Arial" w:cs="Arial"/>
          <w:color w:val="000000" w:themeColor="text1"/>
          <w:sz w:val="22"/>
          <w:szCs w:val="22"/>
        </w:rPr>
        <w:t>20</w:t>
      </w:r>
      <w:r w:rsidRPr="005045BF">
        <w:rPr>
          <w:rFonts w:ascii="Arial" w:hAnsi="Arial" w:cs="Arial"/>
          <w:color w:val="000000" w:themeColor="text1"/>
          <w:sz w:val="22"/>
          <w:szCs w:val="22"/>
        </w:rPr>
        <w:t>, l</w:t>
      </w:r>
      <w:r w:rsidR="001C2332" w:rsidRPr="005045BF">
        <w:rPr>
          <w:rFonts w:ascii="Arial" w:hAnsi="Arial" w:cs="Arial"/>
          <w:color w:val="000000" w:themeColor="text1"/>
          <w:sz w:val="22"/>
          <w:szCs w:val="22"/>
        </w:rPr>
        <w:t xml:space="preserve">a Subdirección Jurídica y la </w:t>
      </w:r>
      <w:r w:rsidR="001D3DE7" w:rsidRPr="005045BF">
        <w:rPr>
          <w:rFonts w:ascii="Arial" w:hAnsi="Arial" w:cs="Arial"/>
          <w:color w:val="000000" w:themeColor="text1"/>
          <w:sz w:val="22"/>
          <w:szCs w:val="22"/>
        </w:rPr>
        <w:t>Subdirección de Administración de Recursos Tecnológico</w:t>
      </w:r>
      <w:r w:rsidR="003C0BAA" w:rsidRPr="005045BF">
        <w:rPr>
          <w:rFonts w:ascii="Arial" w:hAnsi="Arial" w:cs="Arial"/>
          <w:color w:val="000000" w:themeColor="text1"/>
          <w:sz w:val="22"/>
          <w:szCs w:val="22"/>
        </w:rPr>
        <w:t>s</w:t>
      </w:r>
      <w:r w:rsidR="001D3DE7"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fueron </w:t>
      </w:r>
      <w:r w:rsidR="001C2332" w:rsidRPr="005045BF">
        <w:rPr>
          <w:rFonts w:ascii="Arial" w:hAnsi="Arial" w:cs="Arial"/>
          <w:color w:val="000000" w:themeColor="text1"/>
          <w:sz w:val="22"/>
          <w:szCs w:val="22"/>
        </w:rPr>
        <w:t xml:space="preserve">las áreas al interior de este Ministerio </w:t>
      </w:r>
      <w:r w:rsidRPr="005045BF">
        <w:rPr>
          <w:rFonts w:ascii="Arial" w:hAnsi="Arial" w:cs="Arial"/>
          <w:color w:val="000000" w:themeColor="text1"/>
          <w:sz w:val="22"/>
          <w:szCs w:val="22"/>
        </w:rPr>
        <w:t xml:space="preserve">con </w:t>
      </w:r>
      <w:r w:rsidR="001C2332" w:rsidRPr="005045BF">
        <w:rPr>
          <w:rFonts w:ascii="Arial" w:hAnsi="Arial" w:cs="Arial"/>
          <w:color w:val="000000" w:themeColor="text1"/>
          <w:sz w:val="22"/>
          <w:szCs w:val="22"/>
        </w:rPr>
        <w:t>mayor</w:t>
      </w:r>
      <w:r w:rsidRPr="005045BF">
        <w:rPr>
          <w:rFonts w:ascii="Arial" w:hAnsi="Arial" w:cs="Arial"/>
          <w:color w:val="000000" w:themeColor="text1"/>
          <w:sz w:val="22"/>
          <w:szCs w:val="22"/>
        </w:rPr>
        <w:t xml:space="preserve"> cantidad de </w:t>
      </w:r>
      <w:r w:rsidR="001C2332" w:rsidRPr="005045BF">
        <w:rPr>
          <w:rFonts w:ascii="Arial" w:hAnsi="Arial" w:cs="Arial"/>
          <w:color w:val="000000" w:themeColor="text1"/>
          <w:sz w:val="22"/>
          <w:szCs w:val="22"/>
        </w:rPr>
        <w:t>contratos suscritos [</w:t>
      </w:r>
      <w:r w:rsidRPr="005045BF">
        <w:rPr>
          <w:rFonts w:ascii="Arial" w:hAnsi="Arial" w:cs="Arial"/>
          <w:color w:val="000000" w:themeColor="text1"/>
          <w:sz w:val="22"/>
          <w:szCs w:val="22"/>
        </w:rPr>
        <w:t>30</w:t>
      </w:r>
      <w:r w:rsidR="001C2332" w:rsidRPr="005045BF">
        <w:rPr>
          <w:rFonts w:ascii="Arial" w:hAnsi="Arial" w:cs="Arial"/>
          <w:color w:val="000000" w:themeColor="text1"/>
          <w:sz w:val="22"/>
          <w:szCs w:val="22"/>
        </w:rPr>
        <w:t xml:space="preserve">% y </w:t>
      </w:r>
      <w:r w:rsidRPr="005045BF">
        <w:rPr>
          <w:rFonts w:ascii="Arial" w:hAnsi="Arial" w:cs="Arial"/>
          <w:color w:val="000000" w:themeColor="text1"/>
          <w:sz w:val="22"/>
          <w:szCs w:val="22"/>
        </w:rPr>
        <w:t>1</w:t>
      </w:r>
      <w:r w:rsidR="00D57461" w:rsidRPr="005045BF">
        <w:rPr>
          <w:rFonts w:ascii="Arial" w:hAnsi="Arial" w:cs="Arial"/>
          <w:color w:val="000000" w:themeColor="text1"/>
          <w:sz w:val="22"/>
          <w:szCs w:val="22"/>
        </w:rPr>
        <w:t>3</w:t>
      </w:r>
      <w:r w:rsidR="001C2332" w:rsidRPr="005045BF">
        <w:rPr>
          <w:rFonts w:ascii="Arial" w:hAnsi="Arial" w:cs="Arial"/>
          <w:color w:val="000000" w:themeColor="text1"/>
          <w:sz w:val="22"/>
          <w:szCs w:val="22"/>
        </w:rPr>
        <w:t xml:space="preserve">% respectivamente], mediante la modalidad de prestación de servicios con cargo </w:t>
      </w:r>
      <w:r w:rsidR="00095E4E" w:rsidRPr="005045BF">
        <w:rPr>
          <w:rFonts w:ascii="Arial" w:hAnsi="Arial" w:cs="Arial"/>
          <w:color w:val="000000" w:themeColor="text1"/>
          <w:sz w:val="22"/>
          <w:szCs w:val="22"/>
        </w:rPr>
        <w:t xml:space="preserve">a </w:t>
      </w:r>
      <w:r w:rsidR="001C2332" w:rsidRPr="005045BF">
        <w:rPr>
          <w:rFonts w:ascii="Arial" w:hAnsi="Arial" w:cs="Arial"/>
          <w:color w:val="000000" w:themeColor="text1"/>
          <w:sz w:val="22"/>
          <w:szCs w:val="22"/>
        </w:rPr>
        <w:t>los rubros presupuestales de Honorarios [</w:t>
      </w:r>
      <w:r w:rsidR="004A551C" w:rsidRPr="005045BF">
        <w:rPr>
          <w:rFonts w:ascii="Arial" w:hAnsi="Arial" w:cs="Arial"/>
          <w:color w:val="000000" w:themeColor="text1"/>
          <w:sz w:val="22"/>
          <w:szCs w:val="22"/>
        </w:rPr>
        <w:t>A-1-0-2-12</w:t>
      </w:r>
      <w:r w:rsidR="001C2332" w:rsidRPr="005045BF">
        <w:rPr>
          <w:rFonts w:ascii="Arial" w:hAnsi="Arial" w:cs="Arial"/>
          <w:color w:val="000000" w:themeColor="text1"/>
          <w:sz w:val="22"/>
          <w:szCs w:val="22"/>
        </w:rPr>
        <w:t>] y Servicios Prestados a las Empresas y Servicios de Producción [</w:t>
      </w:r>
      <w:r w:rsidR="004A551C" w:rsidRPr="005045BF">
        <w:rPr>
          <w:rFonts w:ascii="Arial" w:hAnsi="Arial" w:cs="Arial"/>
          <w:color w:val="000000" w:themeColor="text1"/>
          <w:sz w:val="22"/>
          <w:szCs w:val="22"/>
        </w:rPr>
        <w:t>A-02-02-02-008</w:t>
      </w:r>
      <w:r w:rsidR="001C2332" w:rsidRPr="005045BF">
        <w:rPr>
          <w:rFonts w:ascii="Arial" w:hAnsi="Arial" w:cs="Arial"/>
          <w:color w:val="000000" w:themeColor="text1"/>
          <w:sz w:val="22"/>
          <w:szCs w:val="22"/>
        </w:rPr>
        <w:t xml:space="preserve">]. </w:t>
      </w:r>
    </w:p>
    <w:p w14:paraId="6727F62E" w14:textId="77777777" w:rsidR="00093AD1" w:rsidRPr="005045BF" w:rsidRDefault="00093AD1" w:rsidP="00093AD1">
      <w:pPr>
        <w:spacing w:line="168" w:lineRule="auto"/>
        <w:jc w:val="both"/>
        <w:rPr>
          <w:rFonts w:ascii="Arial" w:hAnsi="Arial" w:cs="Arial"/>
          <w:color w:val="000000" w:themeColor="text1"/>
          <w:sz w:val="22"/>
          <w:szCs w:val="22"/>
          <w:highlight w:val="yellow"/>
        </w:rPr>
      </w:pPr>
    </w:p>
    <w:p w14:paraId="031C3654" w14:textId="6C103985" w:rsidR="00E138C3" w:rsidRPr="005045BF" w:rsidRDefault="00E138C3" w:rsidP="00093AD1">
      <w:pPr>
        <w:jc w:val="both"/>
        <w:rPr>
          <w:rFonts w:ascii="Arial" w:hAnsi="Arial" w:cs="Arial"/>
          <w:color w:val="000000" w:themeColor="text1"/>
          <w:sz w:val="22"/>
          <w:szCs w:val="22"/>
        </w:rPr>
      </w:pPr>
      <w:r w:rsidRPr="005045BF">
        <w:rPr>
          <w:rFonts w:ascii="Arial" w:hAnsi="Arial" w:cs="Arial"/>
          <w:color w:val="000000" w:themeColor="text1"/>
          <w:sz w:val="22"/>
          <w:szCs w:val="22"/>
        </w:rPr>
        <w:lastRenderedPageBreak/>
        <w:t>Tomando como fuente de información</w:t>
      </w:r>
      <w:r w:rsidR="003300BA"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el reporte allegado por el Grupo de</w:t>
      </w:r>
      <w:r w:rsidR="004B176F" w:rsidRPr="005045BF">
        <w:rPr>
          <w:rFonts w:ascii="Arial" w:hAnsi="Arial" w:cs="Arial"/>
          <w:color w:val="000000" w:themeColor="text1"/>
          <w:sz w:val="22"/>
          <w:szCs w:val="22"/>
        </w:rPr>
        <w:t xml:space="preserve"> Contratación </w:t>
      </w:r>
      <w:r w:rsidR="00257D1F" w:rsidRPr="005045BF">
        <w:rPr>
          <w:rFonts w:ascii="Arial" w:hAnsi="Arial" w:cs="Arial"/>
          <w:color w:val="000000" w:themeColor="text1"/>
          <w:sz w:val="22"/>
          <w:szCs w:val="22"/>
        </w:rPr>
        <w:t>Directa [</w:t>
      </w:r>
      <w:r w:rsidRPr="005045BF">
        <w:rPr>
          <w:rFonts w:ascii="Arial" w:hAnsi="Arial" w:cs="Arial"/>
          <w:color w:val="000000" w:themeColor="text1"/>
          <w:sz w:val="22"/>
          <w:szCs w:val="22"/>
        </w:rPr>
        <w:t>CON_R2220</w:t>
      </w:r>
      <w:r w:rsidR="004B176F" w:rsidRPr="005045BF">
        <w:rPr>
          <w:rFonts w:ascii="Arial" w:hAnsi="Arial" w:cs="Arial"/>
          <w:color w:val="000000" w:themeColor="text1"/>
          <w:sz w:val="22"/>
          <w:szCs w:val="22"/>
        </w:rPr>
        <w:t>]</w:t>
      </w:r>
      <w:r w:rsidRPr="005045BF">
        <w:rPr>
          <w:rFonts w:ascii="Arial" w:hAnsi="Arial" w:cs="Arial"/>
          <w:color w:val="000000" w:themeColor="text1"/>
          <w:sz w:val="22"/>
          <w:szCs w:val="22"/>
        </w:rPr>
        <w:t xml:space="preserve">, se </w:t>
      </w:r>
      <w:r w:rsidR="00AA3F60" w:rsidRPr="005045BF">
        <w:rPr>
          <w:rFonts w:ascii="Arial" w:hAnsi="Arial" w:cs="Arial"/>
          <w:color w:val="000000" w:themeColor="text1"/>
          <w:sz w:val="22"/>
          <w:szCs w:val="22"/>
        </w:rPr>
        <w:t xml:space="preserve">establecieron las variaciones </w:t>
      </w:r>
      <w:r w:rsidRPr="005045BF">
        <w:rPr>
          <w:rFonts w:ascii="Arial" w:hAnsi="Arial" w:cs="Arial"/>
          <w:color w:val="000000" w:themeColor="text1"/>
          <w:sz w:val="22"/>
          <w:szCs w:val="22"/>
        </w:rPr>
        <w:t>de los contratos vigentes con corte a 3</w:t>
      </w:r>
      <w:r w:rsidR="003300BA" w:rsidRPr="005045BF">
        <w:rPr>
          <w:rFonts w:ascii="Arial" w:hAnsi="Arial" w:cs="Arial"/>
          <w:color w:val="000000" w:themeColor="text1"/>
          <w:sz w:val="22"/>
          <w:szCs w:val="22"/>
        </w:rPr>
        <w:t>1</w:t>
      </w:r>
      <w:r w:rsidRPr="005045BF">
        <w:rPr>
          <w:rFonts w:ascii="Arial" w:hAnsi="Arial" w:cs="Arial"/>
          <w:color w:val="000000" w:themeColor="text1"/>
          <w:sz w:val="22"/>
          <w:szCs w:val="22"/>
        </w:rPr>
        <w:t xml:space="preserve"> de</w:t>
      </w:r>
      <w:r w:rsidR="003300BA" w:rsidRPr="005045BF">
        <w:rPr>
          <w:rFonts w:ascii="Arial" w:hAnsi="Arial" w:cs="Arial"/>
          <w:color w:val="000000" w:themeColor="text1"/>
          <w:sz w:val="22"/>
          <w:szCs w:val="22"/>
        </w:rPr>
        <w:t xml:space="preserve"> </w:t>
      </w:r>
      <w:r w:rsidR="003D23BA" w:rsidRPr="005045BF">
        <w:rPr>
          <w:rFonts w:ascii="Arial" w:hAnsi="Arial" w:cs="Arial"/>
          <w:color w:val="000000" w:themeColor="text1"/>
          <w:sz w:val="22"/>
          <w:szCs w:val="22"/>
        </w:rPr>
        <w:t xml:space="preserve">marzo </w:t>
      </w:r>
      <w:r w:rsidR="003300BA" w:rsidRPr="005045BF">
        <w:rPr>
          <w:rFonts w:ascii="Arial" w:hAnsi="Arial" w:cs="Arial"/>
          <w:color w:val="000000" w:themeColor="text1"/>
          <w:sz w:val="22"/>
          <w:szCs w:val="22"/>
        </w:rPr>
        <w:t>de</w:t>
      </w:r>
      <w:r w:rsidR="00627A39"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cada vigencia analizada [20</w:t>
      </w:r>
      <w:r w:rsidR="003D23BA" w:rsidRPr="005045BF">
        <w:rPr>
          <w:rFonts w:ascii="Arial" w:hAnsi="Arial" w:cs="Arial"/>
          <w:color w:val="000000" w:themeColor="text1"/>
          <w:sz w:val="22"/>
          <w:szCs w:val="22"/>
        </w:rPr>
        <w:t>20</w:t>
      </w:r>
      <w:r w:rsidRPr="005045BF">
        <w:rPr>
          <w:rFonts w:ascii="Arial" w:hAnsi="Arial" w:cs="Arial"/>
          <w:color w:val="000000" w:themeColor="text1"/>
          <w:sz w:val="22"/>
          <w:szCs w:val="22"/>
        </w:rPr>
        <w:t>-201</w:t>
      </w:r>
      <w:r w:rsidR="003D23BA" w:rsidRPr="005045BF">
        <w:rPr>
          <w:rFonts w:ascii="Arial" w:hAnsi="Arial" w:cs="Arial"/>
          <w:color w:val="000000" w:themeColor="text1"/>
          <w:sz w:val="22"/>
          <w:szCs w:val="22"/>
        </w:rPr>
        <w:t>9</w:t>
      </w:r>
      <w:r w:rsidRPr="005045BF">
        <w:rPr>
          <w:rFonts w:ascii="Arial" w:hAnsi="Arial" w:cs="Arial"/>
          <w:color w:val="000000" w:themeColor="text1"/>
          <w:sz w:val="22"/>
          <w:szCs w:val="22"/>
        </w:rPr>
        <w:t>]</w:t>
      </w:r>
      <w:r w:rsidR="001200E7" w:rsidRPr="005045BF">
        <w:rPr>
          <w:rFonts w:ascii="Arial" w:hAnsi="Arial" w:cs="Arial"/>
          <w:color w:val="000000" w:themeColor="text1"/>
          <w:sz w:val="22"/>
          <w:szCs w:val="22"/>
        </w:rPr>
        <w:t xml:space="preserve">. </w:t>
      </w:r>
      <w:r w:rsidR="00AA3F60" w:rsidRPr="005045BF">
        <w:rPr>
          <w:rFonts w:ascii="Arial" w:hAnsi="Arial" w:cs="Arial"/>
          <w:color w:val="000000" w:themeColor="text1"/>
          <w:sz w:val="22"/>
          <w:szCs w:val="22"/>
        </w:rPr>
        <w:t>E</w:t>
      </w:r>
      <w:r w:rsidRPr="005045BF">
        <w:rPr>
          <w:rFonts w:ascii="Arial" w:hAnsi="Arial" w:cs="Arial"/>
          <w:color w:val="000000" w:themeColor="text1"/>
          <w:sz w:val="22"/>
          <w:szCs w:val="22"/>
        </w:rPr>
        <w:t>l resultad</w:t>
      </w:r>
      <w:r w:rsidR="00E84197" w:rsidRPr="005045BF">
        <w:rPr>
          <w:rFonts w:ascii="Arial" w:hAnsi="Arial" w:cs="Arial"/>
          <w:color w:val="000000" w:themeColor="text1"/>
          <w:sz w:val="22"/>
          <w:szCs w:val="22"/>
        </w:rPr>
        <w:t xml:space="preserve">o por dependencia se detalla a continuación: </w:t>
      </w:r>
    </w:p>
    <w:p w14:paraId="03CEE832" w14:textId="77777777" w:rsidR="007C2B64" w:rsidRPr="005045BF" w:rsidRDefault="007C2B64" w:rsidP="00093AD1">
      <w:pPr>
        <w:jc w:val="both"/>
        <w:rPr>
          <w:rFonts w:ascii="Arial" w:hAnsi="Arial" w:cs="Arial"/>
          <w:color w:val="000000" w:themeColor="text1"/>
          <w:sz w:val="22"/>
          <w:szCs w:val="22"/>
          <w:highlight w:val="yellow"/>
        </w:rPr>
      </w:pPr>
    </w:p>
    <w:tbl>
      <w:tblPr>
        <w:tblStyle w:val="Tablaconcuadrcula1clara-nfasis1"/>
        <w:tblW w:w="0" w:type="auto"/>
        <w:tblLook w:val="04A0" w:firstRow="1" w:lastRow="0" w:firstColumn="1" w:lastColumn="0" w:noHBand="0" w:noVBand="1"/>
      </w:tblPr>
      <w:tblGrid>
        <w:gridCol w:w="5909"/>
        <w:gridCol w:w="1455"/>
        <w:gridCol w:w="1177"/>
        <w:gridCol w:w="1088"/>
      </w:tblGrid>
      <w:tr w:rsidR="003E748F" w:rsidRPr="005045BF" w14:paraId="6ECACF1B" w14:textId="77777777" w:rsidTr="00BB04FB">
        <w:trPr>
          <w:cnfStyle w:val="100000000000" w:firstRow="1" w:lastRow="0" w:firstColumn="0" w:lastColumn="0" w:oddVBand="0" w:evenVBand="0" w:oddHBand="0" w:evenHBand="0" w:firstRowFirstColumn="0" w:firstRowLastColumn="0" w:lastRowFirstColumn="0" w:lastRowLastColumn="0"/>
          <w:cantSplit/>
          <w:trHeight w:val="392"/>
          <w:tblHead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shd w:val="clear" w:color="auto" w:fill="auto"/>
            <w:vAlign w:val="center"/>
            <w:hideMark/>
          </w:tcPr>
          <w:p w14:paraId="49ED8E2F" w14:textId="0E826994" w:rsidR="003E748F" w:rsidRPr="005045BF" w:rsidRDefault="003E748F" w:rsidP="008C4200">
            <w:pPr>
              <w:widowControl w:val="0"/>
              <w:spacing w:before="20" w:after="20"/>
              <w:jc w:val="center"/>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Contratos Vigentes a 31 de marzo de 2020 - 2019</w:t>
            </w:r>
          </w:p>
        </w:tc>
      </w:tr>
      <w:tr w:rsidR="003E748F" w:rsidRPr="005045BF" w14:paraId="46662F6C" w14:textId="77777777" w:rsidTr="003E748F">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7578380A" w14:textId="77777777" w:rsidR="003E748F" w:rsidRPr="005045BF" w:rsidRDefault="003E748F" w:rsidP="008C4200">
            <w:pPr>
              <w:widowControl w:val="0"/>
              <w:spacing w:before="20" w:after="20"/>
              <w:rPr>
                <w:rFonts w:ascii="Arial" w:hAnsi="Arial" w:cs="Arial"/>
                <w:color w:val="FFFFFF" w:themeColor="background1"/>
                <w:sz w:val="20"/>
                <w:szCs w:val="20"/>
              </w:rPr>
            </w:pPr>
            <w:r w:rsidRPr="005045BF">
              <w:rPr>
                <w:rFonts w:ascii="Arial" w:hAnsi="Arial" w:cs="Arial"/>
                <w:color w:val="FFFFFF" w:themeColor="background1"/>
                <w:sz w:val="20"/>
                <w:szCs w:val="20"/>
              </w:rPr>
              <w:t xml:space="preserve">Dependencias - Según Estudios Previos </w:t>
            </w:r>
          </w:p>
        </w:tc>
        <w:tc>
          <w:tcPr>
            <w:tcW w:w="1455" w:type="dxa"/>
            <w:tcBorders>
              <w:top w:val="double" w:sz="4" w:space="0" w:color="4F81BD" w:themeColor="accent1"/>
            </w:tcBorders>
            <w:shd w:val="clear" w:color="auto" w:fill="4F81BD" w:themeFill="accent1"/>
            <w:vAlign w:val="center"/>
            <w:hideMark/>
          </w:tcPr>
          <w:p w14:paraId="200AD3F1" w14:textId="10B048D4" w:rsidR="003E748F" w:rsidRPr="005045BF" w:rsidRDefault="003E748F"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A 31-03-2020</w:t>
            </w:r>
          </w:p>
        </w:tc>
        <w:tc>
          <w:tcPr>
            <w:tcW w:w="1177" w:type="dxa"/>
            <w:tcBorders>
              <w:top w:val="double" w:sz="4" w:space="0" w:color="4F81BD" w:themeColor="accent1"/>
            </w:tcBorders>
            <w:shd w:val="clear" w:color="auto" w:fill="4F81BD" w:themeFill="accent1"/>
            <w:vAlign w:val="center"/>
            <w:hideMark/>
          </w:tcPr>
          <w:p w14:paraId="5A718536" w14:textId="206D1C95" w:rsidR="003E748F" w:rsidRPr="005045BF" w:rsidRDefault="003E748F"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A 31-03-2019</w:t>
            </w:r>
          </w:p>
        </w:tc>
        <w:tc>
          <w:tcPr>
            <w:tcW w:w="1088" w:type="dxa"/>
            <w:tcBorders>
              <w:top w:val="double" w:sz="4" w:space="0" w:color="4F81BD" w:themeColor="accent1"/>
            </w:tcBorders>
            <w:shd w:val="clear" w:color="auto" w:fill="4F81BD" w:themeFill="accent1"/>
            <w:vAlign w:val="center"/>
            <w:hideMark/>
          </w:tcPr>
          <w:p w14:paraId="50105F74" w14:textId="1612E816" w:rsidR="003E748F" w:rsidRPr="005045BF" w:rsidRDefault="003E748F" w:rsidP="008C4200">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Variación Absoluta</w:t>
            </w:r>
          </w:p>
        </w:tc>
      </w:tr>
      <w:tr w:rsidR="003E748F" w:rsidRPr="005045BF" w14:paraId="14AF306A"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280B57" w14:textId="60706E26" w:rsidR="003E748F" w:rsidRPr="005045BF" w:rsidRDefault="003E748F" w:rsidP="000718C5">
            <w:pPr>
              <w:spacing w:before="20" w:after="2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Subdirección Jurídica</w:t>
            </w:r>
          </w:p>
        </w:tc>
        <w:tc>
          <w:tcPr>
            <w:tcW w:w="1455" w:type="dxa"/>
            <w:vAlign w:val="center"/>
          </w:tcPr>
          <w:p w14:paraId="6F47E3CA" w14:textId="5D3C0611"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26</w:t>
            </w:r>
          </w:p>
        </w:tc>
        <w:tc>
          <w:tcPr>
            <w:tcW w:w="1177" w:type="dxa"/>
            <w:vAlign w:val="center"/>
          </w:tcPr>
          <w:p w14:paraId="33FABEC2" w14:textId="16106B5B"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24</w:t>
            </w:r>
          </w:p>
        </w:tc>
        <w:tc>
          <w:tcPr>
            <w:tcW w:w="1088" w:type="dxa"/>
            <w:vAlign w:val="center"/>
          </w:tcPr>
          <w:p w14:paraId="3574F46A" w14:textId="39AB0545"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r>
      <w:tr w:rsidR="003E748F" w:rsidRPr="005045BF" w14:paraId="70608393"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E104DD" w14:textId="543E9ECA" w:rsidR="003E748F" w:rsidRPr="005045BF" w:rsidRDefault="003E748F" w:rsidP="000718C5">
            <w:pPr>
              <w:spacing w:before="20" w:after="2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Subdirección de Administración de Recursos Tecnológico</w:t>
            </w:r>
          </w:p>
        </w:tc>
        <w:tc>
          <w:tcPr>
            <w:tcW w:w="1455" w:type="dxa"/>
            <w:vAlign w:val="center"/>
          </w:tcPr>
          <w:p w14:paraId="16844829" w14:textId="62C19403"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11</w:t>
            </w:r>
          </w:p>
        </w:tc>
        <w:tc>
          <w:tcPr>
            <w:tcW w:w="1177" w:type="dxa"/>
            <w:vAlign w:val="center"/>
          </w:tcPr>
          <w:p w14:paraId="6BD1175F" w14:textId="0EF330F8"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0</w:t>
            </w:r>
          </w:p>
        </w:tc>
        <w:tc>
          <w:tcPr>
            <w:tcW w:w="1088" w:type="dxa"/>
            <w:vAlign w:val="center"/>
          </w:tcPr>
          <w:p w14:paraId="4F7A867B" w14:textId="70F60580"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11</w:t>
            </w:r>
          </w:p>
        </w:tc>
      </w:tr>
      <w:tr w:rsidR="003E748F" w:rsidRPr="005045BF" w14:paraId="2FFFA54F"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A4856E" w14:textId="015E964F" w:rsidR="003E748F" w:rsidRPr="005045BF" w:rsidRDefault="003E748F" w:rsidP="000718C5">
            <w:pPr>
              <w:spacing w:before="20" w:after="2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Dirección General del Presupuesto Público Nacional</w:t>
            </w:r>
          </w:p>
        </w:tc>
        <w:tc>
          <w:tcPr>
            <w:tcW w:w="1455" w:type="dxa"/>
            <w:vAlign w:val="center"/>
          </w:tcPr>
          <w:p w14:paraId="5F9F9D82" w14:textId="37582F20"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11</w:t>
            </w:r>
          </w:p>
        </w:tc>
        <w:tc>
          <w:tcPr>
            <w:tcW w:w="1177" w:type="dxa"/>
            <w:vAlign w:val="center"/>
          </w:tcPr>
          <w:p w14:paraId="096A682F" w14:textId="22AA4255"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11</w:t>
            </w:r>
          </w:p>
        </w:tc>
        <w:tc>
          <w:tcPr>
            <w:tcW w:w="1088" w:type="dxa"/>
            <w:vAlign w:val="center"/>
          </w:tcPr>
          <w:p w14:paraId="522B9263" w14:textId="293DECBF" w:rsidR="003E748F" w:rsidRPr="005045BF" w:rsidRDefault="003E748F" w:rsidP="000718C5">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0</w:t>
            </w:r>
          </w:p>
        </w:tc>
      </w:tr>
      <w:tr w:rsidR="003E748F" w:rsidRPr="005045BF" w14:paraId="074B1279"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758476" w14:textId="3E38CD99"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Subdirección de Ingeniería de Software</w:t>
            </w:r>
          </w:p>
        </w:tc>
        <w:tc>
          <w:tcPr>
            <w:tcW w:w="1455" w:type="dxa"/>
            <w:vAlign w:val="center"/>
          </w:tcPr>
          <w:p w14:paraId="2067AEFC" w14:textId="4D14B804"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8</w:t>
            </w:r>
          </w:p>
        </w:tc>
        <w:tc>
          <w:tcPr>
            <w:tcW w:w="1177" w:type="dxa"/>
            <w:vAlign w:val="center"/>
          </w:tcPr>
          <w:p w14:paraId="44B0C6CC" w14:textId="78BF7F1B"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0</w:t>
            </w:r>
          </w:p>
        </w:tc>
        <w:tc>
          <w:tcPr>
            <w:tcW w:w="1088" w:type="dxa"/>
            <w:vAlign w:val="center"/>
          </w:tcPr>
          <w:p w14:paraId="4CC7645D" w14:textId="47B02EEE"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8</w:t>
            </w:r>
          </w:p>
        </w:tc>
      </w:tr>
      <w:tr w:rsidR="003E748F" w:rsidRPr="005045BF" w14:paraId="583B2425"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106187" w14:textId="6AA38AB3"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Despacho del Ministro de Hacienda y Crédito Público</w:t>
            </w:r>
          </w:p>
        </w:tc>
        <w:tc>
          <w:tcPr>
            <w:tcW w:w="1455" w:type="dxa"/>
            <w:vAlign w:val="center"/>
          </w:tcPr>
          <w:p w14:paraId="1D7A7361" w14:textId="2EE43FAE"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7</w:t>
            </w:r>
          </w:p>
        </w:tc>
        <w:tc>
          <w:tcPr>
            <w:tcW w:w="1177" w:type="dxa"/>
            <w:vAlign w:val="center"/>
          </w:tcPr>
          <w:p w14:paraId="7DA902F6" w14:textId="657C32E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8</w:t>
            </w:r>
          </w:p>
        </w:tc>
        <w:tc>
          <w:tcPr>
            <w:tcW w:w="1088" w:type="dxa"/>
            <w:vAlign w:val="center"/>
          </w:tcPr>
          <w:p w14:paraId="57E39672" w14:textId="38D82C99"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w:t>
            </w:r>
          </w:p>
        </w:tc>
      </w:tr>
      <w:tr w:rsidR="003E748F" w:rsidRPr="005045BF" w14:paraId="1CA73A2C"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E68E68" w14:textId="1F0CD773"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Oficina de Bonos Pensionales</w:t>
            </w:r>
          </w:p>
        </w:tc>
        <w:tc>
          <w:tcPr>
            <w:tcW w:w="1455" w:type="dxa"/>
            <w:vAlign w:val="center"/>
          </w:tcPr>
          <w:p w14:paraId="7AF22C5B" w14:textId="056BC1F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5</w:t>
            </w:r>
          </w:p>
        </w:tc>
        <w:tc>
          <w:tcPr>
            <w:tcW w:w="1177" w:type="dxa"/>
            <w:vAlign w:val="center"/>
          </w:tcPr>
          <w:p w14:paraId="379C9393" w14:textId="68B9D11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w:t>
            </w:r>
          </w:p>
        </w:tc>
        <w:tc>
          <w:tcPr>
            <w:tcW w:w="1088" w:type="dxa"/>
            <w:vAlign w:val="center"/>
          </w:tcPr>
          <w:p w14:paraId="0CD63344" w14:textId="5FA56A9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4</w:t>
            </w:r>
          </w:p>
        </w:tc>
      </w:tr>
      <w:tr w:rsidR="003E748F" w:rsidRPr="005045BF" w14:paraId="1A73ABC5" w14:textId="77777777" w:rsidTr="003E748F">
        <w:trPr>
          <w:cantSplit/>
          <w:trHeight w:val="234"/>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362E5B" w14:textId="05B1C8BA"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Dirección General de Participaciones Estatales</w:t>
            </w:r>
          </w:p>
        </w:tc>
        <w:tc>
          <w:tcPr>
            <w:tcW w:w="1455" w:type="dxa"/>
            <w:vAlign w:val="center"/>
          </w:tcPr>
          <w:p w14:paraId="0E9D3706" w14:textId="11FCECB6"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177" w:type="dxa"/>
            <w:vAlign w:val="center"/>
          </w:tcPr>
          <w:p w14:paraId="40548C1D" w14:textId="3B980F6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3</w:t>
            </w:r>
          </w:p>
        </w:tc>
        <w:tc>
          <w:tcPr>
            <w:tcW w:w="1088" w:type="dxa"/>
            <w:vAlign w:val="center"/>
          </w:tcPr>
          <w:p w14:paraId="06901173" w14:textId="005F2F64"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w:t>
            </w:r>
          </w:p>
        </w:tc>
      </w:tr>
      <w:tr w:rsidR="003E748F" w:rsidRPr="005045BF" w14:paraId="0F4EE646"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915BC9" w14:textId="2BBBCBBA"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 xml:space="preserve">Administración SIIF Nación </w:t>
            </w:r>
          </w:p>
        </w:tc>
        <w:tc>
          <w:tcPr>
            <w:tcW w:w="1455" w:type="dxa"/>
            <w:vAlign w:val="center"/>
          </w:tcPr>
          <w:p w14:paraId="7D7B2933" w14:textId="2F11BCA3"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177" w:type="dxa"/>
            <w:vAlign w:val="center"/>
          </w:tcPr>
          <w:p w14:paraId="78E87B0A" w14:textId="5394331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088" w:type="dxa"/>
            <w:vAlign w:val="center"/>
          </w:tcPr>
          <w:p w14:paraId="09C53608" w14:textId="14136E0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0</w:t>
            </w:r>
          </w:p>
        </w:tc>
      </w:tr>
      <w:tr w:rsidR="003E748F" w:rsidRPr="005045BF" w14:paraId="23AA2857"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E4D349" w14:textId="5E836035"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Oficina de Control Interno Disciplinario</w:t>
            </w:r>
          </w:p>
        </w:tc>
        <w:tc>
          <w:tcPr>
            <w:tcW w:w="1455" w:type="dxa"/>
            <w:vAlign w:val="center"/>
          </w:tcPr>
          <w:p w14:paraId="458A78C7" w14:textId="567E8DB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177" w:type="dxa"/>
            <w:vAlign w:val="center"/>
          </w:tcPr>
          <w:p w14:paraId="6C483B4A" w14:textId="7778F489"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088" w:type="dxa"/>
            <w:vAlign w:val="center"/>
          </w:tcPr>
          <w:p w14:paraId="2A176D49" w14:textId="4871DF8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0</w:t>
            </w:r>
          </w:p>
        </w:tc>
      </w:tr>
      <w:tr w:rsidR="003E748F" w:rsidRPr="005045BF" w14:paraId="07818942"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DA56EA" w14:textId="710EAF96"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Dirección General de Regulación Económica de la Seguridad Social</w:t>
            </w:r>
          </w:p>
        </w:tc>
        <w:tc>
          <w:tcPr>
            <w:tcW w:w="1455" w:type="dxa"/>
            <w:vAlign w:val="center"/>
          </w:tcPr>
          <w:p w14:paraId="40452986" w14:textId="50103AF0"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177" w:type="dxa"/>
            <w:vAlign w:val="center"/>
          </w:tcPr>
          <w:p w14:paraId="3856BD57" w14:textId="764A1D4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5</w:t>
            </w:r>
          </w:p>
        </w:tc>
        <w:tc>
          <w:tcPr>
            <w:tcW w:w="1088" w:type="dxa"/>
            <w:vAlign w:val="center"/>
          </w:tcPr>
          <w:p w14:paraId="72AA8D44" w14:textId="110DA18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(3)</w:t>
            </w:r>
          </w:p>
        </w:tc>
      </w:tr>
      <w:tr w:rsidR="003E748F" w:rsidRPr="005045BF" w14:paraId="1A81E80E"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B5BEE" w14:textId="5B7301A1" w:rsidR="003E748F" w:rsidRPr="005045BF" w:rsidRDefault="003E748F" w:rsidP="00A92CFB">
            <w:pPr>
              <w:widowControl w:val="0"/>
              <w:spacing w:before="40" w:after="60"/>
              <w:jc w:val="both"/>
              <w:rPr>
                <w:rFonts w:ascii="Arial" w:hAnsi="Arial" w:cs="Arial"/>
                <w:b w:val="0"/>
                <w:bCs w:val="0"/>
                <w:color w:val="0F243E" w:themeColor="text2" w:themeShade="80"/>
                <w:sz w:val="20"/>
                <w:szCs w:val="20"/>
              </w:rPr>
            </w:pPr>
            <w:r w:rsidRPr="005045BF">
              <w:rPr>
                <w:rFonts w:ascii="Arial" w:hAnsi="Arial" w:cs="Arial"/>
                <w:b w:val="0"/>
                <w:bCs w:val="0"/>
                <w:color w:val="000000"/>
                <w:sz w:val="20"/>
                <w:szCs w:val="20"/>
              </w:rPr>
              <w:t>Oficina Asesora de Jurídica</w:t>
            </w:r>
          </w:p>
        </w:tc>
        <w:tc>
          <w:tcPr>
            <w:tcW w:w="1455" w:type="dxa"/>
            <w:vAlign w:val="center"/>
          </w:tcPr>
          <w:p w14:paraId="0A8280B9" w14:textId="19B1FAA2"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2</w:t>
            </w:r>
          </w:p>
        </w:tc>
        <w:tc>
          <w:tcPr>
            <w:tcW w:w="1177" w:type="dxa"/>
            <w:vAlign w:val="center"/>
          </w:tcPr>
          <w:p w14:paraId="4B90E2B8" w14:textId="14525A8E"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w:t>
            </w:r>
          </w:p>
        </w:tc>
        <w:tc>
          <w:tcPr>
            <w:tcW w:w="1088" w:type="dxa"/>
            <w:vAlign w:val="center"/>
          </w:tcPr>
          <w:p w14:paraId="10567873" w14:textId="61ACB39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w:t>
            </w:r>
          </w:p>
        </w:tc>
      </w:tr>
      <w:tr w:rsidR="003E748F" w:rsidRPr="005045BF" w14:paraId="24FD92E6"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04B00E7F" w14:textId="66126C4E"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 xml:space="preserve">Subdirección de Riesgos </w:t>
            </w:r>
          </w:p>
        </w:tc>
        <w:tc>
          <w:tcPr>
            <w:tcW w:w="1455" w:type="dxa"/>
            <w:vAlign w:val="center"/>
          </w:tcPr>
          <w:p w14:paraId="7128D475" w14:textId="5BE8CC7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2</w:t>
            </w:r>
          </w:p>
        </w:tc>
        <w:tc>
          <w:tcPr>
            <w:tcW w:w="1177" w:type="dxa"/>
            <w:vAlign w:val="center"/>
          </w:tcPr>
          <w:p w14:paraId="466B80CB" w14:textId="3668B5C1"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088" w:type="dxa"/>
            <w:vAlign w:val="center"/>
          </w:tcPr>
          <w:p w14:paraId="2538C1FE" w14:textId="3973C6E2"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2</w:t>
            </w:r>
          </w:p>
        </w:tc>
      </w:tr>
      <w:tr w:rsidR="003E748F" w:rsidRPr="005045BF" w14:paraId="07308178"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F93DCC" w14:textId="6BD1DEF9"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Dirección General de Crédito Publico y Tesoro Nacional</w:t>
            </w:r>
          </w:p>
        </w:tc>
        <w:tc>
          <w:tcPr>
            <w:tcW w:w="1455" w:type="dxa"/>
            <w:vAlign w:val="center"/>
          </w:tcPr>
          <w:p w14:paraId="2AC49673" w14:textId="0CF943E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52CC7D5D" w14:textId="6A11817B"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5</w:t>
            </w:r>
          </w:p>
        </w:tc>
        <w:tc>
          <w:tcPr>
            <w:tcW w:w="1088" w:type="dxa"/>
            <w:vAlign w:val="center"/>
          </w:tcPr>
          <w:p w14:paraId="09F22C7C" w14:textId="3DB3FA17"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(4)</w:t>
            </w:r>
          </w:p>
        </w:tc>
      </w:tr>
      <w:tr w:rsidR="003E748F" w:rsidRPr="005045BF" w14:paraId="393E4FD5"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E38819" w14:textId="6F4973A0"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Dirección de Tecnología</w:t>
            </w:r>
          </w:p>
        </w:tc>
        <w:tc>
          <w:tcPr>
            <w:tcW w:w="1455" w:type="dxa"/>
            <w:vAlign w:val="center"/>
          </w:tcPr>
          <w:p w14:paraId="35E90711" w14:textId="51AFD29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47C0E4E0" w14:textId="3CA139C1"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20</w:t>
            </w:r>
          </w:p>
        </w:tc>
        <w:tc>
          <w:tcPr>
            <w:tcW w:w="1088" w:type="dxa"/>
            <w:vAlign w:val="center"/>
          </w:tcPr>
          <w:p w14:paraId="4E194D13" w14:textId="0616D287"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(19)</w:t>
            </w:r>
          </w:p>
        </w:tc>
      </w:tr>
      <w:tr w:rsidR="003E748F" w:rsidRPr="005045BF" w14:paraId="05CC4874"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896530" w14:textId="2E764917"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Secretaria General</w:t>
            </w:r>
          </w:p>
        </w:tc>
        <w:tc>
          <w:tcPr>
            <w:tcW w:w="1455" w:type="dxa"/>
            <w:vAlign w:val="center"/>
          </w:tcPr>
          <w:p w14:paraId="7FFBAEDC" w14:textId="612F79A5"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7570389C" w14:textId="10317470"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2</w:t>
            </w:r>
          </w:p>
        </w:tc>
        <w:tc>
          <w:tcPr>
            <w:tcW w:w="1088" w:type="dxa"/>
            <w:vAlign w:val="center"/>
          </w:tcPr>
          <w:p w14:paraId="6D38C144" w14:textId="58454135"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52CF7808"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043873" w14:textId="0ADED58B"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 xml:space="preserve">Subdirección de Servicios </w:t>
            </w:r>
          </w:p>
        </w:tc>
        <w:tc>
          <w:tcPr>
            <w:tcW w:w="1455" w:type="dxa"/>
            <w:vAlign w:val="center"/>
          </w:tcPr>
          <w:p w14:paraId="01F650FF" w14:textId="755A9A03"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618E0979" w14:textId="544C9F90"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088" w:type="dxa"/>
            <w:vAlign w:val="center"/>
          </w:tcPr>
          <w:p w14:paraId="210E41B3" w14:textId="3701FC76"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r>
      <w:tr w:rsidR="003E748F" w:rsidRPr="005045BF" w14:paraId="28596A18"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3C9E73" w14:textId="21B2F556"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Oficina de Control Interno</w:t>
            </w:r>
          </w:p>
        </w:tc>
        <w:tc>
          <w:tcPr>
            <w:tcW w:w="1455" w:type="dxa"/>
            <w:vAlign w:val="center"/>
          </w:tcPr>
          <w:p w14:paraId="3C978FEC" w14:textId="2FD35496"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1D792B2D" w14:textId="1A923DF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088" w:type="dxa"/>
            <w:vAlign w:val="center"/>
          </w:tcPr>
          <w:p w14:paraId="4C7A1A0A" w14:textId="623F04B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r>
      <w:tr w:rsidR="003E748F" w:rsidRPr="005045BF" w14:paraId="12E1108B"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47F0AB" w14:textId="697AB4CA"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Subdirección de Asociación Público Privada</w:t>
            </w:r>
          </w:p>
        </w:tc>
        <w:tc>
          <w:tcPr>
            <w:tcW w:w="1455" w:type="dxa"/>
            <w:vAlign w:val="center"/>
          </w:tcPr>
          <w:p w14:paraId="27E8815A" w14:textId="5960BCC2"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1DB71A23" w14:textId="776000B9"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088" w:type="dxa"/>
            <w:vAlign w:val="center"/>
          </w:tcPr>
          <w:p w14:paraId="14726C49" w14:textId="26A5F0F9"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59BF1168"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bottom"/>
          </w:tcPr>
          <w:p w14:paraId="5F444E74" w14:textId="23768D57" w:rsidR="003E748F" w:rsidRPr="005045BF" w:rsidRDefault="003E748F" w:rsidP="00A92CFB">
            <w:pPr>
              <w:widowControl w:val="0"/>
              <w:spacing w:before="40" w:after="60"/>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Subdirección de Operaciones</w:t>
            </w:r>
          </w:p>
        </w:tc>
        <w:tc>
          <w:tcPr>
            <w:tcW w:w="1455" w:type="dxa"/>
            <w:vAlign w:val="center"/>
          </w:tcPr>
          <w:p w14:paraId="5A82AD8D" w14:textId="6F363624"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177" w:type="dxa"/>
            <w:vAlign w:val="center"/>
          </w:tcPr>
          <w:p w14:paraId="6248EC43" w14:textId="3908AACD"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088" w:type="dxa"/>
            <w:vAlign w:val="center"/>
          </w:tcPr>
          <w:p w14:paraId="229CB1B7" w14:textId="471A5547"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179FC8CC"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2B828A" w14:textId="5925C8A4"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Dirección Administrativa</w:t>
            </w:r>
          </w:p>
        </w:tc>
        <w:tc>
          <w:tcPr>
            <w:tcW w:w="1455" w:type="dxa"/>
            <w:vAlign w:val="center"/>
          </w:tcPr>
          <w:p w14:paraId="583BB010" w14:textId="0DC7F0D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177" w:type="dxa"/>
            <w:vAlign w:val="center"/>
          </w:tcPr>
          <w:p w14:paraId="04DE3E0B" w14:textId="1C8D3C0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088" w:type="dxa"/>
            <w:vAlign w:val="center"/>
          </w:tcPr>
          <w:p w14:paraId="5CFED282" w14:textId="1E419146"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582D1C7F"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E6EDE2" w14:textId="586B80DE" w:rsidR="003E748F" w:rsidRPr="005045BF" w:rsidRDefault="003E748F" w:rsidP="00A92CFB">
            <w:pPr>
              <w:widowControl w:val="0"/>
              <w:spacing w:before="40" w:after="60"/>
              <w:jc w:val="both"/>
              <w:rPr>
                <w:rFonts w:ascii="Arial" w:hAnsi="Arial" w:cs="Arial"/>
                <w:b w:val="0"/>
                <w:bCs w:val="0"/>
                <w:color w:val="0F243E" w:themeColor="text2" w:themeShade="80"/>
                <w:sz w:val="20"/>
                <w:szCs w:val="20"/>
                <w:highlight w:val="yellow"/>
              </w:rPr>
            </w:pPr>
            <w:r w:rsidRPr="005045BF">
              <w:rPr>
                <w:rFonts w:ascii="Arial" w:hAnsi="Arial" w:cs="Arial"/>
                <w:b w:val="0"/>
                <w:bCs w:val="0"/>
                <w:color w:val="000000"/>
                <w:sz w:val="20"/>
                <w:szCs w:val="20"/>
              </w:rPr>
              <w:t>Oficina Asesora de Planeación</w:t>
            </w:r>
          </w:p>
        </w:tc>
        <w:tc>
          <w:tcPr>
            <w:tcW w:w="1455" w:type="dxa"/>
            <w:vAlign w:val="center"/>
          </w:tcPr>
          <w:p w14:paraId="2140E4A6" w14:textId="4A6F92B8"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177" w:type="dxa"/>
            <w:vAlign w:val="center"/>
          </w:tcPr>
          <w:p w14:paraId="51907D36" w14:textId="7144FCA2"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088" w:type="dxa"/>
            <w:vAlign w:val="center"/>
          </w:tcPr>
          <w:p w14:paraId="2F205058" w14:textId="3F463C24"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4AC0FE23" w14:textId="77777777" w:rsidTr="003E748F">
        <w:trPr>
          <w:cantSplit/>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19920E" w14:textId="6B603FE0" w:rsidR="003E748F" w:rsidRPr="005045BF" w:rsidRDefault="003E748F" w:rsidP="00A92CFB">
            <w:pPr>
              <w:widowControl w:val="0"/>
              <w:spacing w:before="40" w:after="60"/>
              <w:jc w:val="both"/>
              <w:rPr>
                <w:rFonts w:ascii="Arial" w:hAnsi="Arial" w:cs="Arial"/>
                <w:b w:val="0"/>
                <w:bCs w:val="0"/>
                <w:color w:val="000000"/>
                <w:sz w:val="20"/>
                <w:szCs w:val="20"/>
              </w:rPr>
            </w:pPr>
            <w:r w:rsidRPr="005045BF">
              <w:rPr>
                <w:rFonts w:ascii="Arial" w:hAnsi="Arial" w:cs="Arial"/>
                <w:b w:val="0"/>
                <w:bCs w:val="0"/>
                <w:color w:val="000000"/>
                <w:sz w:val="20"/>
                <w:szCs w:val="20"/>
              </w:rPr>
              <w:t>Subdirección Financiera</w:t>
            </w:r>
          </w:p>
        </w:tc>
        <w:tc>
          <w:tcPr>
            <w:tcW w:w="1455" w:type="dxa"/>
            <w:vAlign w:val="center"/>
          </w:tcPr>
          <w:p w14:paraId="0504F390" w14:textId="355C672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0</w:t>
            </w:r>
          </w:p>
        </w:tc>
        <w:tc>
          <w:tcPr>
            <w:tcW w:w="1177" w:type="dxa"/>
            <w:vAlign w:val="center"/>
          </w:tcPr>
          <w:p w14:paraId="2A0091F0" w14:textId="7E9CCB1C"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c>
          <w:tcPr>
            <w:tcW w:w="1088" w:type="dxa"/>
            <w:vAlign w:val="center"/>
          </w:tcPr>
          <w:p w14:paraId="72EB679F" w14:textId="0D9C3DCF"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highlight w:val="yellow"/>
              </w:rPr>
            </w:pPr>
            <w:r w:rsidRPr="005045BF">
              <w:rPr>
                <w:rFonts w:ascii="Arial" w:hAnsi="Arial" w:cs="Arial"/>
                <w:color w:val="000000"/>
                <w:sz w:val="20"/>
                <w:szCs w:val="20"/>
              </w:rPr>
              <w:t>(1)</w:t>
            </w:r>
          </w:p>
        </w:tc>
      </w:tr>
      <w:tr w:rsidR="003E748F" w:rsidRPr="005045BF" w14:paraId="7BF77A01" w14:textId="77777777" w:rsidTr="003E748F">
        <w:trPr>
          <w:cantSplit/>
          <w:trHeight w:val="439"/>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bottom w:val="double" w:sz="4" w:space="0" w:color="4F81BD" w:themeColor="accent1"/>
            </w:tcBorders>
            <w:vAlign w:val="center"/>
          </w:tcPr>
          <w:p w14:paraId="7A9D913E" w14:textId="6543D33D" w:rsidR="003E748F" w:rsidRPr="005045BF" w:rsidRDefault="003E748F" w:rsidP="00A92CFB">
            <w:pPr>
              <w:widowControl w:val="0"/>
              <w:spacing w:before="40" w:after="6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Total de Contratos Vigentes</w:t>
            </w:r>
          </w:p>
        </w:tc>
        <w:tc>
          <w:tcPr>
            <w:tcW w:w="1455" w:type="dxa"/>
            <w:tcBorders>
              <w:top w:val="double" w:sz="4" w:space="0" w:color="4F81BD" w:themeColor="accent1"/>
              <w:bottom w:val="double" w:sz="4" w:space="0" w:color="4F81BD" w:themeColor="accent1"/>
            </w:tcBorders>
            <w:vAlign w:val="center"/>
          </w:tcPr>
          <w:p w14:paraId="09D9E5E5" w14:textId="34EEE404"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87</w:t>
            </w:r>
          </w:p>
        </w:tc>
        <w:tc>
          <w:tcPr>
            <w:tcW w:w="1177" w:type="dxa"/>
            <w:tcBorders>
              <w:top w:val="double" w:sz="4" w:space="0" w:color="4F81BD" w:themeColor="accent1"/>
              <w:bottom w:val="double" w:sz="4" w:space="0" w:color="4F81BD" w:themeColor="accent1"/>
            </w:tcBorders>
            <w:vAlign w:val="center"/>
          </w:tcPr>
          <w:p w14:paraId="07554B1A" w14:textId="6028DF8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89</w:t>
            </w:r>
          </w:p>
        </w:tc>
        <w:tc>
          <w:tcPr>
            <w:tcW w:w="1088" w:type="dxa"/>
            <w:tcBorders>
              <w:top w:val="double" w:sz="4" w:space="0" w:color="4F81BD" w:themeColor="accent1"/>
              <w:bottom w:val="double" w:sz="4" w:space="0" w:color="4F81BD" w:themeColor="accent1"/>
            </w:tcBorders>
            <w:vAlign w:val="center"/>
          </w:tcPr>
          <w:p w14:paraId="6E2ECDCE" w14:textId="7DDCC7CA" w:rsidR="003E748F" w:rsidRPr="005045BF" w:rsidRDefault="003E748F" w:rsidP="00A92CFB">
            <w:pPr>
              <w:widowControl w:val="0"/>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(2)</w:t>
            </w:r>
          </w:p>
        </w:tc>
      </w:tr>
    </w:tbl>
    <w:p w14:paraId="5C087845" w14:textId="77777777" w:rsidR="005B05D3" w:rsidRPr="005045BF" w:rsidRDefault="005B05D3" w:rsidP="009A28FA">
      <w:pPr>
        <w:jc w:val="both"/>
        <w:rPr>
          <w:rFonts w:ascii="Arial" w:hAnsi="Arial" w:cs="Arial"/>
          <w:color w:val="000000"/>
          <w:sz w:val="22"/>
          <w:szCs w:val="22"/>
        </w:rPr>
      </w:pPr>
    </w:p>
    <w:p w14:paraId="70676198" w14:textId="7F19F244" w:rsidR="009A28FA" w:rsidRPr="005045BF" w:rsidRDefault="005B05D3" w:rsidP="009A28FA">
      <w:pPr>
        <w:jc w:val="both"/>
        <w:rPr>
          <w:rFonts w:ascii="Arial" w:hAnsi="Arial" w:cs="Arial"/>
          <w:color w:val="000000"/>
          <w:sz w:val="22"/>
          <w:szCs w:val="22"/>
        </w:rPr>
      </w:pPr>
      <w:r w:rsidRPr="005045BF">
        <w:rPr>
          <w:rFonts w:ascii="Arial" w:hAnsi="Arial" w:cs="Arial"/>
          <w:color w:val="000000"/>
          <w:sz w:val="22"/>
          <w:szCs w:val="22"/>
        </w:rPr>
        <w:t xml:space="preserve">Conforme a </w:t>
      </w:r>
      <w:r w:rsidR="002B2710" w:rsidRPr="005045BF">
        <w:rPr>
          <w:rFonts w:ascii="Arial" w:hAnsi="Arial" w:cs="Arial"/>
          <w:color w:val="000000"/>
          <w:sz w:val="22"/>
          <w:szCs w:val="22"/>
        </w:rPr>
        <w:t xml:space="preserve">las variaciones antes expuestas, se observó que la contratación de servicios profesionales y </w:t>
      </w:r>
      <w:r w:rsidR="00932938" w:rsidRPr="005045BF">
        <w:rPr>
          <w:rFonts w:ascii="Arial" w:hAnsi="Arial" w:cs="Arial"/>
          <w:color w:val="000000"/>
          <w:sz w:val="22"/>
          <w:szCs w:val="22"/>
        </w:rPr>
        <w:t xml:space="preserve">de </w:t>
      </w:r>
      <w:r w:rsidR="002B2710" w:rsidRPr="005045BF">
        <w:rPr>
          <w:rFonts w:ascii="Arial" w:hAnsi="Arial" w:cs="Arial"/>
          <w:color w:val="000000"/>
          <w:sz w:val="22"/>
          <w:szCs w:val="22"/>
        </w:rPr>
        <w:t>apoyo a la gestión</w:t>
      </w:r>
      <w:r w:rsidR="00932938" w:rsidRPr="005045BF">
        <w:rPr>
          <w:rFonts w:ascii="Arial" w:hAnsi="Arial" w:cs="Arial"/>
          <w:color w:val="000000"/>
          <w:sz w:val="22"/>
          <w:szCs w:val="22"/>
        </w:rPr>
        <w:t xml:space="preserve"> </w:t>
      </w:r>
      <w:r w:rsidR="00AA4667" w:rsidRPr="005045BF">
        <w:rPr>
          <w:rFonts w:ascii="Arial" w:hAnsi="Arial" w:cs="Arial"/>
          <w:color w:val="000000"/>
          <w:sz w:val="22"/>
          <w:szCs w:val="22"/>
        </w:rPr>
        <w:t xml:space="preserve">para </w:t>
      </w:r>
      <w:r w:rsidR="002B2710" w:rsidRPr="005045BF">
        <w:rPr>
          <w:rFonts w:ascii="Arial" w:hAnsi="Arial" w:cs="Arial"/>
          <w:color w:val="000000"/>
          <w:sz w:val="22"/>
          <w:szCs w:val="22"/>
        </w:rPr>
        <w:t xml:space="preserve">el </w:t>
      </w:r>
      <w:r w:rsidR="008E216F" w:rsidRPr="005045BF">
        <w:rPr>
          <w:rFonts w:ascii="Arial" w:hAnsi="Arial" w:cs="Arial"/>
          <w:color w:val="000000"/>
          <w:sz w:val="22"/>
          <w:szCs w:val="22"/>
        </w:rPr>
        <w:t xml:space="preserve">primer </w:t>
      </w:r>
      <w:r w:rsidR="002B2710" w:rsidRPr="005045BF">
        <w:rPr>
          <w:rFonts w:ascii="Arial" w:hAnsi="Arial" w:cs="Arial"/>
          <w:color w:val="000000"/>
          <w:sz w:val="22"/>
          <w:szCs w:val="22"/>
        </w:rPr>
        <w:t>trimestre de 20</w:t>
      </w:r>
      <w:r w:rsidR="008E216F" w:rsidRPr="005045BF">
        <w:rPr>
          <w:rFonts w:ascii="Arial" w:hAnsi="Arial" w:cs="Arial"/>
          <w:color w:val="000000"/>
          <w:sz w:val="22"/>
          <w:szCs w:val="22"/>
        </w:rPr>
        <w:t>20 comparado con el mismo periodo de 2019</w:t>
      </w:r>
      <w:r w:rsidR="002B2710" w:rsidRPr="005045BF">
        <w:rPr>
          <w:rFonts w:ascii="Arial" w:hAnsi="Arial" w:cs="Arial"/>
          <w:color w:val="000000"/>
          <w:sz w:val="22"/>
          <w:szCs w:val="22"/>
        </w:rPr>
        <w:t xml:space="preserve"> </w:t>
      </w:r>
      <w:r w:rsidR="00932938" w:rsidRPr="005045BF">
        <w:rPr>
          <w:rFonts w:ascii="Arial" w:hAnsi="Arial" w:cs="Arial"/>
          <w:color w:val="000000"/>
          <w:sz w:val="22"/>
          <w:szCs w:val="22"/>
        </w:rPr>
        <w:t>presentó una</w:t>
      </w:r>
      <w:r w:rsidR="00AA3F60" w:rsidRPr="005045BF">
        <w:rPr>
          <w:rFonts w:ascii="Arial" w:hAnsi="Arial" w:cs="Arial"/>
          <w:color w:val="000000"/>
          <w:sz w:val="22"/>
          <w:szCs w:val="22"/>
        </w:rPr>
        <w:t xml:space="preserve"> variación negativa correspondiente a una </w:t>
      </w:r>
      <w:r w:rsidR="00932938" w:rsidRPr="005045BF">
        <w:rPr>
          <w:rFonts w:ascii="Arial" w:hAnsi="Arial" w:cs="Arial"/>
          <w:b/>
          <w:bCs/>
          <w:color w:val="000000"/>
          <w:sz w:val="22"/>
          <w:szCs w:val="22"/>
        </w:rPr>
        <w:t>disminución</w:t>
      </w:r>
      <w:r w:rsidR="00932938" w:rsidRPr="005045BF">
        <w:rPr>
          <w:rFonts w:ascii="Arial" w:hAnsi="Arial" w:cs="Arial"/>
          <w:color w:val="000000"/>
          <w:sz w:val="22"/>
          <w:szCs w:val="22"/>
        </w:rPr>
        <w:t xml:space="preserve"> </w:t>
      </w:r>
      <w:r w:rsidR="008E216F" w:rsidRPr="005045BF">
        <w:rPr>
          <w:rFonts w:ascii="Arial" w:hAnsi="Arial" w:cs="Arial"/>
          <w:color w:val="000000"/>
          <w:sz w:val="22"/>
          <w:szCs w:val="22"/>
        </w:rPr>
        <w:t>de 2 contratos</w:t>
      </w:r>
      <w:r w:rsidR="00AA3F60" w:rsidRPr="005045BF">
        <w:rPr>
          <w:rFonts w:ascii="Arial" w:hAnsi="Arial" w:cs="Arial"/>
          <w:color w:val="000000"/>
          <w:sz w:val="22"/>
          <w:szCs w:val="22"/>
        </w:rPr>
        <w:t xml:space="preserve">, equivalente al </w:t>
      </w:r>
      <w:r w:rsidR="00AA3F60" w:rsidRPr="005045BF">
        <w:rPr>
          <w:rFonts w:ascii="Arial" w:hAnsi="Arial" w:cs="Arial"/>
          <w:color w:val="000000" w:themeColor="text1"/>
          <w:sz w:val="22"/>
          <w:szCs w:val="22"/>
        </w:rPr>
        <w:t>2%.</w:t>
      </w:r>
    </w:p>
    <w:p w14:paraId="17D3905E" w14:textId="2A56173A" w:rsidR="008E216F" w:rsidRPr="005045BF" w:rsidRDefault="008E216F" w:rsidP="009A28FA">
      <w:pPr>
        <w:jc w:val="both"/>
        <w:rPr>
          <w:rFonts w:ascii="Arial" w:hAnsi="Arial" w:cs="Arial"/>
          <w:color w:val="000000"/>
          <w:sz w:val="22"/>
          <w:szCs w:val="22"/>
        </w:rPr>
      </w:pPr>
    </w:p>
    <w:p w14:paraId="43C5E4EF" w14:textId="3A1960E1" w:rsidR="008E216F" w:rsidRPr="005045BF" w:rsidRDefault="008E216F" w:rsidP="009A28FA">
      <w:pPr>
        <w:jc w:val="both"/>
        <w:rPr>
          <w:rFonts w:ascii="Arial" w:hAnsi="Arial" w:cs="Arial"/>
          <w:color w:val="000000"/>
          <w:sz w:val="22"/>
          <w:szCs w:val="22"/>
        </w:rPr>
      </w:pPr>
      <w:r w:rsidRPr="005045BF">
        <w:rPr>
          <w:rFonts w:ascii="Arial" w:hAnsi="Arial" w:cs="Arial"/>
          <w:color w:val="000000"/>
          <w:sz w:val="22"/>
          <w:szCs w:val="22"/>
        </w:rPr>
        <w:t xml:space="preserve">Frente a la variación observada </w:t>
      </w:r>
      <w:r w:rsidR="007F0541" w:rsidRPr="005045BF">
        <w:rPr>
          <w:rFonts w:ascii="Arial" w:hAnsi="Arial" w:cs="Arial"/>
          <w:color w:val="000000"/>
          <w:sz w:val="22"/>
          <w:szCs w:val="22"/>
        </w:rPr>
        <w:t xml:space="preserve">para la </w:t>
      </w:r>
      <w:r w:rsidRPr="005045BF">
        <w:rPr>
          <w:rFonts w:ascii="Arial" w:hAnsi="Arial" w:cs="Arial"/>
          <w:color w:val="000000"/>
          <w:sz w:val="22"/>
          <w:szCs w:val="22"/>
        </w:rPr>
        <w:t>Dirección de Tecnología correspondiente a 19 contratos, se aclara que no corresponde a una disminución de la contratación, sino a temas de clasificación, dado que, los contratos suscritos durante el primer trimestre de 2020 fueron asignados a la Subdirecci</w:t>
      </w:r>
      <w:r w:rsidR="007F0541" w:rsidRPr="005045BF">
        <w:rPr>
          <w:rFonts w:ascii="Arial" w:hAnsi="Arial" w:cs="Arial"/>
          <w:color w:val="000000"/>
          <w:sz w:val="22"/>
          <w:szCs w:val="22"/>
        </w:rPr>
        <w:t>ón</w:t>
      </w:r>
      <w:r w:rsidRPr="005045BF">
        <w:rPr>
          <w:rFonts w:ascii="Arial" w:hAnsi="Arial" w:cs="Arial"/>
          <w:color w:val="000000"/>
          <w:sz w:val="22"/>
          <w:szCs w:val="22"/>
        </w:rPr>
        <w:t xml:space="preserve"> de Administración de Recursos Tecnológico [11 contratos] y </w:t>
      </w:r>
      <w:r w:rsidR="007F0541" w:rsidRPr="005045BF">
        <w:rPr>
          <w:rFonts w:ascii="Arial" w:hAnsi="Arial" w:cs="Arial"/>
          <w:color w:val="000000"/>
          <w:sz w:val="22"/>
          <w:szCs w:val="22"/>
        </w:rPr>
        <w:t>la Subdirección de</w:t>
      </w:r>
      <w:r w:rsidRPr="005045BF">
        <w:rPr>
          <w:rFonts w:ascii="Arial" w:hAnsi="Arial" w:cs="Arial"/>
          <w:color w:val="000000"/>
          <w:sz w:val="22"/>
          <w:szCs w:val="22"/>
        </w:rPr>
        <w:t xml:space="preserve"> Ingeniería de Software [8 contratos], siendo esta</w:t>
      </w:r>
      <w:r w:rsidR="00007C72" w:rsidRPr="005045BF">
        <w:rPr>
          <w:rFonts w:ascii="Arial" w:hAnsi="Arial" w:cs="Arial"/>
          <w:color w:val="000000"/>
          <w:sz w:val="22"/>
          <w:szCs w:val="22"/>
        </w:rPr>
        <w:t>s</w:t>
      </w:r>
      <w:r w:rsidR="00B21436">
        <w:rPr>
          <w:rFonts w:ascii="Arial" w:hAnsi="Arial" w:cs="Arial"/>
          <w:color w:val="000000"/>
          <w:sz w:val="22"/>
          <w:szCs w:val="22"/>
        </w:rPr>
        <w:t xml:space="preserve"> </w:t>
      </w:r>
      <w:r w:rsidRPr="005045BF">
        <w:rPr>
          <w:rFonts w:ascii="Arial" w:hAnsi="Arial" w:cs="Arial"/>
          <w:color w:val="000000"/>
          <w:sz w:val="22"/>
          <w:szCs w:val="22"/>
        </w:rPr>
        <w:t>dependencias</w:t>
      </w:r>
      <w:r w:rsidR="00B21436">
        <w:rPr>
          <w:rFonts w:ascii="Arial" w:hAnsi="Arial" w:cs="Arial"/>
          <w:color w:val="000000"/>
          <w:sz w:val="22"/>
          <w:szCs w:val="22"/>
        </w:rPr>
        <w:t xml:space="preserve">, parte de la </w:t>
      </w:r>
      <w:r w:rsidRPr="005045BF">
        <w:rPr>
          <w:rFonts w:ascii="Arial" w:hAnsi="Arial" w:cs="Arial"/>
          <w:color w:val="000000"/>
          <w:sz w:val="22"/>
          <w:szCs w:val="22"/>
        </w:rPr>
        <w:t>Dirección</w:t>
      </w:r>
      <w:r w:rsidR="00B21436">
        <w:rPr>
          <w:rFonts w:ascii="Arial" w:hAnsi="Arial" w:cs="Arial"/>
          <w:color w:val="000000"/>
          <w:sz w:val="22"/>
          <w:szCs w:val="22"/>
        </w:rPr>
        <w:t xml:space="preserve"> de Tecnología.</w:t>
      </w:r>
      <w:r w:rsidRPr="005045BF">
        <w:rPr>
          <w:rFonts w:ascii="Arial" w:hAnsi="Arial" w:cs="Arial"/>
          <w:color w:val="000000"/>
          <w:sz w:val="22"/>
          <w:szCs w:val="22"/>
        </w:rPr>
        <w:t xml:space="preserve"> </w:t>
      </w:r>
    </w:p>
    <w:p w14:paraId="2336B53D" w14:textId="77777777" w:rsidR="008E216F" w:rsidRPr="005045BF" w:rsidRDefault="008E216F" w:rsidP="009A28FA">
      <w:pPr>
        <w:jc w:val="both"/>
        <w:rPr>
          <w:rFonts w:ascii="Arial" w:hAnsi="Arial" w:cs="Arial"/>
          <w:color w:val="000000"/>
          <w:sz w:val="22"/>
          <w:szCs w:val="22"/>
        </w:rPr>
      </w:pPr>
    </w:p>
    <w:p w14:paraId="36AE34BE" w14:textId="6E88F81D" w:rsidR="00D07AE1" w:rsidRPr="005045BF" w:rsidRDefault="00A66339" w:rsidP="009A28FA">
      <w:pPr>
        <w:jc w:val="both"/>
        <w:rPr>
          <w:rFonts w:ascii="Arial" w:hAnsi="Arial" w:cs="Arial"/>
          <w:color w:val="000000"/>
          <w:sz w:val="22"/>
          <w:szCs w:val="22"/>
        </w:rPr>
      </w:pPr>
      <w:r w:rsidRPr="005045BF">
        <w:rPr>
          <w:rFonts w:ascii="Arial" w:hAnsi="Arial" w:cs="Arial"/>
          <w:color w:val="000000"/>
          <w:sz w:val="22"/>
          <w:szCs w:val="22"/>
        </w:rPr>
        <w:lastRenderedPageBreak/>
        <w:t xml:space="preserve">Por otra parte, </w:t>
      </w:r>
      <w:r w:rsidR="00190752" w:rsidRPr="005045BF">
        <w:rPr>
          <w:rFonts w:ascii="Arial" w:hAnsi="Arial" w:cs="Arial"/>
          <w:color w:val="000000"/>
          <w:sz w:val="22"/>
          <w:szCs w:val="22"/>
        </w:rPr>
        <w:t xml:space="preserve">con base en </w:t>
      </w:r>
      <w:r w:rsidRPr="005045BF">
        <w:rPr>
          <w:rFonts w:ascii="Arial" w:hAnsi="Arial" w:cs="Arial"/>
          <w:color w:val="000000"/>
          <w:sz w:val="22"/>
          <w:szCs w:val="22"/>
        </w:rPr>
        <w:t>la</w:t>
      </w:r>
      <w:r w:rsidR="00391651" w:rsidRPr="005045BF">
        <w:rPr>
          <w:rFonts w:ascii="Arial" w:hAnsi="Arial" w:cs="Arial"/>
          <w:color w:val="000000"/>
          <w:sz w:val="22"/>
          <w:szCs w:val="22"/>
        </w:rPr>
        <w:t xml:space="preserve"> información allegada por el Grupo de </w:t>
      </w:r>
      <w:r w:rsidR="00E13504" w:rsidRPr="005045BF">
        <w:rPr>
          <w:rFonts w:ascii="Arial" w:hAnsi="Arial" w:cs="Arial"/>
          <w:color w:val="000000"/>
          <w:sz w:val="22"/>
          <w:szCs w:val="22"/>
        </w:rPr>
        <w:t xml:space="preserve">Contratación Directa </w:t>
      </w:r>
      <w:r w:rsidR="00391651" w:rsidRPr="005045BF">
        <w:rPr>
          <w:rFonts w:ascii="Arial" w:hAnsi="Arial" w:cs="Arial"/>
          <w:color w:val="000000"/>
          <w:sz w:val="22"/>
          <w:szCs w:val="22"/>
        </w:rPr>
        <w:t>[reportes</w:t>
      </w:r>
      <w:r w:rsidR="00391651" w:rsidRPr="005045BF">
        <w:rPr>
          <w:rFonts w:ascii="Arial" w:hAnsi="Arial" w:cs="Arial"/>
          <w:b/>
          <w:sz w:val="22"/>
          <w:szCs w:val="22"/>
        </w:rPr>
        <w:t xml:space="preserve"> </w:t>
      </w:r>
      <w:r w:rsidR="00391651" w:rsidRPr="005045BF">
        <w:rPr>
          <w:rFonts w:ascii="Arial" w:hAnsi="Arial" w:cs="Arial"/>
          <w:color w:val="000000"/>
          <w:sz w:val="22"/>
          <w:szCs w:val="22"/>
        </w:rPr>
        <w:t xml:space="preserve">CON_R2173], se </w:t>
      </w:r>
      <w:r w:rsidR="005D408E" w:rsidRPr="005045BF">
        <w:rPr>
          <w:rFonts w:ascii="Arial" w:hAnsi="Arial" w:cs="Arial"/>
          <w:color w:val="000000"/>
          <w:sz w:val="22"/>
          <w:szCs w:val="22"/>
        </w:rPr>
        <w:t xml:space="preserve">estableció que para el </w:t>
      </w:r>
      <w:r w:rsidR="00E15BD1" w:rsidRPr="005045BF">
        <w:rPr>
          <w:rFonts w:ascii="Arial" w:hAnsi="Arial" w:cs="Arial"/>
          <w:color w:val="000000"/>
          <w:sz w:val="22"/>
          <w:szCs w:val="22"/>
        </w:rPr>
        <w:t xml:space="preserve">primer </w:t>
      </w:r>
      <w:r w:rsidR="005D408E" w:rsidRPr="005045BF">
        <w:rPr>
          <w:rFonts w:ascii="Arial" w:hAnsi="Arial" w:cs="Arial"/>
          <w:color w:val="000000"/>
          <w:sz w:val="22"/>
          <w:szCs w:val="22"/>
        </w:rPr>
        <w:t>trimestre de 20</w:t>
      </w:r>
      <w:r w:rsidR="00E15BD1" w:rsidRPr="005045BF">
        <w:rPr>
          <w:rFonts w:ascii="Arial" w:hAnsi="Arial" w:cs="Arial"/>
          <w:color w:val="000000"/>
          <w:sz w:val="22"/>
          <w:szCs w:val="22"/>
        </w:rPr>
        <w:t>20</w:t>
      </w:r>
      <w:r w:rsidR="005D408E" w:rsidRPr="005045BF">
        <w:rPr>
          <w:rFonts w:ascii="Arial" w:hAnsi="Arial" w:cs="Arial"/>
          <w:color w:val="000000"/>
          <w:sz w:val="22"/>
          <w:szCs w:val="22"/>
        </w:rPr>
        <w:t xml:space="preserve"> </w:t>
      </w:r>
      <w:r w:rsidR="00391651" w:rsidRPr="005045BF">
        <w:rPr>
          <w:rFonts w:ascii="Arial" w:hAnsi="Arial" w:cs="Arial"/>
          <w:color w:val="000000"/>
          <w:sz w:val="22"/>
          <w:szCs w:val="22"/>
        </w:rPr>
        <w:t xml:space="preserve">se suscribieron </w:t>
      </w:r>
      <w:r w:rsidR="00E15BD1" w:rsidRPr="005045BF">
        <w:rPr>
          <w:rFonts w:ascii="Arial" w:hAnsi="Arial" w:cs="Arial"/>
          <w:color w:val="000000"/>
          <w:sz w:val="22"/>
          <w:szCs w:val="22"/>
        </w:rPr>
        <w:t>52</w:t>
      </w:r>
      <w:r w:rsidR="00A6285D" w:rsidRPr="005045BF">
        <w:rPr>
          <w:rFonts w:ascii="Arial" w:hAnsi="Arial" w:cs="Arial"/>
          <w:color w:val="000000"/>
          <w:sz w:val="22"/>
          <w:szCs w:val="22"/>
        </w:rPr>
        <w:t xml:space="preserve"> </w:t>
      </w:r>
      <w:r w:rsidR="00723396" w:rsidRPr="005045BF">
        <w:rPr>
          <w:rFonts w:ascii="Arial" w:hAnsi="Arial" w:cs="Arial"/>
          <w:color w:val="000000"/>
          <w:sz w:val="22"/>
          <w:szCs w:val="22"/>
        </w:rPr>
        <w:t>contrat</w:t>
      </w:r>
      <w:r w:rsidR="00E15BD1" w:rsidRPr="005045BF">
        <w:rPr>
          <w:rFonts w:ascii="Arial" w:hAnsi="Arial" w:cs="Arial"/>
          <w:color w:val="000000"/>
          <w:sz w:val="22"/>
          <w:szCs w:val="22"/>
        </w:rPr>
        <w:t xml:space="preserve">os </w:t>
      </w:r>
      <w:r w:rsidR="00A6285D" w:rsidRPr="005045BF">
        <w:rPr>
          <w:rFonts w:ascii="Arial" w:hAnsi="Arial" w:cs="Arial"/>
          <w:color w:val="000000"/>
          <w:sz w:val="22"/>
          <w:szCs w:val="22"/>
        </w:rPr>
        <w:t>referentes a prestación de servicios profesionales y de apoyo a la gestión</w:t>
      </w:r>
      <w:r w:rsidR="00204BBD" w:rsidRPr="005045BF">
        <w:rPr>
          <w:rFonts w:ascii="Arial" w:hAnsi="Arial" w:cs="Arial"/>
          <w:color w:val="000000"/>
          <w:sz w:val="22"/>
          <w:szCs w:val="22"/>
        </w:rPr>
        <w:t xml:space="preserve"> correspondiente</w:t>
      </w:r>
      <w:r w:rsidR="000A6466" w:rsidRPr="005045BF">
        <w:rPr>
          <w:rFonts w:ascii="Arial" w:hAnsi="Arial" w:cs="Arial"/>
          <w:color w:val="000000"/>
          <w:sz w:val="22"/>
          <w:szCs w:val="22"/>
        </w:rPr>
        <w:t>s</w:t>
      </w:r>
      <w:r w:rsidR="00204BBD" w:rsidRPr="005045BF">
        <w:rPr>
          <w:rFonts w:ascii="Arial" w:hAnsi="Arial" w:cs="Arial"/>
          <w:color w:val="000000"/>
          <w:sz w:val="22"/>
          <w:szCs w:val="22"/>
        </w:rPr>
        <w:t xml:space="preserve"> al rubro presupuestal </w:t>
      </w:r>
      <w:r w:rsidR="00204BBD" w:rsidRPr="005045BF">
        <w:rPr>
          <w:rFonts w:ascii="Arial" w:hAnsi="Arial" w:cs="Arial"/>
          <w:sz w:val="22"/>
          <w:szCs w:val="22"/>
        </w:rPr>
        <w:t>A-02-02-02-008</w:t>
      </w:r>
      <w:r w:rsidR="00A6285D" w:rsidRPr="005045BF">
        <w:rPr>
          <w:rFonts w:ascii="Arial" w:hAnsi="Arial" w:cs="Arial"/>
          <w:color w:val="000000"/>
          <w:sz w:val="22"/>
          <w:szCs w:val="22"/>
        </w:rPr>
        <w:t>, a saber</w:t>
      </w:r>
      <w:r w:rsidR="008F6A7D" w:rsidRPr="005045BF">
        <w:rPr>
          <w:rFonts w:ascii="Arial" w:hAnsi="Arial" w:cs="Arial"/>
          <w:color w:val="000000"/>
          <w:sz w:val="22"/>
          <w:szCs w:val="22"/>
        </w:rPr>
        <w:t>:</w:t>
      </w:r>
    </w:p>
    <w:p w14:paraId="542A2A33" w14:textId="77777777" w:rsidR="009A28FA" w:rsidRPr="005045BF" w:rsidRDefault="009A28FA" w:rsidP="009A28FA">
      <w:pPr>
        <w:jc w:val="both"/>
        <w:rPr>
          <w:rFonts w:ascii="Arial" w:hAnsi="Arial" w:cs="Arial"/>
          <w:color w:val="000000"/>
          <w:sz w:val="22"/>
          <w:szCs w:val="22"/>
        </w:rPr>
      </w:pPr>
    </w:p>
    <w:tbl>
      <w:tblPr>
        <w:tblStyle w:val="Tablaconcuadrcula1clara-nfasis1"/>
        <w:tblW w:w="9634" w:type="dxa"/>
        <w:jc w:val="right"/>
        <w:tblLayout w:type="fixed"/>
        <w:tblLook w:val="04A0" w:firstRow="1" w:lastRow="0" w:firstColumn="1" w:lastColumn="0" w:noHBand="0" w:noVBand="1"/>
      </w:tblPr>
      <w:tblGrid>
        <w:gridCol w:w="2689"/>
        <w:gridCol w:w="1275"/>
        <w:gridCol w:w="1418"/>
        <w:gridCol w:w="1417"/>
        <w:gridCol w:w="1276"/>
        <w:gridCol w:w="1559"/>
      </w:tblGrid>
      <w:tr w:rsidR="00E12132" w:rsidRPr="005045BF" w14:paraId="74CFD6C3" w14:textId="77777777" w:rsidTr="001078D7">
        <w:trPr>
          <w:cnfStyle w:val="100000000000" w:firstRow="1" w:lastRow="0" w:firstColumn="0" w:lastColumn="0" w:oddVBand="0" w:evenVBand="0" w:oddHBand="0" w:evenHBand="0" w:firstRowFirstColumn="0" w:firstRowLastColumn="0" w:lastRowFirstColumn="0" w:lastRowLastColumn="0"/>
          <w:cantSplit/>
          <w:tblHeader/>
          <w:jc w:val="right"/>
        </w:trPr>
        <w:tc>
          <w:tcPr>
            <w:cnfStyle w:val="001000000000" w:firstRow="0" w:lastRow="0" w:firstColumn="1" w:lastColumn="0" w:oddVBand="0" w:evenVBand="0" w:oddHBand="0" w:evenHBand="0" w:firstRowFirstColumn="0" w:firstRowLastColumn="0" w:lastRowFirstColumn="0" w:lastRowLastColumn="0"/>
            <w:tcW w:w="2689" w:type="dxa"/>
            <w:vMerge w:val="restart"/>
            <w:shd w:val="clear" w:color="auto" w:fill="4F81BD" w:themeFill="accent1"/>
            <w:vAlign w:val="center"/>
            <w:hideMark/>
          </w:tcPr>
          <w:p w14:paraId="70A1C3CF" w14:textId="77777777" w:rsidR="000E7175" w:rsidRPr="005045BF" w:rsidRDefault="000E7175" w:rsidP="00E44738">
            <w:pPr>
              <w:widowControl w:val="0"/>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Dependencia </w:t>
            </w:r>
          </w:p>
        </w:tc>
        <w:tc>
          <w:tcPr>
            <w:tcW w:w="1275" w:type="dxa"/>
            <w:vMerge w:val="restart"/>
            <w:shd w:val="clear" w:color="auto" w:fill="4F81BD" w:themeFill="accent1"/>
            <w:vAlign w:val="center"/>
            <w:hideMark/>
          </w:tcPr>
          <w:p w14:paraId="08E1E1E0" w14:textId="77777777" w:rsidR="000E7175" w:rsidRPr="005045BF" w:rsidRDefault="000E7175"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Contratos</w:t>
            </w:r>
          </w:p>
        </w:tc>
        <w:tc>
          <w:tcPr>
            <w:tcW w:w="5670" w:type="dxa"/>
            <w:gridSpan w:val="4"/>
            <w:shd w:val="clear" w:color="auto" w:fill="4F81BD" w:themeFill="accent1"/>
            <w:vAlign w:val="center"/>
            <w:hideMark/>
          </w:tcPr>
          <w:p w14:paraId="5CA303A6" w14:textId="32FA70E6" w:rsidR="000E7175" w:rsidRPr="005045BF" w:rsidRDefault="000E7175"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Contratos Suscritos </w:t>
            </w:r>
            <w:r w:rsidR="00436B6B" w:rsidRPr="005045BF">
              <w:rPr>
                <w:rFonts w:ascii="Arial" w:hAnsi="Arial" w:cs="Arial"/>
                <w:color w:val="FFFFFF" w:themeColor="background1"/>
                <w:sz w:val="20"/>
                <w:szCs w:val="20"/>
              </w:rPr>
              <w:t>I</w:t>
            </w:r>
            <w:r w:rsidR="00EC6E9E"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de 20</w:t>
            </w:r>
            <w:r w:rsidR="008F64AE" w:rsidRPr="005045BF">
              <w:rPr>
                <w:rFonts w:ascii="Arial" w:hAnsi="Arial" w:cs="Arial"/>
                <w:color w:val="FFFFFF" w:themeColor="background1"/>
                <w:sz w:val="20"/>
                <w:szCs w:val="20"/>
              </w:rPr>
              <w:t>20</w:t>
            </w:r>
            <w:r w:rsidR="00502103" w:rsidRPr="005045BF">
              <w:rPr>
                <w:rFonts w:ascii="Arial" w:hAnsi="Arial" w:cs="Arial"/>
                <w:color w:val="FFFFFF" w:themeColor="background1"/>
                <w:sz w:val="20"/>
                <w:szCs w:val="20"/>
              </w:rPr>
              <w:t xml:space="preserve"> ($)</w:t>
            </w:r>
          </w:p>
        </w:tc>
      </w:tr>
      <w:tr w:rsidR="00E12132" w:rsidRPr="005045BF" w14:paraId="5604AC94" w14:textId="77777777" w:rsidTr="001078D7">
        <w:trPr>
          <w:cnfStyle w:val="100000000000" w:firstRow="1" w:lastRow="0" w:firstColumn="0" w:lastColumn="0" w:oddVBand="0" w:evenVBand="0" w:oddHBand="0" w:evenHBand="0" w:firstRowFirstColumn="0" w:firstRowLastColumn="0" w:lastRowFirstColumn="0" w:lastRowLastColumn="0"/>
          <w:cantSplit/>
          <w:tblHeader/>
          <w:jc w:val="right"/>
        </w:trPr>
        <w:tc>
          <w:tcPr>
            <w:cnfStyle w:val="001000000000" w:firstRow="0" w:lastRow="0" w:firstColumn="1" w:lastColumn="0" w:oddVBand="0" w:evenVBand="0" w:oddHBand="0" w:evenHBand="0" w:firstRowFirstColumn="0" w:firstRowLastColumn="0" w:lastRowFirstColumn="0" w:lastRowLastColumn="0"/>
            <w:tcW w:w="2689" w:type="dxa"/>
            <w:vMerge/>
            <w:shd w:val="clear" w:color="auto" w:fill="4F81BD" w:themeFill="accent1"/>
            <w:vAlign w:val="center"/>
            <w:hideMark/>
          </w:tcPr>
          <w:p w14:paraId="646EE069" w14:textId="77777777" w:rsidR="000E7175" w:rsidRPr="005045BF" w:rsidRDefault="000E7175" w:rsidP="00E44738">
            <w:pPr>
              <w:widowControl w:val="0"/>
              <w:spacing w:before="60" w:after="60"/>
              <w:rPr>
                <w:rFonts w:ascii="Arial" w:hAnsi="Arial" w:cs="Arial"/>
                <w:color w:val="FFFFFF" w:themeColor="background1"/>
                <w:sz w:val="20"/>
                <w:szCs w:val="20"/>
              </w:rPr>
            </w:pPr>
          </w:p>
        </w:tc>
        <w:tc>
          <w:tcPr>
            <w:tcW w:w="1275" w:type="dxa"/>
            <w:vMerge/>
            <w:shd w:val="clear" w:color="auto" w:fill="4F81BD" w:themeFill="accent1"/>
            <w:vAlign w:val="center"/>
            <w:hideMark/>
          </w:tcPr>
          <w:p w14:paraId="0CA419CD" w14:textId="77777777" w:rsidR="000E7175" w:rsidRPr="005045BF" w:rsidRDefault="000E7175"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p>
        </w:tc>
        <w:tc>
          <w:tcPr>
            <w:tcW w:w="1418" w:type="dxa"/>
            <w:shd w:val="clear" w:color="auto" w:fill="4F81BD" w:themeFill="accent1"/>
            <w:vAlign w:val="center"/>
            <w:hideMark/>
          </w:tcPr>
          <w:p w14:paraId="0E7E9868" w14:textId="44123179" w:rsidR="000E7175" w:rsidRPr="005045BF" w:rsidRDefault="00E15BD1"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Enero </w:t>
            </w:r>
            <w:r w:rsidR="00EC6E9E" w:rsidRPr="005045BF">
              <w:rPr>
                <w:rFonts w:ascii="Arial" w:hAnsi="Arial" w:cs="Arial"/>
                <w:color w:val="FFFFFF" w:themeColor="background1"/>
                <w:sz w:val="20"/>
                <w:szCs w:val="20"/>
              </w:rPr>
              <w:t xml:space="preserve"> </w:t>
            </w:r>
            <w:r w:rsidR="000E7175" w:rsidRPr="005045BF">
              <w:rPr>
                <w:rFonts w:ascii="Arial" w:hAnsi="Arial" w:cs="Arial"/>
                <w:color w:val="FFFFFF" w:themeColor="background1"/>
                <w:sz w:val="20"/>
                <w:szCs w:val="20"/>
              </w:rPr>
              <w:t xml:space="preserve"> </w:t>
            </w:r>
          </w:p>
        </w:tc>
        <w:tc>
          <w:tcPr>
            <w:tcW w:w="1417" w:type="dxa"/>
            <w:shd w:val="clear" w:color="auto" w:fill="4F81BD" w:themeFill="accent1"/>
            <w:vAlign w:val="center"/>
            <w:hideMark/>
          </w:tcPr>
          <w:p w14:paraId="29A97379" w14:textId="77805F81" w:rsidR="000E7175" w:rsidRPr="005045BF" w:rsidRDefault="00E15BD1"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Febrero </w:t>
            </w:r>
          </w:p>
        </w:tc>
        <w:tc>
          <w:tcPr>
            <w:tcW w:w="1276" w:type="dxa"/>
            <w:shd w:val="clear" w:color="auto" w:fill="4F81BD" w:themeFill="accent1"/>
            <w:vAlign w:val="center"/>
            <w:hideMark/>
          </w:tcPr>
          <w:p w14:paraId="64BFAA71" w14:textId="58393BB7" w:rsidR="000E7175" w:rsidRPr="005045BF" w:rsidRDefault="00E15BD1"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Marzo </w:t>
            </w:r>
          </w:p>
        </w:tc>
        <w:tc>
          <w:tcPr>
            <w:tcW w:w="1559" w:type="dxa"/>
            <w:shd w:val="clear" w:color="auto" w:fill="4F81BD" w:themeFill="accent1"/>
            <w:vAlign w:val="center"/>
            <w:hideMark/>
          </w:tcPr>
          <w:p w14:paraId="27FAA7D0" w14:textId="2512AE4B" w:rsidR="000E7175" w:rsidRPr="005045BF" w:rsidRDefault="00E12132" w:rsidP="00E44738">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w:t>
            </w:r>
            <w:r w:rsidR="000E7175" w:rsidRPr="005045BF">
              <w:rPr>
                <w:rFonts w:ascii="Arial" w:hAnsi="Arial" w:cs="Arial"/>
                <w:color w:val="FFFFFF" w:themeColor="background1"/>
                <w:sz w:val="20"/>
                <w:szCs w:val="20"/>
              </w:rPr>
              <w:t xml:space="preserve">Valor </w:t>
            </w:r>
            <w:r w:rsidR="008F64AE" w:rsidRPr="005045BF">
              <w:rPr>
                <w:rFonts w:ascii="Arial" w:hAnsi="Arial" w:cs="Arial"/>
                <w:color w:val="FFFFFF" w:themeColor="background1"/>
                <w:sz w:val="20"/>
                <w:szCs w:val="20"/>
              </w:rPr>
              <w:t xml:space="preserve">Total </w:t>
            </w:r>
            <w:r w:rsidR="000E7175" w:rsidRPr="005045BF">
              <w:rPr>
                <w:rFonts w:ascii="Arial" w:hAnsi="Arial" w:cs="Arial"/>
                <w:color w:val="FFFFFF" w:themeColor="background1"/>
                <w:sz w:val="20"/>
                <w:szCs w:val="20"/>
              </w:rPr>
              <w:t>de Contratos</w:t>
            </w:r>
            <w:r w:rsidRPr="005045BF">
              <w:rPr>
                <w:rFonts w:ascii="Arial" w:hAnsi="Arial" w:cs="Arial"/>
                <w:color w:val="FFFFFF" w:themeColor="background1"/>
                <w:sz w:val="20"/>
                <w:szCs w:val="20"/>
              </w:rPr>
              <w:t xml:space="preserve"> ($)</w:t>
            </w:r>
          </w:p>
        </w:tc>
      </w:tr>
      <w:tr w:rsidR="008F64AE" w:rsidRPr="005045BF" w14:paraId="1C6F4BFB"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C5D97B0" w14:textId="38A3CD15"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Subdirección Jurídica </w:t>
            </w:r>
          </w:p>
        </w:tc>
        <w:tc>
          <w:tcPr>
            <w:tcW w:w="1275" w:type="dxa"/>
            <w:noWrap/>
            <w:vAlign w:val="center"/>
          </w:tcPr>
          <w:p w14:paraId="7D910051" w14:textId="53F1C398"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24</w:t>
            </w:r>
          </w:p>
        </w:tc>
        <w:tc>
          <w:tcPr>
            <w:tcW w:w="1418" w:type="dxa"/>
            <w:noWrap/>
            <w:vAlign w:val="center"/>
          </w:tcPr>
          <w:p w14:paraId="3EC62B45" w14:textId="641FD18B"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1.323.151.384 </w:t>
            </w:r>
          </w:p>
        </w:tc>
        <w:tc>
          <w:tcPr>
            <w:tcW w:w="1417" w:type="dxa"/>
            <w:noWrap/>
            <w:vAlign w:val="center"/>
          </w:tcPr>
          <w:p w14:paraId="5376DC0B" w14:textId="45F506F4"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57.165.000 </w:t>
            </w:r>
          </w:p>
        </w:tc>
        <w:tc>
          <w:tcPr>
            <w:tcW w:w="1276" w:type="dxa"/>
            <w:noWrap/>
            <w:vAlign w:val="center"/>
          </w:tcPr>
          <w:p w14:paraId="11E47401" w14:textId="2C4A2BD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04431452" w14:textId="175C32BD"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1.380.316.384 </w:t>
            </w:r>
          </w:p>
        </w:tc>
      </w:tr>
      <w:tr w:rsidR="008F64AE" w:rsidRPr="005045BF" w14:paraId="7B482C01"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4C2ACE1" w14:textId="7EFF8251"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Dirección General del Presupuesto General de la Nación</w:t>
            </w:r>
          </w:p>
        </w:tc>
        <w:tc>
          <w:tcPr>
            <w:tcW w:w="1275" w:type="dxa"/>
            <w:noWrap/>
            <w:vAlign w:val="center"/>
          </w:tcPr>
          <w:p w14:paraId="6B6F25A1" w14:textId="7CE98996"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10</w:t>
            </w:r>
          </w:p>
        </w:tc>
        <w:tc>
          <w:tcPr>
            <w:tcW w:w="1418" w:type="dxa"/>
            <w:noWrap/>
            <w:vAlign w:val="center"/>
          </w:tcPr>
          <w:p w14:paraId="22036EED" w14:textId="417B1940"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230.716.346 </w:t>
            </w:r>
          </w:p>
        </w:tc>
        <w:tc>
          <w:tcPr>
            <w:tcW w:w="1417" w:type="dxa"/>
            <w:noWrap/>
            <w:vAlign w:val="center"/>
          </w:tcPr>
          <w:p w14:paraId="78C3410D" w14:textId="2A84776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180.965.605 </w:t>
            </w:r>
          </w:p>
        </w:tc>
        <w:tc>
          <w:tcPr>
            <w:tcW w:w="1276" w:type="dxa"/>
            <w:noWrap/>
            <w:vAlign w:val="center"/>
          </w:tcPr>
          <w:p w14:paraId="75A39072" w14:textId="36E58B60"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114.118.790 </w:t>
            </w:r>
          </w:p>
        </w:tc>
        <w:tc>
          <w:tcPr>
            <w:tcW w:w="1559" w:type="dxa"/>
            <w:vAlign w:val="center"/>
          </w:tcPr>
          <w:p w14:paraId="1EE96804" w14:textId="1F65E8CE"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525.800.741 </w:t>
            </w:r>
          </w:p>
        </w:tc>
      </w:tr>
      <w:tr w:rsidR="008F64AE" w:rsidRPr="005045BF" w14:paraId="183E5E6A"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1ACD184E" w14:textId="2B37644C"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Despacho del Ministro</w:t>
            </w:r>
          </w:p>
        </w:tc>
        <w:tc>
          <w:tcPr>
            <w:tcW w:w="1275" w:type="dxa"/>
            <w:noWrap/>
            <w:vAlign w:val="center"/>
          </w:tcPr>
          <w:p w14:paraId="492A1837" w14:textId="26504ADC"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w:t>
            </w:r>
          </w:p>
        </w:tc>
        <w:tc>
          <w:tcPr>
            <w:tcW w:w="1418" w:type="dxa"/>
            <w:noWrap/>
            <w:vAlign w:val="center"/>
          </w:tcPr>
          <w:p w14:paraId="6EEFD270" w14:textId="61C8DC43"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71.185.000 </w:t>
            </w:r>
          </w:p>
        </w:tc>
        <w:tc>
          <w:tcPr>
            <w:tcW w:w="1417" w:type="dxa"/>
            <w:noWrap/>
            <w:vAlign w:val="center"/>
          </w:tcPr>
          <w:p w14:paraId="01691870" w14:textId="479340A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37DB3D01" w14:textId="5C937F27"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63.719.600 </w:t>
            </w:r>
          </w:p>
        </w:tc>
        <w:tc>
          <w:tcPr>
            <w:tcW w:w="1559" w:type="dxa"/>
            <w:vAlign w:val="center"/>
          </w:tcPr>
          <w:p w14:paraId="70C031AB" w14:textId="252CF0F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134.904.600 </w:t>
            </w:r>
          </w:p>
        </w:tc>
      </w:tr>
      <w:tr w:rsidR="008F64AE" w:rsidRPr="005045BF" w14:paraId="3968A6B8"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2BB8D490" w14:textId="070F8FA7"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Oficina de Control Disciplinario Interno</w:t>
            </w:r>
          </w:p>
        </w:tc>
        <w:tc>
          <w:tcPr>
            <w:tcW w:w="1275" w:type="dxa"/>
            <w:noWrap/>
            <w:vAlign w:val="center"/>
          </w:tcPr>
          <w:p w14:paraId="6CBF59CC" w14:textId="7154AE10"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w:t>
            </w:r>
          </w:p>
        </w:tc>
        <w:tc>
          <w:tcPr>
            <w:tcW w:w="1418" w:type="dxa"/>
            <w:noWrap/>
            <w:vAlign w:val="center"/>
          </w:tcPr>
          <w:p w14:paraId="03E4DDE0" w14:textId="2DFD44F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157.082.000 </w:t>
            </w:r>
          </w:p>
        </w:tc>
        <w:tc>
          <w:tcPr>
            <w:tcW w:w="1417" w:type="dxa"/>
            <w:noWrap/>
            <w:vAlign w:val="center"/>
          </w:tcPr>
          <w:p w14:paraId="7E208A1A" w14:textId="1311BAD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415EFC55" w14:textId="2A38C86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74033080" w14:textId="6AC1E73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157.082.000 </w:t>
            </w:r>
          </w:p>
        </w:tc>
      </w:tr>
      <w:tr w:rsidR="008F64AE" w:rsidRPr="005045BF" w14:paraId="697A13DC"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ED0C35F" w14:textId="7B06BD8D"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 Subdirección de Riesgos </w:t>
            </w:r>
          </w:p>
        </w:tc>
        <w:tc>
          <w:tcPr>
            <w:tcW w:w="1275" w:type="dxa"/>
            <w:noWrap/>
            <w:vAlign w:val="center"/>
          </w:tcPr>
          <w:p w14:paraId="29E40E3F" w14:textId="58A69B57"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2D034EBF" w14:textId="20B7355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27.386.536 </w:t>
            </w:r>
          </w:p>
        </w:tc>
        <w:tc>
          <w:tcPr>
            <w:tcW w:w="1417" w:type="dxa"/>
            <w:noWrap/>
            <w:vAlign w:val="center"/>
          </w:tcPr>
          <w:p w14:paraId="72F0B047" w14:textId="6A6A8D3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16A78B28" w14:textId="14B88E43"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34923EA5" w14:textId="334BAF50"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27.386.536 </w:t>
            </w:r>
          </w:p>
        </w:tc>
      </w:tr>
      <w:tr w:rsidR="008F64AE" w:rsidRPr="005045BF" w14:paraId="3B651983"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7F8EF1D" w14:textId="4CA2B9CA"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Dirección General de Participaciones Estatales </w:t>
            </w:r>
          </w:p>
        </w:tc>
        <w:tc>
          <w:tcPr>
            <w:tcW w:w="1275" w:type="dxa"/>
            <w:noWrap/>
            <w:vAlign w:val="center"/>
          </w:tcPr>
          <w:p w14:paraId="73F9D1AC" w14:textId="0AA23871"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51ED9EC8" w14:textId="4E703A1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417" w:type="dxa"/>
            <w:noWrap/>
            <w:vAlign w:val="center"/>
          </w:tcPr>
          <w:p w14:paraId="23F13CB1" w14:textId="4271C5F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78B22A90" w14:textId="681F7A3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47.500.000 </w:t>
            </w:r>
          </w:p>
        </w:tc>
        <w:tc>
          <w:tcPr>
            <w:tcW w:w="1559" w:type="dxa"/>
            <w:vAlign w:val="center"/>
          </w:tcPr>
          <w:p w14:paraId="6617D577" w14:textId="4987CC61"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47.500.000 </w:t>
            </w:r>
          </w:p>
        </w:tc>
      </w:tr>
      <w:tr w:rsidR="008F64AE" w:rsidRPr="005045BF" w14:paraId="45E72932"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09083EB" w14:textId="6922EEC1"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Oficina Asesora de Jurídica </w:t>
            </w:r>
          </w:p>
        </w:tc>
        <w:tc>
          <w:tcPr>
            <w:tcW w:w="1275" w:type="dxa"/>
            <w:noWrap/>
            <w:vAlign w:val="center"/>
          </w:tcPr>
          <w:p w14:paraId="3321933B" w14:textId="0C5C06BE"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2A1A1580" w14:textId="070F0B6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417" w:type="dxa"/>
            <w:noWrap/>
            <w:vAlign w:val="center"/>
          </w:tcPr>
          <w:p w14:paraId="45B7ABE3" w14:textId="45111AA1"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86.666.667 </w:t>
            </w:r>
          </w:p>
        </w:tc>
        <w:tc>
          <w:tcPr>
            <w:tcW w:w="1276" w:type="dxa"/>
            <w:noWrap/>
            <w:vAlign w:val="center"/>
          </w:tcPr>
          <w:p w14:paraId="3249FBE2" w14:textId="0AB8DAB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5B50CD77" w14:textId="10C2099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86.666.667 </w:t>
            </w:r>
          </w:p>
        </w:tc>
      </w:tr>
      <w:tr w:rsidR="008F64AE" w:rsidRPr="005045BF" w14:paraId="6E74A77C"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28AD25F" w14:textId="385E019A"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Oficina Asesora de Jurídica </w:t>
            </w:r>
          </w:p>
        </w:tc>
        <w:tc>
          <w:tcPr>
            <w:tcW w:w="1275" w:type="dxa"/>
            <w:noWrap/>
            <w:vAlign w:val="center"/>
          </w:tcPr>
          <w:p w14:paraId="22B531F9" w14:textId="417B69A3"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1C4ADE6D" w14:textId="190DE2F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101.100.000 </w:t>
            </w:r>
          </w:p>
        </w:tc>
        <w:tc>
          <w:tcPr>
            <w:tcW w:w="1417" w:type="dxa"/>
            <w:noWrap/>
            <w:vAlign w:val="center"/>
          </w:tcPr>
          <w:p w14:paraId="7F43B238" w14:textId="7ACA6FEF"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6318F824" w14:textId="4335217B"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4FF46933" w14:textId="107454B0"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101.100.000 </w:t>
            </w:r>
          </w:p>
        </w:tc>
      </w:tr>
      <w:tr w:rsidR="008F64AE" w:rsidRPr="005045BF" w14:paraId="7112A5E2"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B58C98C" w14:textId="0970349C"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Oficina de Bonos Pensionales</w:t>
            </w:r>
          </w:p>
        </w:tc>
        <w:tc>
          <w:tcPr>
            <w:tcW w:w="1275" w:type="dxa"/>
            <w:noWrap/>
            <w:vAlign w:val="center"/>
          </w:tcPr>
          <w:p w14:paraId="6838C58A" w14:textId="3690580D"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64FF3C7C" w14:textId="3508D0F6"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417" w:type="dxa"/>
            <w:noWrap/>
            <w:vAlign w:val="center"/>
          </w:tcPr>
          <w:p w14:paraId="2EC05CD4" w14:textId="5CD47CA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28.276.061 </w:t>
            </w:r>
          </w:p>
        </w:tc>
        <w:tc>
          <w:tcPr>
            <w:tcW w:w="1276" w:type="dxa"/>
            <w:noWrap/>
            <w:vAlign w:val="center"/>
          </w:tcPr>
          <w:p w14:paraId="24B60D8E" w14:textId="2E853F1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7732C092" w14:textId="7518345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28.276.061 </w:t>
            </w:r>
          </w:p>
        </w:tc>
      </w:tr>
      <w:tr w:rsidR="008F64AE" w:rsidRPr="005045BF" w14:paraId="65214527"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372D140" w14:textId="309EF8F9"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Oficina de Control Interno</w:t>
            </w:r>
          </w:p>
        </w:tc>
        <w:tc>
          <w:tcPr>
            <w:tcW w:w="1275" w:type="dxa"/>
            <w:noWrap/>
            <w:vAlign w:val="center"/>
          </w:tcPr>
          <w:p w14:paraId="16D271B9" w14:textId="5A8EA949"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22618839" w14:textId="3C9D6312"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90.568.868 </w:t>
            </w:r>
          </w:p>
        </w:tc>
        <w:tc>
          <w:tcPr>
            <w:tcW w:w="1417" w:type="dxa"/>
            <w:noWrap/>
            <w:vAlign w:val="center"/>
          </w:tcPr>
          <w:p w14:paraId="12B3A729" w14:textId="68EA13BF"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11208911" w14:textId="77047C9F"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28371B5B" w14:textId="17553391"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90.568.868 </w:t>
            </w:r>
          </w:p>
        </w:tc>
      </w:tr>
      <w:tr w:rsidR="008F64AE" w:rsidRPr="005045BF" w14:paraId="42D99789"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2F9CADFA" w14:textId="5DC23A0D"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Secretaría General </w:t>
            </w:r>
          </w:p>
        </w:tc>
        <w:tc>
          <w:tcPr>
            <w:tcW w:w="1275" w:type="dxa"/>
            <w:noWrap/>
            <w:vAlign w:val="center"/>
          </w:tcPr>
          <w:p w14:paraId="28CB1595" w14:textId="2E01490F"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1207ACBB" w14:textId="3AA7F36E"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123.600.000 </w:t>
            </w:r>
          </w:p>
        </w:tc>
        <w:tc>
          <w:tcPr>
            <w:tcW w:w="1417" w:type="dxa"/>
            <w:noWrap/>
            <w:vAlign w:val="center"/>
          </w:tcPr>
          <w:p w14:paraId="4B7A2CDE" w14:textId="7E3C0973"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29181D90" w14:textId="60438DC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1D32D9C8" w14:textId="1275C960"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123.600.000 </w:t>
            </w:r>
          </w:p>
        </w:tc>
      </w:tr>
      <w:tr w:rsidR="008F64AE" w:rsidRPr="005045BF" w14:paraId="7F7D0F21"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097405B" w14:textId="7F39FD81"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Subdirección de Asociación Público Privada</w:t>
            </w:r>
          </w:p>
        </w:tc>
        <w:tc>
          <w:tcPr>
            <w:tcW w:w="1275" w:type="dxa"/>
            <w:noWrap/>
            <w:vAlign w:val="center"/>
          </w:tcPr>
          <w:p w14:paraId="358CB7E1" w14:textId="025CA1BD"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7276FDE3" w14:textId="4BBB349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101.512.646 </w:t>
            </w:r>
          </w:p>
        </w:tc>
        <w:tc>
          <w:tcPr>
            <w:tcW w:w="1417" w:type="dxa"/>
            <w:noWrap/>
            <w:vAlign w:val="center"/>
          </w:tcPr>
          <w:p w14:paraId="59F6F4C9" w14:textId="17AA3EF6"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72199EA7" w14:textId="793E151E"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5BE8727D" w14:textId="0B64C82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101.512.646 </w:t>
            </w:r>
          </w:p>
        </w:tc>
      </w:tr>
      <w:tr w:rsidR="008F64AE" w:rsidRPr="005045BF" w14:paraId="025E6E8A"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BBA7080" w14:textId="6EBF3692"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Subdirección de Operaciones</w:t>
            </w:r>
          </w:p>
        </w:tc>
        <w:tc>
          <w:tcPr>
            <w:tcW w:w="1275" w:type="dxa"/>
            <w:noWrap/>
            <w:vAlign w:val="center"/>
          </w:tcPr>
          <w:p w14:paraId="3A7AE718" w14:textId="36B5889B"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180062A8" w14:textId="3946710F"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417" w:type="dxa"/>
            <w:noWrap/>
            <w:vAlign w:val="center"/>
          </w:tcPr>
          <w:p w14:paraId="61D57FD3" w14:textId="345FB4BF"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42.357.333 </w:t>
            </w:r>
          </w:p>
        </w:tc>
        <w:tc>
          <w:tcPr>
            <w:tcW w:w="1276" w:type="dxa"/>
            <w:noWrap/>
            <w:vAlign w:val="center"/>
          </w:tcPr>
          <w:p w14:paraId="5695B5B7" w14:textId="7408ED71"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4869152E" w14:textId="6C3143A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42.357.333 </w:t>
            </w:r>
          </w:p>
        </w:tc>
      </w:tr>
      <w:tr w:rsidR="008F64AE" w:rsidRPr="005045BF" w14:paraId="1DCBE5E1"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BC35C07" w14:textId="389D70DB"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Subdirección de Riesgos </w:t>
            </w:r>
          </w:p>
        </w:tc>
        <w:tc>
          <w:tcPr>
            <w:tcW w:w="1275" w:type="dxa"/>
            <w:noWrap/>
            <w:vAlign w:val="center"/>
          </w:tcPr>
          <w:p w14:paraId="10AE65B8" w14:textId="6D467DF2"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0D8100EA" w14:textId="56A5D3C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27.963.963 </w:t>
            </w:r>
          </w:p>
        </w:tc>
        <w:tc>
          <w:tcPr>
            <w:tcW w:w="1417" w:type="dxa"/>
            <w:noWrap/>
            <w:vAlign w:val="center"/>
          </w:tcPr>
          <w:p w14:paraId="290CC5E9" w14:textId="03126ECE"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6A113842" w14:textId="75317D3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31A83A28" w14:textId="5074BB86"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27.963.963 </w:t>
            </w:r>
          </w:p>
        </w:tc>
      </w:tr>
      <w:tr w:rsidR="008F64AE" w:rsidRPr="005045BF" w14:paraId="07D130D1"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323E97F2" w14:textId="0AFF581B"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 xml:space="preserve">Subdirección de Servicios </w:t>
            </w:r>
          </w:p>
        </w:tc>
        <w:tc>
          <w:tcPr>
            <w:tcW w:w="1275" w:type="dxa"/>
            <w:noWrap/>
            <w:vAlign w:val="center"/>
          </w:tcPr>
          <w:p w14:paraId="2657E307" w14:textId="445AA360"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14AD3B4B" w14:textId="294AE5D6"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98.890.000 </w:t>
            </w:r>
          </w:p>
        </w:tc>
        <w:tc>
          <w:tcPr>
            <w:tcW w:w="1417" w:type="dxa"/>
            <w:noWrap/>
            <w:vAlign w:val="center"/>
          </w:tcPr>
          <w:p w14:paraId="54C8651E" w14:textId="07EA5F53"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26DC0492" w14:textId="4557ABB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61A81241" w14:textId="3F8CF0B4"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98.890.000 </w:t>
            </w:r>
          </w:p>
        </w:tc>
      </w:tr>
      <w:tr w:rsidR="008F64AE" w:rsidRPr="005045BF" w14:paraId="7E39DFE4"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7F4A764C" w14:textId="00E3AF6C"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Subdirector de Tecnología de Software</w:t>
            </w:r>
          </w:p>
        </w:tc>
        <w:tc>
          <w:tcPr>
            <w:tcW w:w="1275" w:type="dxa"/>
            <w:noWrap/>
            <w:vAlign w:val="center"/>
          </w:tcPr>
          <w:p w14:paraId="66A94089" w14:textId="643A7A75"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061DBC96" w14:textId="3F7E5ED9"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417" w:type="dxa"/>
            <w:noWrap/>
            <w:vAlign w:val="center"/>
          </w:tcPr>
          <w:p w14:paraId="3DD880C9" w14:textId="120422E3"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69.691.921 </w:t>
            </w:r>
          </w:p>
        </w:tc>
        <w:tc>
          <w:tcPr>
            <w:tcW w:w="1276" w:type="dxa"/>
            <w:noWrap/>
            <w:vAlign w:val="center"/>
          </w:tcPr>
          <w:p w14:paraId="35D184FF" w14:textId="0047543C"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41E80CA5" w14:textId="51BCCEAC"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69.691.921 </w:t>
            </w:r>
          </w:p>
        </w:tc>
      </w:tr>
      <w:tr w:rsidR="008F64AE" w:rsidRPr="005045BF" w14:paraId="6980E2ED"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noWrap/>
            <w:vAlign w:val="center"/>
          </w:tcPr>
          <w:p w14:paraId="0D4F38C0" w14:textId="39CD6AC5" w:rsidR="008F64AE" w:rsidRPr="005045BF" w:rsidRDefault="008F64AE" w:rsidP="00E44738">
            <w:pPr>
              <w:widowControl w:val="0"/>
              <w:spacing w:before="60" w:after="60"/>
              <w:rPr>
                <w:rFonts w:ascii="Arial" w:hAnsi="Arial" w:cs="Arial"/>
                <w:b w:val="0"/>
                <w:bCs w:val="0"/>
                <w:color w:val="0F243E" w:themeColor="text2" w:themeShade="80"/>
                <w:sz w:val="18"/>
                <w:szCs w:val="18"/>
              </w:rPr>
            </w:pPr>
            <w:r w:rsidRPr="005045BF">
              <w:rPr>
                <w:rFonts w:ascii="Arial" w:hAnsi="Arial" w:cs="Arial"/>
                <w:b w:val="0"/>
                <w:bCs w:val="0"/>
                <w:color w:val="0F243E" w:themeColor="text2" w:themeShade="80"/>
                <w:sz w:val="18"/>
                <w:szCs w:val="18"/>
              </w:rPr>
              <w:t>Dirección General de Crédito Público</w:t>
            </w:r>
          </w:p>
        </w:tc>
        <w:tc>
          <w:tcPr>
            <w:tcW w:w="1275" w:type="dxa"/>
            <w:noWrap/>
            <w:vAlign w:val="center"/>
          </w:tcPr>
          <w:p w14:paraId="3340C83C" w14:textId="3278B984"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w:t>
            </w:r>
          </w:p>
        </w:tc>
        <w:tc>
          <w:tcPr>
            <w:tcW w:w="1418" w:type="dxa"/>
            <w:noWrap/>
            <w:vAlign w:val="center"/>
          </w:tcPr>
          <w:p w14:paraId="574E7F43" w14:textId="53518C94"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89.915.608 </w:t>
            </w:r>
          </w:p>
        </w:tc>
        <w:tc>
          <w:tcPr>
            <w:tcW w:w="1417" w:type="dxa"/>
            <w:noWrap/>
            <w:vAlign w:val="center"/>
          </w:tcPr>
          <w:p w14:paraId="79750288" w14:textId="0E7CEEAA"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276" w:type="dxa"/>
            <w:noWrap/>
            <w:vAlign w:val="center"/>
          </w:tcPr>
          <w:p w14:paraId="18EF0967" w14:textId="69DCA94D"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w:t>
            </w:r>
          </w:p>
        </w:tc>
        <w:tc>
          <w:tcPr>
            <w:tcW w:w="1559" w:type="dxa"/>
            <w:vAlign w:val="center"/>
          </w:tcPr>
          <w:p w14:paraId="254880C6" w14:textId="148A567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89.915.608 </w:t>
            </w:r>
          </w:p>
        </w:tc>
      </w:tr>
      <w:tr w:rsidR="008F64AE" w:rsidRPr="005045BF" w14:paraId="534C6268" w14:textId="77777777" w:rsidTr="001078D7">
        <w:trPr>
          <w:cantSplit/>
          <w:jc w:val="right"/>
        </w:trPr>
        <w:tc>
          <w:tcPr>
            <w:cnfStyle w:val="001000000000" w:firstRow="0" w:lastRow="0" w:firstColumn="1" w:lastColumn="0" w:oddVBand="0" w:evenVBand="0" w:oddHBand="0" w:evenHBand="0" w:firstRowFirstColumn="0" w:firstRowLastColumn="0" w:lastRowFirstColumn="0" w:lastRowLastColumn="0"/>
            <w:tcW w:w="2689" w:type="dxa"/>
            <w:shd w:val="clear" w:color="auto" w:fill="4F81BD" w:themeFill="accent1"/>
            <w:vAlign w:val="center"/>
            <w:hideMark/>
          </w:tcPr>
          <w:p w14:paraId="4866D3DE" w14:textId="77777777" w:rsidR="008F64AE" w:rsidRPr="005045BF" w:rsidRDefault="008F64AE" w:rsidP="00E44738">
            <w:pPr>
              <w:widowControl w:val="0"/>
              <w:spacing w:before="60" w:after="60"/>
              <w:rPr>
                <w:rFonts w:ascii="Arial" w:hAnsi="Arial" w:cs="Arial"/>
                <w:color w:val="FFFFFF" w:themeColor="background1"/>
                <w:sz w:val="18"/>
                <w:szCs w:val="18"/>
              </w:rPr>
            </w:pPr>
            <w:r w:rsidRPr="005045BF">
              <w:rPr>
                <w:rFonts w:ascii="Arial" w:hAnsi="Arial" w:cs="Arial"/>
                <w:color w:val="FFFFFF" w:themeColor="background1"/>
                <w:sz w:val="18"/>
                <w:szCs w:val="18"/>
              </w:rPr>
              <w:t xml:space="preserve">Total </w:t>
            </w:r>
          </w:p>
        </w:tc>
        <w:tc>
          <w:tcPr>
            <w:tcW w:w="1275" w:type="dxa"/>
            <w:shd w:val="clear" w:color="auto" w:fill="4F81BD" w:themeFill="accent1"/>
            <w:noWrap/>
            <w:vAlign w:val="center"/>
          </w:tcPr>
          <w:p w14:paraId="2BDAB84D" w14:textId="5C71BCB7" w:rsidR="008F64AE" w:rsidRPr="005045BF" w:rsidRDefault="008F64AE" w:rsidP="00E44738">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52</w:t>
            </w:r>
          </w:p>
        </w:tc>
        <w:tc>
          <w:tcPr>
            <w:tcW w:w="1418" w:type="dxa"/>
            <w:shd w:val="clear" w:color="auto" w:fill="4F81BD" w:themeFill="accent1"/>
            <w:noWrap/>
            <w:vAlign w:val="center"/>
          </w:tcPr>
          <w:p w14:paraId="00DD34D9" w14:textId="187B2DC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2.443.072.351</w:t>
            </w:r>
          </w:p>
        </w:tc>
        <w:tc>
          <w:tcPr>
            <w:tcW w:w="1417" w:type="dxa"/>
            <w:shd w:val="clear" w:color="auto" w:fill="4F81BD" w:themeFill="accent1"/>
            <w:noWrap/>
            <w:vAlign w:val="center"/>
          </w:tcPr>
          <w:p w14:paraId="41411843" w14:textId="48981AB6"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465.122.587</w:t>
            </w:r>
          </w:p>
        </w:tc>
        <w:tc>
          <w:tcPr>
            <w:tcW w:w="1276" w:type="dxa"/>
            <w:shd w:val="clear" w:color="auto" w:fill="4F81BD" w:themeFill="accent1"/>
            <w:noWrap/>
            <w:vAlign w:val="center"/>
          </w:tcPr>
          <w:p w14:paraId="794C9B5A" w14:textId="0E4595C8" w:rsidR="008F64AE" w:rsidRPr="005045BF" w:rsidRDefault="008F64AE" w:rsidP="00E44738">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225.338.390</w:t>
            </w:r>
          </w:p>
        </w:tc>
        <w:tc>
          <w:tcPr>
            <w:tcW w:w="1559" w:type="dxa"/>
            <w:shd w:val="clear" w:color="auto" w:fill="4F81BD" w:themeFill="accent1"/>
            <w:noWrap/>
            <w:vAlign w:val="center"/>
          </w:tcPr>
          <w:p w14:paraId="0AF0CF46" w14:textId="1E8FCF15" w:rsidR="008F64AE" w:rsidRPr="005045BF" w:rsidRDefault="008F64AE" w:rsidP="00E44738">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18"/>
                <w:szCs w:val="18"/>
              </w:rPr>
            </w:pPr>
            <w:r w:rsidRPr="005045BF">
              <w:rPr>
                <w:rFonts w:ascii="Arial" w:hAnsi="Arial" w:cs="Arial"/>
                <w:b/>
                <w:bCs/>
                <w:color w:val="FFFFFF" w:themeColor="background1"/>
                <w:sz w:val="18"/>
                <w:szCs w:val="18"/>
              </w:rPr>
              <w:t>3.133.533.328</w:t>
            </w:r>
          </w:p>
        </w:tc>
      </w:tr>
    </w:tbl>
    <w:p w14:paraId="739D23C8" w14:textId="77777777" w:rsidR="00700504" w:rsidRPr="005045BF" w:rsidRDefault="00700504" w:rsidP="00926D75">
      <w:pPr>
        <w:autoSpaceDE w:val="0"/>
        <w:autoSpaceDN w:val="0"/>
        <w:jc w:val="both"/>
        <w:rPr>
          <w:rFonts w:ascii="Arial" w:hAnsi="Arial" w:cs="Arial"/>
          <w:color w:val="000000"/>
          <w:sz w:val="22"/>
          <w:szCs w:val="22"/>
          <w:highlight w:val="yellow"/>
        </w:rPr>
      </w:pPr>
    </w:p>
    <w:p w14:paraId="17290038" w14:textId="6BCE9583" w:rsidR="00723396" w:rsidRPr="005045BF" w:rsidRDefault="00807500" w:rsidP="00926D75">
      <w:pPr>
        <w:autoSpaceDE w:val="0"/>
        <w:autoSpaceDN w:val="0"/>
        <w:jc w:val="both"/>
        <w:rPr>
          <w:rFonts w:ascii="Arial" w:hAnsi="Arial" w:cs="Arial"/>
          <w:color w:val="000000"/>
          <w:sz w:val="22"/>
          <w:szCs w:val="22"/>
        </w:rPr>
      </w:pPr>
      <w:r w:rsidRPr="005045BF">
        <w:rPr>
          <w:rFonts w:ascii="Arial" w:hAnsi="Arial" w:cs="Arial"/>
          <w:color w:val="000000"/>
          <w:sz w:val="22"/>
          <w:szCs w:val="22"/>
        </w:rPr>
        <w:t xml:space="preserve">Como actividad de verificación </w:t>
      </w:r>
      <w:r w:rsidR="00502103" w:rsidRPr="005045BF">
        <w:rPr>
          <w:rFonts w:ascii="Arial" w:hAnsi="Arial" w:cs="Arial"/>
          <w:color w:val="000000"/>
          <w:sz w:val="22"/>
          <w:szCs w:val="22"/>
        </w:rPr>
        <w:t xml:space="preserve">se </w:t>
      </w:r>
      <w:r w:rsidR="0034572A" w:rsidRPr="005045BF">
        <w:rPr>
          <w:rFonts w:ascii="Arial" w:hAnsi="Arial" w:cs="Arial"/>
          <w:color w:val="000000"/>
          <w:sz w:val="22"/>
          <w:szCs w:val="22"/>
        </w:rPr>
        <w:t>llevó</w:t>
      </w:r>
      <w:r w:rsidRPr="005045BF">
        <w:rPr>
          <w:rFonts w:ascii="Arial" w:hAnsi="Arial" w:cs="Arial"/>
          <w:color w:val="000000"/>
          <w:sz w:val="22"/>
          <w:szCs w:val="22"/>
        </w:rPr>
        <w:t xml:space="preserve"> a cabo una revisión documental</w:t>
      </w:r>
      <w:r w:rsidR="00894F2D" w:rsidRPr="005045BF">
        <w:rPr>
          <w:rFonts w:ascii="Arial" w:hAnsi="Arial" w:cs="Arial"/>
          <w:color w:val="000000"/>
          <w:sz w:val="22"/>
          <w:szCs w:val="22"/>
        </w:rPr>
        <w:t xml:space="preserve"> [soportes de forma electrónica],</w:t>
      </w:r>
      <w:r w:rsidR="003A56A1" w:rsidRPr="005045BF">
        <w:rPr>
          <w:rFonts w:ascii="Arial" w:hAnsi="Arial" w:cs="Arial"/>
          <w:color w:val="000000"/>
          <w:sz w:val="22"/>
          <w:szCs w:val="22"/>
        </w:rPr>
        <w:t xml:space="preserve"> </w:t>
      </w:r>
      <w:r w:rsidRPr="005045BF">
        <w:rPr>
          <w:rFonts w:ascii="Arial" w:hAnsi="Arial" w:cs="Arial"/>
          <w:color w:val="000000"/>
          <w:sz w:val="22"/>
          <w:szCs w:val="22"/>
        </w:rPr>
        <w:t>de los contratos</w:t>
      </w:r>
      <w:r w:rsidR="003A56A1" w:rsidRPr="005045BF">
        <w:rPr>
          <w:rFonts w:ascii="Arial" w:hAnsi="Arial" w:cs="Arial"/>
          <w:color w:val="000000"/>
          <w:sz w:val="22"/>
          <w:szCs w:val="22"/>
        </w:rPr>
        <w:t xml:space="preserve"> suscritos durante el periodo analizado, </w:t>
      </w:r>
      <w:r w:rsidR="00DC46BB" w:rsidRPr="005045BF">
        <w:rPr>
          <w:rFonts w:ascii="Arial" w:hAnsi="Arial" w:cs="Arial"/>
          <w:color w:val="000000"/>
          <w:sz w:val="22"/>
          <w:szCs w:val="22"/>
        </w:rPr>
        <w:t>identificando</w:t>
      </w:r>
      <w:r w:rsidR="0038177E" w:rsidRPr="005045BF">
        <w:rPr>
          <w:rFonts w:ascii="Arial" w:hAnsi="Arial" w:cs="Arial"/>
          <w:color w:val="000000"/>
          <w:sz w:val="22"/>
          <w:szCs w:val="22"/>
        </w:rPr>
        <w:t xml:space="preserve"> en cada uno</w:t>
      </w:r>
      <w:r w:rsidR="00F0622C" w:rsidRPr="005045BF">
        <w:rPr>
          <w:rFonts w:ascii="Arial" w:hAnsi="Arial" w:cs="Arial"/>
          <w:color w:val="000000"/>
          <w:sz w:val="22"/>
          <w:szCs w:val="22"/>
        </w:rPr>
        <w:t xml:space="preserve"> </w:t>
      </w:r>
      <w:r w:rsidR="00221FEF" w:rsidRPr="005045BF">
        <w:rPr>
          <w:rFonts w:ascii="Arial" w:hAnsi="Arial" w:cs="Arial"/>
          <w:color w:val="000000"/>
          <w:sz w:val="22"/>
          <w:szCs w:val="22"/>
        </w:rPr>
        <w:t>la</w:t>
      </w:r>
      <w:r w:rsidR="002F107E" w:rsidRPr="005045BF">
        <w:rPr>
          <w:rFonts w:ascii="Arial" w:hAnsi="Arial" w:cs="Arial"/>
          <w:color w:val="000000"/>
          <w:sz w:val="22"/>
          <w:szCs w:val="22"/>
        </w:rPr>
        <w:t xml:space="preserve"> C</w:t>
      </w:r>
      <w:r w:rsidR="006D4E50" w:rsidRPr="005045BF">
        <w:rPr>
          <w:rFonts w:ascii="Arial" w:hAnsi="Arial" w:cs="Arial"/>
          <w:color w:val="000000"/>
          <w:sz w:val="22"/>
          <w:szCs w:val="22"/>
        </w:rPr>
        <w:t>ertificación</w:t>
      </w:r>
      <w:r w:rsidR="00221FEF" w:rsidRPr="005045BF">
        <w:rPr>
          <w:rFonts w:ascii="Arial" w:hAnsi="Arial" w:cs="Arial"/>
          <w:color w:val="000000"/>
          <w:sz w:val="22"/>
          <w:szCs w:val="22"/>
        </w:rPr>
        <w:t xml:space="preserve"> </w:t>
      </w:r>
      <w:r w:rsidR="00BE2B63" w:rsidRPr="005045BF">
        <w:rPr>
          <w:rFonts w:ascii="Arial" w:hAnsi="Arial" w:cs="Arial"/>
          <w:color w:val="000000"/>
          <w:sz w:val="22"/>
          <w:szCs w:val="22"/>
        </w:rPr>
        <w:t xml:space="preserve">expedida </w:t>
      </w:r>
      <w:r w:rsidR="00221FEF" w:rsidRPr="005045BF">
        <w:rPr>
          <w:rFonts w:ascii="Arial" w:hAnsi="Arial" w:cs="Arial"/>
          <w:color w:val="000000"/>
          <w:sz w:val="22"/>
          <w:szCs w:val="22"/>
        </w:rPr>
        <w:t xml:space="preserve">por la </w:t>
      </w:r>
      <w:r w:rsidR="00F04372" w:rsidRPr="005045BF">
        <w:rPr>
          <w:rFonts w:ascii="Arial" w:hAnsi="Arial" w:cs="Arial"/>
          <w:sz w:val="22"/>
          <w:szCs w:val="22"/>
        </w:rPr>
        <w:t>Subdirección de Gestión del Talento Humano</w:t>
      </w:r>
      <w:r w:rsidR="002F107E" w:rsidRPr="005045BF">
        <w:rPr>
          <w:rFonts w:ascii="Arial" w:hAnsi="Arial" w:cs="Arial"/>
          <w:color w:val="000000"/>
          <w:sz w:val="22"/>
          <w:szCs w:val="22"/>
        </w:rPr>
        <w:t xml:space="preserve">, </w:t>
      </w:r>
      <w:r w:rsidR="00F35D7A" w:rsidRPr="005045BF">
        <w:rPr>
          <w:rFonts w:ascii="Arial" w:hAnsi="Arial" w:cs="Arial"/>
          <w:color w:val="000000"/>
          <w:sz w:val="22"/>
          <w:szCs w:val="22"/>
        </w:rPr>
        <w:t>en donde dicha área</w:t>
      </w:r>
      <w:r w:rsidR="005E3700" w:rsidRPr="005045BF">
        <w:rPr>
          <w:rFonts w:ascii="Arial" w:hAnsi="Arial" w:cs="Arial"/>
          <w:color w:val="000000"/>
          <w:sz w:val="22"/>
          <w:szCs w:val="22"/>
        </w:rPr>
        <w:t xml:space="preserve"> certificó </w:t>
      </w:r>
      <w:r w:rsidR="00F35D7A" w:rsidRPr="005045BF">
        <w:rPr>
          <w:rFonts w:ascii="Arial" w:hAnsi="Arial" w:cs="Arial"/>
          <w:color w:val="000000"/>
          <w:sz w:val="22"/>
          <w:szCs w:val="22"/>
        </w:rPr>
        <w:t xml:space="preserve">la carencia de personal de planta </w:t>
      </w:r>
      <w:r w:rsidR="003A56A1" w:rsidRPr="005045BF">
        <w:rPr>
          <w:rFonts w:ascii="Arial" w:hAnsi="Arial" w:cs="Arial"/>
          <w:color w:val="000000"/>
          <w:sz w:val="22"/>
          <w:szCs w:val="22"/>
        </w:rPr>
        <w:t xml:space="preserve">con capacidad para realizar las actividades que se </w:t>
      </w:r>
      <w:r w:rsidR="00384513" w:rsidRPr="005045BF">
        <w:rPr>
          <w:rFonts w:ascii="Arial" w:hAnsi="Arial" w:cs="Arial"/>
          <w:color w:val="000000"/>
          <w:sz w:val="22"/>
          <w:szCs w:val="22"/>
        </w:rPr>
        <w:t>contratarían,</w:t>
      </w:r>
      <w:r w:rsidR="003A56A1" w:rsidRPr="005045BF">
        <w:rPr>
          <w:rFonts w:ascii="Arial" w:hAnsi="Arial" w:cs="Arial"/>
          <w:color w:val="000000"/>
          <w:sz w:val="22"/>
          <w:szCs w:val="22"/>
        </w:rPr>
        <w:t xml:space="preserve"> </w:t>
      </w:r>
      <w:r w:rsidR="00D02070" w:rsidRPr="005045BF">
        <w:rPr>
          <w:rFonts w:ascii="Arial" w:hAnsi="Arial" w:cs="Arial"/>
          <w:color w:val="000000"/>
          <w:sz w:val="22"/>
          <w:szCs w:val="22"/>
        </w:rPr>
        <w:t xml:space="preserve">en </w:t>
      </w:r>
      <w:r w:rsidR="003A56A1" w:rsidRPr="005045BF">
        <w:rPr>
          <w:rFonts w:ascii="Arial" w:hAnsi="Arial" w:cs="Arial"/>
          <w:color w:val="000000"/>
          <w:sz w:val="22"/>
          <w:szCs w:val="22"/>
        </w:rPr>
        <w:t>virtud d</w:t>
      </w:r>
      <w:r w:rsidRPr="005045BF">
        <w:rPr>
          <w:rFonts w:ascii="Arial" w:hAnsi="Arial" w:cs="Arial"/>
          <w:color w:val="000000"/>
          <w:sz w:val="22"/>
          <w:szCs w:val="22"/>
        </w:rPr>
        <w:t>e</w:t>
      </w:r>
      <w:r w:rsidR="00D02070" w:rsidRPr="005045BF">
        <w:rPr>
          <w:rFonts w:ascii="Arial" w:hAnsi="Arial" w:cs="Arial"/>
          <w:color w:val="000000"/>
          <w:sz w:val="22"/>
          <w:szCs w:val="22"/>
        </w:rPr>
        <w:t xml:space="preserve"> </w:t>
      </w:r>
      <w:r w:rsidR="00723396" w:rsidRPr="005045BF">
        <w:rPr>
          <w:rFonts w:ascii="Arial" w:hAnsi="Arial" w:cs="Arial"/>
          <w:color w:val="000000"/>
          <w:sz w:val="22"/>
          <w:szCs w:val="22"/>
        </w:rPr>
        <w:t xml:space="preserve">lo </w:t>
      </w:r>
      <w:r w:rsidR="00D02070" w:rsidRPr="005045BF">
        <w:rPr>
          <w:rFonts w:ascii="Arial" w:hAnsi="Arial" w:cs="Arial"/>
          <w:color w:val="000000"/>
          <w:sz w:val="22"/>
          <w:szCs w:val="22"/>
        </w:rPr>
        <w:t>establecido e</w:t>
      </w:r>
      <w:r w:rsidR="00723396" w:rsidRPr="005045BF">
        <w:rPr>
          <w:rFonts w:ascii="Arial" w:hAnsi="Arial" w:cs="Arial"/>
          <w:color w:val="000000"/>
          <w:sz w:val="22"/>
          <w:szCs w:val="22"/>
        </w:rPr>
        <w:t xml:space="preserve">n el artículo 2.8.4.4.5 del Título 4 </w:t>
      </w:r>
      <w:r w:rsidR="00723396" w:rsidRPr="005045BF">
        <w:rPr>
          <w:rFonts w:ascii="Arial" w:hAnsi="Arial" w:cs="Arial"/>
          <w:i/>
          <w:color w:val="000000"/>
          <w:sz w:val="22"/>
          <w:szCs w:val="22"/>
        </w:rPr>
        <w:t>Medidas de Austeridad del Decreto Único Reglamentario 1068 de 2015</w:t>
      </w:r>
      <w:r w:rsidR="003A56A1" w:rsidRPr="005045BF">
        <w:rPr>
          <w:rFonts w:ascii="Arial" w:hAnsi="Arial" w:cs="Arial"/>
          <w:i/>
          <w:color w:val="000000"/>
          <w:sz w:val="22"/>
          <w:szCs w:val="22"/>
        </w:rPr>
        <w:t xml:space="preserve">. </w:t>
      </w:r>
    </w:p>
    <w:p w14:paraId="1C0E6582" w14:textId="6F58DC07" w:rsidR="00F35D7A" w:rsidRPr="005045BF" w:rsidRDefault="00F35D7A" w:rsidP="000727C7">
      <w:pPr>
        <w:autoSpaceDE w:val="0"/>
        <w:autoSpaceDN w:val="0"/>
        <w:spacing w:line="168" w:lineRule="auto"/>
        <w:jc w:val="both"/>
        <w:rPr>
          <w:rFonts w:ascii="Arial" w:hAnsi="Arial" w:cs="Arial"/>
          <w:color w:val="000000"/>
          <w:sz w:val="22"/>
          <w:szCs w:val="22"/>
        </w:rPr>
      </w:pPr>
    </w:p>
    <w:p w14:paraId="40953B8D" w14:textId="56DEAA3E" w:rsidR="00A06C2C" w:rsidRPr="005045BF" w:rsidRDefault="009C0D7A" w:rsidP="00A06C2C">
      <w:pPr>
        <w:autoSpaceDE w:val="0"/>
        <w:autoSpaceDN w:val="0"/>
        <w:jc w:val="both"/>
        <w:rPr>
          <w:rFonts w:ascii="Arial" w:eastAsia="Calibri" w:hAnsi="Arial" w:cs="Arial"/>
          <w:sz w:val="22"/>
          <w:szCs w:val="22"/>
        </w:rPr>
      </w:pPr>
      <w:r w:rsidRPr="005045BF">
        <w:rPr>
          <w:rFonts w:ascii="Arial" w:hAnsi="Arial" w:cs="Arial"/>
          <w:color w:val="000000"/>
          <w:sz w:val="22"/>
          <w:szCs w:val="22"/>
        </w:rPr>
        <w:t xml:space="preserve">Aunado a lo anterior, se comparó los contratos suscritos en el </w:t>
      </w:r>
      <w:r w:rsidR="00384513" w:rsidRPr="005045BF">
        <w:rPr>
          <w:rFonts w:ascii="Arial" w:hAnsi="Arial" w:cs="Arial"/>
          <w:color w:val="000000"/>
          <w:sz w:val="22"/>
          <w:szCs w:val="22"/>
        </w:rPr>
        <w:t xml:space="preserve">primer </w:t>
      </w:r>
      <w:r w:rsidRPr="005045BF">
        <w:rPr>
          <w:rFonts w:ascii="Arial" w:hAnsi="Arial" w:cs="Arial"/>
          <w:color w:val="000000"/>
          <w:sz w:val="22"/>
          <w:szCs w:val="22"/>
        </w:rPr>
        <w:t>trimestre de 20</w:t>
      </w:r>
      <w:r w:rsidR="00384513" w:rsidRPr="005045BF">
        <w:rPr>
          <w:rFonts w:ascii="Arial" w:hAnsi="Arial" w:cs="Arial"/>
          <w:color w:val="000000"/>
          <w:sz w:val="22"/>
          <w:szCs w:val="22"/>
        </w:rPr>
        <w:t>20</w:t>
      </w:r>
      <w:r w:rsidRPr="005045BF">
        <w:rPr>
          <w:rFonts w:ascii="Arial" w:hAnsi="Arial" w:cs="Arial"/>
          <w:color w:val="000000"/>
          <w:sz w:val="22"/>
          <w:szCs w:val="22"/>
        </w:rPr>
        <w:t xml:space="preserve"> con el mismo</w:t>
      </w:r>
      <w:r w:rsidRPr="005045BF">
        <w:rPr>
          <w:rFonts w:ascii="Arial" w:hAnsi="Arial" w:cs="Arial"/>
          <w:color w:val="000000"/>
          <w:sz w:val="22"/>
          <w:szCs w:val="22"/>
        </w:rPr>
        <w:br/>
        <w:t>periodo de la vigencia 201</w:t>
      </w:r>
      <w:r w:rsidR="00384513" w:rsidRPr="005045BF">
        <w:rPr>
          <w:rFonts w:ascii="Arial" w:hAnsi="Arial" w:cs="Arial"/>
          <w:color w:val="000000"/>
          <w:sz w:val="22"/>
          <w:szCs w:val="22"/>
        </w:rPr>
        <w:t>9</w:t>
      </w:r>
      <w:r w:rsidRPr="005045BF">
        <w:rPr>
          <w:rFonts w:ascii="Arial" w:hAnsi="Arial" w:cs="Arial"/>
          <w:color w:val="000000"/>
          <w:sz w:val="22"/>
          <w:szCs w:val="22"/>
        </w:rPr>
        <w:t>, obteniendo como resultado que</w:t>
      </w:r>
      <w:r w:rsidR="00A06C2C" w:rsidRPr="005045BF">
        <w:rPr>
          <w:rFonts w:ascii="Arial" w:eastAsia="Calibri" w:hAnsi="Arial" w:cs="Arial"/>
          <w:sz w:val="22"/>
          <w:szCs w:val="22"/>
        </w:rPr>
        <w:t xml:space="preserve">, la cantidad de contratos y el valor </w:t>
      </w:r>
      <w:r w:rsidR="00A06C2C" w:rsidRPr="005045BF">
        <w:rPr>
          <w:rFonts w:ascii="Arial" w:eastAsia="Calibri" w:hAnsi="Arial" w:cs="Arial"/>
          <w:b/>
          <w:bCs/>
          <w:sz w:val="22"/>
          <w:szCs w:val="22"/>
        </w:rPr>
        <w:t xml:space="preserve">disminuyeron </w:t>
      </w:r>
      <w:r w:rsidR="00A06C2C" w:rsidRPr="005045BF">
        <w:rPr>
          <w:rFonts w:ascii="Arial" w:eastAsia="Calibri" w:hAnsi="Arial" w:cs="Arial"/>
          <w:sz w:val="22"/>
          <w:szCs w:val="22"/>
        </w:rPr>
        <w:t xml:space="preserve">en un </w:t>
      </w:r>
      <w:r w:rsidR="00384513" w:rsidRPr="005045BF">
        <w:rPr>
          <w:rFonts w:ascii="Arial" w:eastAsia="Calibri" w:hAnsi="Arial" w:cs="Arial"/>
          <w:sz w:val="22"/>
          <w:szCs w:val="22"/>
        </w:rPr>
        <w:t>7</w:t>
      </w:r>
      <w:r w:rsidR="005B7793" w:rsidRPr="005045BF">
        <w:rPr>
          <w:rFonts w:ascii="Arial" w:eastAsia="Calibri" w:hAnsi="Arial" w:cs="Arial"/>
          <w:sz w:val="22"/>
          <w:szCs w:val="22"/>
        </w:rPr>
        <w:t xml:space="preserve">% y </w:t>
      </w:r>
      <w:r w:rsidR="00384513" w:rsidRPr="005045BF">
        <w:rPr>
          <w:rFonts w:ascii="Arial" w:eastAsia="Calibri" w:hAnsi="Arial" w:cs="Arial"/>
          <w:sz w:val="22"/>
          <w:szCs w:val="22"/>
        </w:rPr>
        <w:t>6</w:t>
      </w:r>
      <w:r w:rsidR="00A06C2C" w:rsidRPr="005045BF">
        <w:rPr>
          <w:rFonts w:ascii="Arial" w:eastAsia="Calibri" w:hAnsi="Arial" w:cs="Arial"/>
          <w:sz w:val="22"/>
          <w:szCs w:val="22"/>
        </w:rPr>
        <w:t xml:space="preserve">%, respectivamente. </w:t>
      </w:r>
    </w:p>
    <w:p w14:paraId="763DABE1" w14:textId="77777777" w:rsidR="00CA0752" w:rsidRPr="005045BF" w:rsidRDefault="00CA0752" w:rsidP="00A06C2C">
      <w:pPr>
        <w:autoSpaceDE w:val="0"/>
        <w:autoSpaceDN w:val="0"/>
        <w:jc w:val="both"/>
        <w:rPr>
          <w:rFonts w:ascii="Arial" w:eastAsia="Calibri"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851"/>
        <w:gridCol w:w="2264"/>
        <w:gridCol w:w="2551"/>
      </w:tblGrid>
      <w:tr w:rsidR="00A06C2C" w:rsidRPr="005045BF" w14:paraId="1E947643" w14:textId="77777777" w:rsidTr="009D696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14:paraId="1F42DB7E" w14:textId="77777777" w:rsidR="00A06C2C" w:rsidRPr="005045BF" w:rsidRDefault="00A06C2C" w:rsidP="00646C58">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lastRenderedPageBreak/>
              <w:t>Periodo</w:t>
            </w:r>
          </w:p>
        </w:tc>
        <w:tc>
          <w:tcPr>
            <w:tcW w:w="2264" w:type="dxa"/>
            <w:tcBorders>
              <w:bottom w:val="nil"/>
            </w:tcBorders>
            <w:shd w:val="clear" w:color="auto" w:fill="4F81BD" w:themeFill="accent1"/>
            <w:vAlign w:val="center"/>
            <w:hideMark/>
          </w:tcPr>
          <w:p w14:paraId="62EB3807" w14:textId="77777777" w:rsidR="00A06C2C" w:rsidRPr="005045BF" w:rsidRDefault="00A06C2C" w:rsidP="00646C58">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Contratos Suscritos (Cantidad)  </w:t>
            </w:r>
          </w:p>
        </w:tc>
        <w:tc>
          <w:tcPr>
            <w:tcW w:w="2551" w:type="dxa"/>
            <w:tcBorders>
              <w:bottom w:val="nil"/>
            </w:tcBorders>
            <w:shd w:val="clear" w:color="auto" w:fill="4F81BD" w:themeFill="accent1"/>
            <w:vAlign w:val="center"/>
            <w:hideMark/>
          </w:tcPr>
          <w:p w14:paraId="74D15AC7" w14:textId="77777777" w:rsidR="00A06C2C" w:rsidRPr="005045BF" w:rsidRDefault="00A06C2C" w:rsidP="00646C58">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Contratos Suscritos (Valor $)</w:t>
            </w:r>
          </w:p>
        </w:tc>
      </w:tr>
      <w:tr w:rsidR="000F1208" w:rsidRPr="005045BF" w14:paraId="28300B8D" w14:textId="77777777" w:rsidTr="009D6965">
        <w:trPr>
          <w:cantSplit/>
          <w:trHeight w:val="59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4089A675" w14:textId="206D5E5B" w:rsidR="000F1208" w:rsidRPr="005045BF" w:rsidRDefault="000F1208" w:rsidP="000F1208">
            <w:pPr>
              <w:spacing w:before="60" w:after="6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Trimestres 2020</w:t>
            </w:r>
          </w:p>
        </w:tc>
        <w:tc>
          <w:tcPr>
            <w:tcW w:w="2264" w:type="dxa"/>
            <w:tcBorders>
              <w:top w:val="nil"/>
              <w:left w:val="nil"/>
              <w:bottom w:val="nil"/>
              <w:right w:val="nil"/>
            </w:tcBorders>
            <w:vAlign w:val="center"/>
            <w:hideMark/>
          </w:tcPr>
          <w:p w14:paraId="7BC3A03B" w14:textId="7EC073C5"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52</w:t>
            </w:r>
          </w:p>
        </w:tc>
        <w:tc>
          <w:tcPr>
            <w:tcW w:w="2551" w:type="dxa"/>
            <w:tcBorders>
              <w:top w:val="nil"/>
              <w:left w:val="nil"/>
              <w:bottom w:val="nil"/>
              <w:right w:val="nil"/>
            </w:tcBorders>
            <w:noWrap/>
            <w:vAlign w:val="center"/>
            <w:hideMark/>
          </w:tcPr>
          <w:p w14:paraId="1AE6ED73" w14:textId="2F0BA285"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F243E" w:themeColor="text2" w:themeShade="80"/>
                <w:sz w:val="22"/>
                <w:szCs w:val="22"/>
              </w:rPr>
            </w:pPr>
            <w:r w:rsidRPr="005045BF">
              <w:rPr>
                <w:rFonts w:ascii="Arial" w:hAnsi="Arial" w:cs="Arial"/>
                <w:color w:val="0F243E" w:themeColor="text2" w:themeShade="80"/>
                <w:sz w:val="20"/>
                <w:szCs w:val="20"/>
              </w:rPr>
              <w:t>3.133.533.328</w:t>
            </w:r>
          </w:p>
        </w:tc>
      </w:tr>
      <w:tr w:rsidR="000F1208" w:rsidRPr="005045BF" w14:paraId="27223700" w14:textId="77777777" w:rsidTr="009D6965">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5637F198" w14:textId="4C28C504" w:rsidR="000F1208" w:rsidRPr="005045BF" w:rsidRDefault="009D6965" w:rsidP="000F1208">
            <w:pPr>
              <w:spacing w:before="60" w:after="6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I </w:t>
            </w:r>
            <w:r w:rsidR="000F1208" w:rsidRPr="005045BF">
              <w:rPr>
                <w:rFonts w:ascii="Arial" w:hAnsi="Arial" w:cs="Arial"/>
                <w:color w:val="0F243E" w:themeColor="text2" w:themeShade="80"/>
                <w:sz w:val="20"/>
                <w:szCs w:val="20"/>
              </w:rPr>
              <w:t>Trimestres 2019</w:t>
            </w:r>
          </w:p>
        </w:tc>
        <w:tc>
          <w:tcPr>
            <w:tcW w:w="2264" w:type="dxa"/>
            <w:tcBorders>
              <w:top w:val="nil"/>
              <w:left w:val="nil"/>
              <w:bottom w:val="double" w:sz="4" w:space="0" w:color="4F81BD" w:themeColor="accent1"/>
              <w:right w:val="nil"/>
            </w:tcBorders>
            <w:vAlign w:val="center"/>
            <w:hideMark/>
          </w:tcPr>
          <w:p w14:paraId="3B3C3819" w14:textId="37F1CF82"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56</w:t>
            </w:r>
          </w:p>
        </w:tc>
        <w:tc>
          <w:tcPr>
            <w:tcW w:w="2551" w:type="dxa"/>
            <w:tcBorders>
              <w:top w:val="nil"/>
              <w:left w:val="nil"/>
              <w:bottom w:val="double" w:sz="4" w:space="0" w:color="4F81BD" w:themeColor="accent1"/>
              <w:right w:val="nil"/>
            </w:tcBorders>
            <w:noWrap/>
            <w:vAlign w:val="center"/>
            <w:hideMark/>
          </w:tcPr>
          <w:p w14:paraId="1040F5CB" w14:textId="6353BCE0"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3.343.647.210</w:t>
            </w:r>
          </w:p>
        </w:tc>
      </w:tr>
      <w:tr w:rsidR="000F1208" w:rsidRPr="005045BF" w14:paraId="28C74C69" w14:textId="77777777" w:rsidTr="009D6965">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double" w:sz="4" w:space="0" w:color="4F81BD" w:themeColor="accent1"/>
              <w:left w:val="nil"/>
              <w:bottom w:val="nil"/>
              <w:right w:val="nil"/>
            </w:tcBorders>
            <w:shd w:val="clear" w:color="auto" w:fill="auto"/>
            <w:vAlign w:val="center"/>
            <w:hideMark/>
          </w:tcPr>
          <w:p w14:paraId="66A4D510" w14:textId="77777777" w:rsidR="000F1208" w:rsidRPr="005045BF" w:rsidRDefault="000F1208" w:rsidP="000F1208">
            <w:pPr>
              <w:spacing w:before="60" w:after="6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Variaciones </w:t>
            </w:r>
          </w:p>
        </w:tc>
        <w:tc>
          <w:tcPr>
            <w:tcW w:w="2264" w:type="dxa"/>
            <w:tcBorders>
              <w:top w:val="double" w:sz="4" w:space="0" w:color="4F81BD" w:themeColor="accent1"/>
              <w:left w:val="nil"/>
              <w:bottom w:val="nil"/>
              <w:right w:val="nil"/>
            </w:tcBorders>
            <w:shd w:val="clear" w:color="auto" w:fill="auto"/>
            <w:noWrap/>
            <w:vAlign w:val="center"/>
            <w:hideMark/>
          </w:tcPr>
          <w:p w14:paraId="5C8EAD63" w14:textId="229FADF1"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(4)</w:t>
            </w:r>
          </w:p>
        </w:tc>
        <w:tc>
          <w:tcPr>
            <w:tcW w:w="2551" w:type="dxa"/>
            <w:tcBorders>
              <w:top w:val="double" w:sz="4" w:space="0" w:color="4F81BD" w:themeColor="accent1"/>
              <w:left w:val="nil"/>
              <w:bottom w:val="nil"/>
              <w:right w:val="nil"/>
            </w:tcBorders>
            <w:shd w:val="clear" w:color="auto" w:fill="auto"/>
            <w:noWrap/>
            <w:vAlign w:val="center"/>
            <w:hideMark/>
          </w:tcPr>
          <w:p w14:paraId="689EA25A" w14:textId="31EBD8E1" w:rsidR="000F1208" w:rsidRPr="005045BF" w:rsidRDefault="000F1208"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(210.113.882)</w:t>
            </w:r>
          </w:p>
        </w:tc>
      </w:tr>
      <w:tr w:rsidR="000F1208" w:rsidRPr="005045BF" w14:paraId="5ED30E50" w14:textId="77777777" w:rsidTr="009D6965">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double" w:sz="4" w:space="0" w:color="4F81BD" w:themeColor="accent1"/>
              <w:right w:val="nil"/>
            </w:tcBorders>
            <w:shd w:val="clear" w:color="auto" w:fill="auto"/>
            <w:vAlign w:val="center"/>
            <w:hideMark/>
          </w:tcPr>
          <w:p w14:paraId="00CB1956" w14:textId="77777777" w:rsidR="000F1208" w:rsidRPr="005045BF" w:rsidRDefault="000F1208" w:rsidP="000F1208">
            <w:pPr>
              <w:spacing w:before="60" w:after="60"/>
              <w:rPr>
                <w:rFonts w:ascii="Arial" w:hAnsi="Arial" w:cs="Arial"/>
                <w:color w:val="0F243E" w:themeColor="text2" w:themeShade="80"/>
                <w:sz w:val="20"/>
                <w:szCs w:val="20"/>
              </w:rPr>
            </w:pPr>
          </w:p>
        </w:tc>
        <w:tc>
          <w:tcPr>
            <w:tcW w:w="2264" w:type="dxa"/>
            <w:tcBorders>
              <w:top w:val="nil"/>
              <w:left w:val="nil"/>
              <w:bottom w:val="double" w:sz="4" w:space="0" w:color="4F81BD" w:themeColor="accent1"/>
              <w:right w:val="nil"/>
            </w:tcBorders>
            <w:shd w:val="clear" w:color="auto" w:fill="auto"/>
            <w:noWrap/>
            <w:vAlign w:val="center"/>
            <w:hideMark/>
          </w:tcPr>
          <w:p w14:paraId="0A97ACC5" w14:textId="7F7E0406" w:rsidR="000F1208" w:rsidRPr="005045BF" w:rsidRDefault="00CF0BFD"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0F1208" w:rsidRPr="005045BF">
              <w:rPr>
                <w:rFonts w:ascii="Arial" w:hAnsi="Arial" w:cs="Arial"/>
                <w:b/>
                <w:bCs/>
                <w:color w:val="0F243E" w:themeColor="text2" w:themeShade="80"/>
                <w:sz w:val="20"/>
                <w:szCs w:val="20"/>
              </w:rPr>
              <w:t>7%</w:t>
            </w:r>
            <w:r w:rsidRPr="005045BF">
              <w:rPr>
                <w:rFonts w:ascii="Arial" w:hAnsi="Arial" w:cs="Arial"/>
                <w:b/>
                <w:bCs/>
                <w:color w:val="0F243E" w:themeColor="text2" w:themeShade="80"/>
                <w:sz w:val="20"/>
                <w:szCs w:val="20"/>
              </w:rPr>
              <w:t>)</w:t>
            </w:r>
          </w:p>
        </w:tc>
        <w:tc>
          <w:tcPr>
            <w:tcW w:w="2551" w:type="dxa"/>
            <w:tcBorders>
              <w:top w:val="nil"/>
              <w:left w:val="nil"/>
              <w:bottom w:val="double" w:sz="4" w:space="0" w:color="4F81BD" w:themeColor="accent1"/>
              <w:right w:val="nil"/>
            </w:tcBorders>
            <w:shd w:val="clear" w:color="auto" w:fill="auto"/>
            <w:noWrap/>
            <w:vAlign w:val="center"/>
            <w:hideMark/>
          </w:tcPr>
          <w:p w14:paraId="77CBC1B4" w14:textId="2C7F2A43" w:rsidR="000F1208" w:rsidRPr="005045BF" w:rsidRDefault="00CF0BFD" w:rsidP="00CF0BFD">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0F1208" w:rsidRPr="005045BF">
              <w:rPr>
                <w:rFonts w:ascii="Arial" w:hAnsi="Arial" w:cs="Arial"/>
                <w:b/>
                <w:bCs/>
                <w:color w:val="0F243E" w:themeColor="text2" w:themeShade="80"/>
                <w:sz w:val="20"/>
                <w:szCs w:val="20"/>
              </w:rPr>
              <w:t>6%</w:t>
            </w:r>
            <w:r w:rsidRPr="005045BF">
              <w:rPr>
                <w:rFonts w:ascii="Arial" w:hAnsi="Arial" w:cs="Arial"/>
                <w:b/>
                <w:bCs/>
                <w:color w:val="0F243E" w:themeColor="text2" w:themeShade="80"/>
                <w:sz w:val="20"/>
                <w:szCs w:val="20"/>
              </w:rPr>
              <w:t>)</w:t>
            </w:r>
          </w:p>
        </w:tc>
      </w:tr>
    </w:tbl>
    <w:p w14:paraId="1144A227" w14:textId="77777777" w:rsidR="00E44738" w:rsidRDefault="00E44738" w:rsidP="00756173">
      <w:pPr>
        <w:jc w:val="both"/>
        <w:rPr>
          <w:rFonts w:ascii="Arial" w:hAnsi="Arial" w:cs="Arial"/>
          <w:sz w:val="22"/>
          <w:szCs w:val="22"/>
        </w:rPr>
      </w:pPr>
    </w:p>
    <w:p w14:paraId="4A3B99E9" w14:textId="419521F6" w:rsidR="00756173" w:rsidRPr="005045BF" w:rsidRDefault="00252449" w:rsidP="00756173">
      <w:pPr>
        <w:jc w:val="both"/>
        <w:rPr>
          <w:rFonts w:ascii="Arial" w:hAnsi="Arial" w:cs="Arial"/>
          <w:sz w:val="22"/>
          <w:szCs w:val="22"/>
        </w:rPr>
      </w:pPr>
      <w:r w:rsidRPr="005045BF">
        <w:rPr>
          <w:rFonts w:ascii="Arial" w:hAnsi="Arial" w:cs="Arial"/>
          <w:sz w:val="22"/>
          <w:szCs w:val="22"/>
        </w:rPr>
        <w:t>Por otra parte, c</w:t>
      </w:r>
      <w:r w:rsidR="00756173" w:rsidRPr="005045BF">
        <w:rPr>
          <w:rFonts w:ascii="Arial" w:hAnsi="Arial" w:cs="Arial"/>
          <w:sz w:val="22"/>
          <w:szCs w:val="22"/>
        </w:rPr>
        <w:t xml:space="preserve">on corte a 31 de </w:t>
      </w:r>
      <w:r w:rsidR="00321382" w:rsidRPr="005045BF">
        <w:rPr>
          <w:rFonts w:ascii="Arial" w:hAnsi="Arial" w:cs="Arial"/>
          <w:sz w:val="22"/>
          <w:szCs w:val="22"/>
        </w:rPr>
        <w:t xml:space="preserve">marzo </w:t>
      </w:r>
      <w:r w:rsidR="00756173" w:rsidRPr="005045BF">
        <w:rPr>
          <w:rFonts w:ascii="Arial" w:hAnsi="Arial" w:cs="Arial"/>
          <w:sz w:val="22"/>
          <w:szCs w:val="22"/>
        </w:rPr>
        <w:t>de 20</w:t>
      </w:r>
      <w:r w:rsidR="00321382" w:rsidRPr="005045BF">
        <w:rPr>
          <w:rFonts w:ascii="Arial" w:hAnsi="Arial" w:cs="Arial"/>
          <w:sz w:val="22"/>
          <w:szCs w:val="22"/>
        </w:rPr>
        <w:t>20</w:t>
      </w:r>
      <w:r w:rsidR="002A3D27" w:rsidRPr="005045BF">
        <w:rPr>
          <w:rFonts w:ascii="Arial" w:hAnsi="Arial" w:cs="Arial"/>
          <w:sz w:val="22"/>
          <w:szCs w:val="22"/>
        </w:rPr>
        <w:t xml:space="preserve"> y 2019</w:t>
      </w:r>
      <w:r w:rsidRPr="005045BF">
        <w:rPr>
          <w:rFonts w:ascii="Arial" w:hAnsi="Arial" w:cs="Arial"/>
          <w:sz w:val="22"/>
          <w:szCs w:val="22"/>
        </w:rPr>
        <w:t xml:space="preserve"> </w:t>
      </w:r>
      <w:r w:rsidR="00756173" w:rsidRPr="005045BF">
        <w:rPr>
          <w:rFonts w:ascii="Arial" w:hAnsi="Arial" w:cs="Arial"/>
          <w:sz w:val="22"/>
          <w:szCs w:val="22"/>
        </w:rPr>
        <w:t>se consult</w:t>
      </w:r>
      <w:r w:rsidR="00137153" w:rsidRPr="005045BF">
        <w:rPr>
          <w:rFonts w:ascii="Arial" w:hAnsi="Arial" w:cs="Arial"/>
          <w:sz w:val="22"/>
          <w:szCs w:val="22"/>
        </w:rPr>
        <w:t>ó</w:t>
      </w:r>
      <w:r w:rsidR="00756173" w:rsidRPr="005045BF">
        <w:rPr>
          <w:rFonts w:ascii="Arial" w:hAnsi="Arial" w:cs="Arial"/>
          <w:sz w:val="22"/>
          <w:szCs w:val="22"/>
        </w:rPr>
        <w:t xml:space="preserve"> en el SIIF las obligaciones</w:t>
      </w:r>
      <w:r w:rsidR="00497F50" w:rsidRPr="005045BF">
        <w:rPr>
          <w:rFonts w:ascii="Arial" w:hAnsi="Arial" w:cs="Arial"/>
          <w:sz w:val="22"/>
          <w:szCs w:val="22"/>
        </w:rPr>
        <w:t xml:space="preserve"> </w:t>
      </w:r>
      <w:r w:rsidR="000A6466" w:rsidRPr="005045BF">
        <w:rPr>
          <w:rFonts w:ascii="Arial" w:hAnsi="Arial" w:cs="Arial"/>
          <w:sz w:val="22"/>
          <w:szCs w:val="22"/>
        </w:rPr>
        <w:t xml:space="preserve">de </w:t>
      </w:r>
      <w:r w:rsidR="00D84CC2" w:rsidRPr="005045BF">
        <w:rPr>
          <w:rFonts w:ascii="Arial" w:hAnsi="Arial" w:cs="Arial"/>
          <w:sz w:val="22"/>
          <w:szCs w:val="22"/>
        </w:rPr>
        <w:t xml:space="preserve">los </w:t>
      </w:r>
      <w:r w:rsidR="00497F50" w:rsidRPr="005045BF">
        <w:rPr>
          <w:rFonts w:ascii="Arial" w:hAnsi="Arial" w:cs="Arial"/>
          <w:sz w:val="22"/>
          <w:szCs w:val="22"/>
        </w:rPr>
        <w:t>periodo</w:t>
      </w:r>
      <w:r w:rsidR="00D84CC2" w:rsidRPr="005045BF">
        <w:rPr>
          <w:rFonts w:ascii="Arial" w:hAnsi="Arial" w:cs="Arial"/>
          <w:sz w:val="22"/>
          <w:szCs w:val="22"/>
        </w:rPr>
        <w:t>s</w:t>
      </w:r>
      <w:r w:rsidR="00497F50" w:rsidRPr="005045BF">
        <w:rPr>
          <w:rFonts w:ascii="Arial" w:hAnsi="Arial" w:cs="Arial"/>
          <w:sz w:val="22"/>
          <w:szCs w:val="22"/>
        </w:rPr>
        <w:t xml:space="preserve"> que conforma</w:t>
      </w:r>
      <w:r w:rsidR="00D84CC2" w:rsidRPr="005045BF">
        <w:rPr>
          <w:rFonts w:ascii="Arial" w:hAnsi="Arial" w:cs="Arial"/>
          <w:sz w:val="22"/>
          <w:szCs w:val="22"/>
        </w:rPr>
        <w:t>n</w:t>
      </w:r>
      <w:r w:rsidR="00497F50" w:rsidRPr="005045BF">
        <w:rPr>
          <w:rFonts w:ascii="Arial" w:hAnsi="Arial" w:cs="Arial"/>
          <w:sz w:val="22"/>
          <w:szCs w:val="22"/>
        </w:rPr>
        <w:t xml:space="preserve"> el trimestre analizado [</w:t>
      </w:r>
      <w:r w:rsidR="00AE01B9" w:rsidRPr="005045BF">
        <w:rPr>
          <w:rFonts w:ascii="Arial" w:hAnsi="Arial" w:cs="Arial"/>
          <w:sz w:val="22"/>
          <w:szCs w:val="22"/>
        </w:rPr>
        <w:t xml:space="preserve">enero, febrero </w:t>
      </w:r>
      <w:r w:rsidR="00497F50" w:rsidRPr="005045BF">
        <w:rPr>
          <w:rFonts w:ascii="Arial" w:hAnsi="Arial" w:cs="Arial"/>
          <w:sz w:val="22"/>
          <w:szCs w:val="22"/>
        </w:rPr>
        <w:t xml:space="preserve">y </w:t>
      </w:r>
      <w:r w:rsidR="002D3065" w:rsidRPr="005045BF">
        <w:rPr>
          <w:rFonts w:ascii="Arial" w:hAnsi="Arial" w:cs="Arial"/>
          <w:sz w:val="22"/>
          <w:szCs w:val="22"/>
        </w:rPr>
        <w:t>marzo]</w:t>
      </w:r>
      <w:r w:rsidR="00137153" w:rsidRPr="005045BF">
        <w:rPr>
          <w:rFonts w:ascii="Arial" w:hAnsi="Arial" w:cs="Arial"/>
          <w:sz w:val="22"/>
          <w:szCs w:val="22"/>
        </w:rPr>
        <w:t xml:space="preserve"> </w:t>
      </w:r>
      <w:r w:rsidR="00756173" w:rsidRPr="005045BF">
        <w:rPr>
          <w:rFonts w:ascii="Arial" w:hAnsi="Arial" w:cs="Arial"/>
          <w:sz w:val="22"/>
          <w:szCs w:val="22"/>
        </w:rPr>
        <w:t>para cada uno de los contratos de prestación de servicios</w:t>
      </w:r>
      <w:r w:rsidR="00883289" w:rsidRPr="005045BF">
        <w:rPr>
          <w:rFonts w:ascii="Arial" w:hAnsi="Arial" w:cs="Arial"/>
          <w:sz w:val="22"/>
          <w:szCs w:val="22"/>
        </w:rPr>
        <w:t xml:space="preserve"> profesionales y de apoyo a la gestión</w:t>
      </w:r>
      <w:r w:rsidR="008B46AC" w:rsidRPr="005045BF">
        <w:rPr>
          <w:rFonts w:ascii="Arial" w:hAnsi="Arial" w:cs="Arial"/>
          <w:sz w:val="22"/>
          <w:szCs w:val="22"/>
        </w:rPr>
        <w:t xml:space="preserve">, </w:t>
      </w:r>
      <w:r w:rsidR="00883289" w:rsidRPr="005045BF">
        <w:rPr>
          <w:rFonts w:ascii="Arial" w:hAnsi="Arial" w:cs="Arial"/>
          <w:sz w:val="22"/>
          <w:szCs w:val="22"/>
        </w:rPr>
        <w:t>vigentes a dicho corte</w:t>
      </w:r>
      <w:r w:rsidR="0035225B">
        <w:rPr>
          <w:rFonts w:ascii="Arial" w:hAnsi="Arial" w:cs="Arial"/>
          <w:sz w:val="22"/>
          <w:szCs w:val="22"/>
        </w:rPr>
        <w:t xml:space="preserve"> </w:t>
      </w:r>
      <w:r w:rsidR="00B84EB6">
        <w:rPr>
          <w:rFonts w:ascii="Arial" w:hAnsi="Arial" w:cs="Arial"/>
          <w:sz w:val="22"/>
          <w:szCs w:val="22"/>
        </w:rPr>
        <w:t xml:space="preserve">y </w:t>
      </w:r>
      <w:r w:rsidR="00B84EB6" w:rsidRPr="005045BF">
        <w:rPr>
          <w:rFonts w:ascii="Arial" w:hAnsi="Arial" w:cs="Arial"/>
          <w:sz w:val="22"/>
          <w:szCs w:val="22"/>
        </w:rPr>
        <w:t>aquellos</w:t>
      </w:r>
      <w:r w:rsidR="00497F50" w:rsidRPr="005045BF">
        <w:rPr>
          <w:rFonts w:ascii="Arial" w:hAnsi="Arial" w:cs="Arial"/>
          <w:sz w:val="22"/>
          <w:szCs w:val="22"/>
        </w:rPr>
        <w:t xml:space="preserve"> que durante el </w:t>
      </w:r>
      <w:r w:rsidR="002D3065" w:rsidRPr="005045BF">
        <w:rPr>
          <w:rFonts w:ascii="Arial" w:hAnsi="Arial" w:cs="Arial"/>
          <w:sz w:val="22"/>
          <w:szCs w:val="22"/>
        </w:rPr>
        <w:t xml:space="preserve">primer </w:t>
      </w:r>
      <w:r w:rsidR="00497F50" w:rsidRPr="005045BF">
        <w:rPr>
          <w:rFonts w:ascii="Arial" w:hAnsi="Arial" w:cs="Arial"/>
          <w:sz w:val="22"/>
          <w:szCs w:val="22"/>
        </w:rPr>
        <w:t xml:space="preserve">trimestre </w:t>
      </w:r>
      <w:r w:rsidR="00D84CC2" w:rsidRPr="005045BF">
        <w:rPr>
          <w:rFonts w:ascii="Arial" w:hAnsi="Arial" w:cs="Arial"/>
          <w:sz w:val="22"/>
          <w:szCs w:val="22"/>
        </w:rPr>
        <w:t>culminaron el plazo</w:t>
      </w:r>
      <w:r w:rsidR="000A6466" w:rsidRPr="005045BF">
        <w:rPr>
          <w:rFonts w:ascii="Arial" w:hAnsi="Arial" w:cs="Arial"/>
          <w:sz w:val="22"/>
          <w:szCs w:val="22"/>
        </w:rPr>
        <w:t xml:space="preserve"> de ejecución</w:t>
      </w:r>
      <w:r w:rsidR="00D84CC2" w:rsidRPr="005045BF">
        <w:rPr>
          <w:rFonts w:ascii="Arial" w:hAnsi="Arial" w:cs="Arial"/>
          <w:sz w:val="22"/>
          <w:szCs w:val="22"/>
        </w:rPr>
        <w:t xml:space="preserve">, así como, los contratos con terminación anticipada. </w:t>
      </w:r>
      <w:r w:rsidR="00756173" w:rsidRPr="005045BF">
        <w:rPr>
          <w:rFonts w:ascii="Arial" w:hAnsi="Arial" w:cs="Arial"/>
          <w:sz w:val="22"/>
          <w:szCs w:val="22"/>
        </w:rPr>
        <w:t xml:space="preserve">Con dicha información, se efectúo la comparación </w:t>
      </w:r>
      <w:r w:rsidR="00F64180" w:rsidRPr="005045BF">
        <w:rPr>
          <w:rFonts w:ascii="Arial" w:hAnsi="Arial" w:cs="Arial"/>
          <w:sz w:val="22"/>
          <w:szCs w:val="22"/>
        </w:rPr>
        <w:t xml:space="preserve">de </w:t>
      </w:r>
      <w:r w:rsidR="00756173" w:rsidRPr="005045BF">
        <w:rPr>
          <w:rFonts w:ascii="Arial" w:hAnsi="Arial" w:cs="Arial"/>
          <w:sz w:val="22"/>
          <w:szCs w:val="22"/>
        </w:rPr>
        <w:t xml:space="preserve">las obligaciones correspondientes al </w:t>
      </w:r>
      <w:r w:rsidR="002D3065" w:rsidRPr="005045BF">
        <w:rPr>
          <w:rFonts w:ascii="Arial" w:hAnsi="Arial" w:cs="Arial"/>
          <w:sz w:val="22"/>
          <w:szCs w:val="22"/>
        </w:rPr>
        <w:t xml:space="preserve">primer </w:t>
      </w:r>
      <w:r w:rsidR="00756173" w:rsidRPr="005045BF">
        <w:rPr>
          <w:rFonts w:ascii="Arial" w:hAnsi="Arial" w:cs="Arial"/>
          <w:sz w:val="22"/>
          <w:szCs w:val="22"/>
        </w:rPr>
        <w:t>trimestre de 20</w:t>
      </w:r>
      <w:r w:rsidR="002D3065" w:rsidRPr="005045BF">
        <w:rPr>
          <w:rFonts w:ascii="Arial" w:hAnsi="Arial" w:cs="Arial"/>
          <w:sz w:val="22"/>
          <w:szCs w:val="22"/>
        </w:rPr>
        <w:t>20</w:t>
      </w:r>
      <w:r w:rsidR="00F64180" w:rsidRPr="005045BF">
        <w:rPr>
          <w:rFonts w:ascii="Arial" w:hAnsi="Arial" w:cs="Arial"/>
          <w:sz w:val="22"/>
          <w:szCs w:val="22"/>
        </w:rPr>
        <w:t xml:space="preserve"> y 201</w:t>
      </w:r>
      <w:r w:rsidR="002D3065" w:rsidRPr="005045BF">
        <w:rPr>
          <w:rFonts w:ascii="Arial" w:hAnsi="Arial" w:cs="Arial"/>
          <w:sz w:val="22"/>
          <w:szCs w:val="22"/>
        </w:rPr>
        <w:t>9</w:t>
      </w:r>
      <w:r w:rsidR="00756173" w:rsidRPr="005045BF">
        <w:rPr>
          <w:rFonts w:ascii="Arial" w:hAnsi="Arial" w:cs="Arial"/>
          <w:sz w:val="22"/>
          <w:szCs w:val="22"/>
        </w:rPr>
        <w:t xml:space="preserve">. A continuación, se presentan las variaciones establecidas para el trimestre objeto de análisis: </w:t>
      </w:r>
    </w:p>
    <w:p w14:paraId="68ED92A5" w14:textId="77777777" w:rsidR="00427944" w:rsidRPr="005045BF" w:rsidRDefault="00427944" w:rsidP="00756173">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1980"/>
        <w:gridCol w:w="2143"/>
        <w:gridCol w:w="2109"/>
        <w:gridCol w:w="1701"/>
        <w:gridCol w:w="1343"/>
      </w:tblGrid>
      <w:tr w:rsidR="002A3D27" w:rsidRPr="005045BF" w14:paraId="4988E373" w14:textId="77777777" w:rsidTr="00AC433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4F81BD" w:themeFill="accent1"/>
            <w:vAlign w:val="center"/>
            <w:hideMark/>
          </w:tcPr>
          <w:p w14:paraId="095E46D1" w14:textId="79492711" w:rsidR="000B21B5" w:rsidRPr="005045BF" w:rsidRDefault="008E6D31" w:rsidP="007C2B64">
            <w:pPr>
              <w:spacing w:before="80" w:after="80"/>
              <w:jc w:val="center"/>
              <w:rPr>
                <w:rFonts w:ascii="Arial" w:hAnsi="Arial" w:cs="Arial"/>
                <w:color w:val="FFFFFF" w:themeColor="background1"/>
                <w:sz w:val="20"/>
                <w:szCs w:val="20"/>
              </w:rPr>
            </w:pPr>
            <w:bookmarkStart w:id="1" w:name="_Hlk45719439"/>
            <w:r w:rsidRPr="005045BF">
              <w:rPr>
                <w:rFonts w:ascii="Arial" w:hAnsi="Arial" w:cs="Arial"/>
                <w:color w:val="FFFFFF" w:themeColor="background1"/>
                <w:sz w:val="20"/>
                <w:szCs w:val="20"/>
              </w:rPr>
              <w:br w:type="page"/>
            </w:r>
            <w:r w:rsidR="000B21B5" w:rsidRPr="005045BF">
              <w:rPr>
                <w:rFonts w:ascii="Arial" w:hAnsi="Arial" w:cs="Arial"/>
                <w:color w:val="FFFFFF" w:themeColor="background1"/>
                <w:sz w:val="20"/>
                <w:szCs w:val="20"/>
              </w:rPr>
              <w:t>Periodo</w:t>
            </w:r>
          </w:p>
        </w:tc>
        <w:tc>
          <w:tcPr>
            <w:tcW w:w="4252" w:type="dxa"/>
            <w:gridSpan w:val="2"/>
            <w:shd w:val="clear" w:color="auto" w:fill="4F81BD" w:themeFill="accent1"/>
            <w:vAlign w:val="center"/>
            <w:hideMark/>
          </w:tcPr>
          <w:p w14:paraId="00CF74FB" w14:textId="77777777" w:rsidR="000B21B5" w:rsidRPr="005045BF"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Valor Obligado ($)</w:t>
            </w:r>
          </w:p>
        </w:tc>
        <w:tc>
          <w:tcPr>
            <w:tcW w:w="3044" w:type="dxa"/>
            <w:gridSpan w:val="2"/>
            <w:shd w:val="clear" w:color="auto" w:fill="4F81BD" w:themeFill="accent1"/>
            <w:vAlign w:val="center"/>
            <w:hideMark/>
          </w:tcPr>
          <w:p w14:paraId="31C76560" w14:textId="77777777" w:rsidR="000B21B5" w:rsidRPr="005045BF" w:rsidRDefault="000B21B5" w:rsidP="007C2B64">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r>
      <w:tr w:rsidR="002A3D27" w:rsidRPr="005045BF" w14:paraId="7DF0A3C7" w14:textId="77777777" w:rsidTr="00AC433A">
        <w:trPr>
          <w:cantSplit/>
          <w:jc w:val="center"/>
        </w:trPr>
        <w:tc>
          <w:tcPr>
            <w:cnfStyle w:val="001000000000" w:firstRow="0" w:lastRow="0" w:firstColumn="1" w:lastColumn="0" w:oddVBand="0" w:evenVBand="0" w:oddHBand="0" w:evenHBand="0" w:firstRowFirstColumn="0" w:firstRowLastColumn="0" w:lastRowFirstColumn="0" w:lastRowLastColumn="0"/>
            <w:tcW w:w="1980" w:type="dxa"/>
            <w:vMerge/>
            <w:tcBorders>
              <w:bottom w:val="nil"/>
            </w:tcBorders>
            <w:shd w:val="clear" w:color="auto" w:fill="4F81BD" w:themeFill="accent1"/>
            <w:vAlign w:val="center"/>
            <w:hideMark/>
          </w:tcPr>
          <w:p w14:paraId="238A9460" w14:textId="77777777" w:rsidR="000B21B5" w:rsidRPr="005045BF" w:rsidRDefault="000B21B5" w:rsidP="007C2B64">
            <w:pPr>
              <w:spacing w:before="80" w:after="80"/>
              <w:rPr>
                <w:rFonts w:ascii="Arial" w:hAnsi="Arial" w:cs="Arial"/>
                <w:color w:val="FFFFFF" w:themeColor="background1"/>
                <w:sz w:val="20"/>
                <w:szCs w:val="20"/>
              </w:rPr>
            </w:pPr>
          </w:p>
        </w:tc>
        <w:tc>
          <w:tcPr>
            <w:tcW w:w="2143" w:type="dxa"/>
            <w:tcBorders>
              <w:bottom w:val="nil"/>
            </w:tcBorders>
            <w:shd w:val="clear" w:color="auto" w:fill="4F81BD" w:themeFill="accent1"/>
            <w:vAlign w:val="center"/>
            <w:hideMark/>
          </w:tcPr>
          <w:p w14:paraId="166ADDBA" w14:textId="0FD49960" w:rsidR="000B21B5" w:rsidRPr="005045BF"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I</w:t>
            </w:r>
            <w:r w:rsidR="000B21B5" w:rsidRPr="005045BF">
              <w:rPr>
                <w:rFonts w:ascii="Arial" w:hAnsi="Arial" w:cs="Arial"/>
                <w:b/>
                <w:bCs/>
                <w:color w:val="FFFFFF" w:themeColor="background1"/>
                <w:sz w:val="20"/>
                <w:szCs w:val="20"/>
              </w:rPr>
              <w:t xml:space="preserve"> Trimestre 20</w:t>
            </w:r>
            <w:r w:rsidR="002A3D27" w:rsidRPr="005045BF">
              <w:rPr>
                <w:rFonts w:ascii="Arial" w:hAnsi="Arial" w:cs="Arial"/>
                <w:b/>
                <w:bCs/>
                <w:color w:val="FFFFFF" w:themeColor="background1"/>
                <w:sz w:val="20"/>
                <w:szCs w:val="20"/>
              </w:rPr>
              <w:t>20</w:t>
            </w:r>
          </w:p>
        </w:tc>
        <w:tc>
          <w:tcPr>
            <w:tcW w:w="2109" w:type="dxa"/>
            <w:tcBorders>
              <w:bottom w:val="nil"/>
            </w:tcBorders>
            <w:shd w:val="clear" w:color="auto" w:fill="4F81BD" w:themeFill="accent1"/>
            <w:vAlign w:val="center"/>
            <w:hideMark/>
          </w:tcPr>
          <w:p w14:paraId="1CC8DA8D" w14:textId="1EC6C13D" w:rsidR="000B21B5" w:rsidRPr="005045BF" w:rsidRDefault="00B67C1C"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I</w:t>
            </w:r>
            <w:r w:rsidR="000B21B5" w:rsidRPr="005045BF">
              <w:rPr>
                <w:rFonts w:ascii="Arial" w:hAnsi="Arial" w:cs="Arial"/>
                <w:b/>
                <w:bCs/>
                <w:color w:val="FFFFFF" w:themeColor="background1"/>
                <w:sz w:val="20"/>
                <w:szCs w:val="20"/>
              </w:rPr>
              <w:t xml:space="preserve"> Trimestre 20</w:t>
            </w:r>
            <w:r w:rsidR="002A3D27" w:rsidRPr="005045BF">
              <w:rPr>
                <w:rFonts w:ascii="Arial" w:hAnsi="Arial" w:cs="Arial"/>
                <w:b/>
                <w:bCs/>
                <w:color w:val="FFFFFF" w:themeColor="background1"/>
                <w:sz w:val="20"/>
                <w:szCs w:val="20"/>
              </w:rPr>
              <w:t>19</w:t>
            </w:r>
          </w:p>
        </w:tc>
        <w:tc>
          <w:tcPr>
            <w:tcW w:w="1701" w:type="dxa"/>
            <w:tcBorders>
              <w:bottom w:val="nil"/>
            </w:tcBorders>
            <w:shd w:val="clear" w:color="auto" w:fill="4F81BD" w:themeFill="accent1"/>
            <w:vAlign w:val="center"/>
            <w:hideMark/>
          </w:tcPr>
          <w:p w14:paraId="60750C9E" w14:textId="77777777" w:rsidR="000B21B5" w:rsidRPr="005045BF"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Absoluta $</w:t>
            </w:r>
          </w:p>
        </w:tc>
        <w:tc>
          <w:tcPr>
            <w:tcW w:w="1343" w:type="dxa"/>
            <w:tcBorders>
              <w:bottom w:val="nil"/>
            </w:tcBorders>
            <w:shd w:val="clear" w:color="auto" w:fill="4F81BD" w:themeFill="accent1"/>
            <w:vAlign w:val="center"/>
            <w:hideMark/>
          </w:tcPr>
          <w:p w14:paraId="0571E87D" w14:textId="77777777" w:rsidR="000B21B5" w:rsidRPr="005045BF" w:rsidRDefault="000B21B5" w:rsidP="007C2B64">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Relativa %</w:t>
            </w:r>
          </w:p>
        </w:tc>
      </w:tr>
      <w:tr w:rsidR="001B702E" w:rsidRPr="0035225B" w14:paraId="3E61780C" w14:textId="77777777" w:rsidTr="00AC433A">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13C7F51E" w14:textId="44BA6782" w:rsidR="001B702E" w:rsidRPr="001B702E" w:rsidRDefault="001B702E" w:rsidP="001B702E">
            <w:pPr>
              <w:spacing w:before="80" w:after="80"/>
              <w:rPr>
                <w:rFonts w:ascii="Arial" w:hAnsi="Arial" w:cs="Arial"/>
                <w:b w:val="0"/>
                <w:color w:val="0F243E" w:themeColor="text2" w:themeShade="80"/>
                <w:sz w:val="20"/>
                <w:szCs w:val="20"/>
              </w:rPr>
            </w:pPr>
            <w:r w:rsidRPr="001B702E">
              <w:rPr>
                <w:rFonts w:ascii="Arial" w:hAnsi="Arial" w:cs="Arial"/>
                <w:b w:val="0"/>
                <w:color w:val="0F243E" w:themeColor="text2" w:themeShade="80"/>
                <w:sz w:val="20"/>
                <w:szCs w:val="20"/>
              </w:rPr>
              <w:t xml:space="preserve">Enero  </w:t>
            </w:r>
          </w:p>
        </w:tc>
        <w:tc>
          <w:tcPr>
            <w:tcW w:w="2143" w:type="dxa"/>
            <w:tcBorders>
              <w:top w:val="nil"/>
              <w:left w:val="nil"/>
              <w:bottom w:val="nil"/>
              <w:right w:val="nil"/>
            </w:tcBorders>
            <w:vAlign w:val="bottom"/>
          </w:tcPr>
          <w:p w14:paraId="7913420F" w14:textId="7F6FF828"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302.807.137 </w:t>
            </w:r>
          </w:p>
        </w:tc>
        <w:tc>
          <w:tcPr>
            <w:tcW w:w="2109" w:type="dxa"/>
            <w:tcBorders>
              <w:top w:val="nil"/>
              <w:left w:val="nil"/>
              <w:bottom w:val="nil"/>
              <w:right w:val="nil"/>
            </w:tcBorders>
            <w:vAlign w:val="bottom"/>
          </w:tcPr>
          <w:p w14:paraId="72DA2232" w14:textId="1FCAE088"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254.230.799 </w:t>
            </w:r>
          </w:p>
        </w:tc>
        <w:tc>
          <w:tcPr>
            <w:tcW w:w="1701" w:type="dxa"/>
            <w:tcBorders>
              <w:top w:val="nil"/>
              <w:left w:val="nil"/>
              <w:bottom w:val="nil"/>
              <w:right w:val="nil"/>
            </w:tcBorders>
            <w:vAlign w:val="center"/>
          </w:tcPr>
          <w:p w14:paraId="355ED5F8" w14:textId="7B0D3598"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48.576.339</w:t>
            </w:r>
          </w:p>
        </w:tc>
        <w:tc>
          <w:tcPr>
            <w:tcW w:w="1343" w:type="dxa"/>
            <w:tcBorders>
              <w:top w:val="nil"/>
              <w:left w:val="nil"/>
              <w:bottom w:val="nil"/>
              <w:right w:val="nil"/>
            </w:tcBorders>
            <w:vAlign w:val="center"/>
          </w:tcPr>
          <w:p w14:paraId="12436409" w14:textId="2DDB57C8" w:rsidR="001B702E" w:rsidRPr="00E44738" w:rsidRDefault="001B702E" w:rsidP="001B702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color w:val="0F243E" w:themeColor="text2" w:themeShade="80"/>
                <w:sz w:val="20"/>
                <w:szCs w:val="20"/>
              </w:rPr>
              <w:t>19%</w:t>
            </w:r>
          </w:p>
        </w:tc>
      </w:tr>
      <w:tr w:rsidR="001B702E" w:rsidRPr="0035225B" w14:paraId="5F611AEF" w14:textId="77777777" w:rsidTr="00AC433A">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vAlign w:val="center"/>
            <w:hideMark/>
          </w:tcPr>
          <w:p w14:paraId="3C4748D7" w14:textId="1ADE226A" w:rsidR="001B702E" w:rsidRPr="001B702E" w:rsidRDefault="001B702E" w:rsidP="001B702E">
            <w:pPr>
              <w:spacing w:before="80" w:after="80"/>
              <w:rPr>
                <w:rFonts w:ascii="Arial" w:hAnsi="Arial" w:cs="Arial"/>
                <w:b w:val="0"/>
                <w:color w:val="0F243E" w:themeColor="text2" w:themeShade="80"/>
                <w:sz w:val="20"/>
                <w:szCs w:val="20"/>
              </w:rPr>
            </w:pPr>
            <w:r w:rsidRPr="001B702E">
              <w:rPr>
                <w:rFonts w:ascii="Arial" w:hAnsi="Arial" w:cs="Arial"/>
                <w:b w:val="0"/>
                <w:color w:val="0F243E" w:themeColor="text2" w:themeShade="80"/>
                <w:sz w:val="20"/>
                <w:szCs w:val="20"/>
              </w:rPr>
              <w:t xml:space="preserve">Febrero  </w:t>
            </w:r>
          </w:p>
        </w:tc>
        <w:tc>
          <w:tcPr>
            <w:tcW w:w="2143" w:type="dxa"/>
            <w:tcBorders>
              <w:top w:val="nil"/>
              <w:left w:val="nil"/>
              <w:bottom w:val="nil"/>
              <w:right w:val="nil"/>
            </w:tcBorders>
            <w:vAlign w:val="bottom"/>
          </w:tcPr>
          <w:p w14:paraId="15C229D6" w14:textId="05902606"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514.264.778 </w:t>
            </w:r>
          </w:p>
        </w:tc>
        <w:tc>
          <w:tcPr>
            <w:tcW w:w="2109" w:type="dxa"/>
            <w:tcBorders>
              <w:top w:val="nil"/>
              <w:left w:val="nil"/>
              <w:bottom w:val="nil"/>
              <w:right w:val="nil"/>
            </w:tcBorders>
            <w:vAlign w:val="bottom"/>
          </w:tcPr>
          <w:p w14:paraId="54CBC664" w14:textId="451471A9"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463.478.672 </w:t>
            </w:r>
          </w:p>
        </w:tc>
        <w:tc>
          <w:tcPr>
            <w:tcW w:w="1701" w:type="dxa"/>
            <w:tcBorders>
              <w:top w:val="nil"/>
              <w:left w:val="nil"/>
              <w:bottom w:val="nil"/>
              <w:right w:val="nil"/>
            </w:tcBorders>
            <w:vAlign w:val="center"/>
          </w:tcPr>
          <w:p w14:paraId="2886C764" w14:textId="5D658442"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50.786.105</w:t>
            </w:r>
          </w:p>
        </w:tc>
        <w:tc>
          <w:tcPr>
            <w:tcW w:w="1343" w:type="dxa"/>
            <w:tcBorders>
              <w:top w:val="nil"/>
              <w:left w:val="nil"/>
              <w:bottom w:val="nil"/>
              <w:right w:val="nil"/>
            </w:tcBorders>
            <w:vAlign w:val="center"/>
          </w:tcPr>
          <w:p w14:paraId="559C11BB" w14:textId="162F6A65" w:rsidR="001B702E" w:rsidRPr="00E44738" w:rsidRDefault="001B702E" w:rsidP="001B702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color w:val="0F243E" w:themeColor="text2" w:themeShade="80"/>
                <w:sz w:val="20"/>
                <w:szCs w:val="20"/>
              </w:rPr>
              <w:t>11%</w:t>
            </w:r>
          </w:p>
        </w:tc>
      </w:tr>
      <w:tr w:rsidR="001B702E" w:rsidRPr="0035225B" w14:paraId="1FDE04DA" w14:textId="77777777" w:rsidTr="00AC433A">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double" w:sz="4" w:space="0" w:color="4F81BD" w:themeColor="accent1"/>
              <w:right w:val="nil"/>
            </w:tcBorders>
            <w:vAlign w:val="center"/>
            <w:hideMark/>
          </w:tcPr>
          <w:p w14:paraId="2B532129" w14:textId="1C554071" w:rsidR="001B702E" w:rsidRPr="001B702E" w:rsidRDefault="001B702E" w:rsidP="001B702E">
            <w:pPr>
              <w:spacing w:before="80" w:after="80"/>
              <w:rPr>
                <w:rFonts w:ascii="Arial" w:hAnsi="Arial" w:cs="Arial"/>
                <w:b w:val="0"/>
                <w:color w:val="0F243E" w:themeColor="text2" w:themeShade="80"/>
                <w:sz w:val="20"/>
                <w:szCs w:val="20"/>
              </w:rPr>
            </w:pPr>
            <w:r w:rsidRPr="001B702E">
              <w:rPr>
                <w:rFonts w:ascii="Arial" w:hAnsi="Arial" w:cs="Arial"/>
                <w:b w:val="0"/>
                <w:color w:val="0F243E" w:themeColor="text2" w:themeShade="80"/>
                <w:sz w:val="20"/>
                <w:szCs w:val="20"/>
              </w:rPr>
              <w:t xml:space="preserve">Marzo </w:t>
            </w:r>
          </w:p>
        </w:tc>
        <w:tc>
          <w:tcPr>
            <w:tcW w:w="2143" w:type="dxa"/>
            <w:tcBorders>
              <w:top w:val="nil"/>
              <w:left w:val="nil"/>
              <w:bottom w:val="double" w:sz="4" w:space="0" w:color="4F81BD" w:themeColor="accent1"/>
              <w:right w:val="nil"/>
            </w:tcBorders>
            <w:vAlign w:val="bottom"/>
          </w:tcPr>
          <w:p w14:paraId="2F2BEFAC" w14:textId="060F61AA"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512.390.779 </w:t>
            </w:r>
          </w:p>
        </w:tc>
        <w:tc>
          <w:tcPr>
            <w:tcW w:w="2109" w:type="dxa"/>
            <w:tcBorders>
              <w:top w:val="nil"/>
              <w:left w:val="nil"/>
              <w:bottom w:val="double" w:sz="4" w:space="0" w:color="4F81BD" w:themeColor="accent1"/>
              <w:right w:val="nil"/>
            </w:tcBorders>
            <w:vAlign w:val="bottom"/>
          </w:tcPr>
          <w:p w14:paraId="439661CA" w14:textId="3C593956"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 xml:space="preserve">560.442.902 </w:t>
            </w:r>
          </w:p>
        </w:tc>
        <w:tc>
          <w:tcPr>
            <w:tcW w:w="1701" w:type="dxa"/>
            <w:tcBorders>
              <w:top w:val="nil"/>
              <w:left w:val="nil"/>
              <w:bottom w:val="double" w:sz="4" w:space="0" w:color="4F81BD" w:themeColor="accent1"/>
              <w:right w:val="nil"/>
            </w:tcBorders>
            <w:vAlign w:val="center"/>
          </w:tcPr>
          <w:p w14:paraId="7B326715" w14:textId="0190E542"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E44738">
              <w:rPr>
                <w:rFonts w:ascii="Arial" w:hAnsi="Arial" w:cs="Arial"/>
                <w:color w:val="0F243E" w:themeColor="text2" w:themeShade="80"/>
                <w:sz w:val="20"/>
                <w:szCs w:val="20"/>
              </w:rPr>
              <w:t>(48.052.123)</w:t>
            </w:r>
          </w:p>
        </w:tc>
        <w:tc>
          <w:tcPr>
            <w:tcW w:w="1343" w:type="dxa"/>
            <w:tcBorders>
              <w:top w:val="nil"/>
              <w:left w:val="nil"/>
              <w:bottom w:val="double" w:sz="4" w:space="0" w:color="4F81BD" w:themeColor="accent1"/>
              <w:right w:val="nil"/>
            </w:tcBorders>
            <w:vAlign w:val="center"/>
          </w:tcPr>
          <w:p w14:paraId="57A995A0" w14:textId="0B7E68C1" w:rsidR="001B702E" w:rsidRPr="00E44738" w:rsidRDefault="001B702E" w:rsidP="001B702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color w:val="0F243E" w:themeColor="text2" w:themeShade="80"/>
                <w:sz w:val="20"/>
                <w:szCs w:val="20"/>
              </w:rPr>
              <w:t>(9%)</w:t>
            </w:r>
          </w:p>
        </w:tc>
      </w:tr>
      <w:tr w:rsidR="001B702E" w:rsidRPr="001B702E" w14:paraId="250AC51D" w14:textId="77777777" w:rsidTr="00AC433A">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4F81BD" w:themeColor="accent1"/>
              <w:left w:val="nil"/>
              <w:bottom w:val="double" w:sz="4" w:space="0" w:color="4F81BD" w:themeColor="accent1"/>
              <w:right w:val="nil"/>
            </w:tcBorders>
            <w:vAlign w:val="center"/>
            <w:hideMark/>
          </w:tcPr>
          <w:p w14:paraId="236CDDFD" w14:textId="77777777" w:rsidR="001B702E" w:rsidRPr="001B702E" w:rsidRDefault="001B702E" w:rsidP="001B702E">
            <w:pPr>
              <w:spacing w:before="80" w:after="80"/>
              <w:rPr>
                <w:rFonts w:ascii="Arial" w:hAnsi="Arial" w:cs="Arial"/>
                <w:color w:val="0F243E" w:themeColor="text2" w:themeShade="80"/>
                <w:sz w:val="20"/>
                <w:szCs w:val="20"/>
              </w:rPr>
            </w:pPr>
            <w:r w:rsidRPr="001B702E">
              <w:rPr>
                <w:rFonts w:ascii="Arial" w:hAnsi="Arial" w:cs="Arial"/>
                <w:color w:val="0F243E" w:themeColor="text2" w:themeShade="80"/>
                <w:sz w:val="20"/>
                <w:szCs w:val="20"/>
              </w:rPr>
              <w:t>Total</w:t>
            </w:r>
          </w:p>
        </w:tc>
        <w:tc>
          <w:tcPr>
            <w:tcW w:w="2143" w:type="dxa"/>
            <w:tcBorders>
              <w:top w:val="double" w:sz="4" w:space="0" w:color="4F81BD" w:themeColor="accent1"/>
              <w:left w:val="nil"/>
              <w:bottom w:val="double" w:sz="4" w:space="0" w:color="4F81BD" w:themeColor="accent1"/>
              <w:right w:val="nil"/>
            </w:tcBorders>
            <w:vAlign w:val="center"/>
          </w:tcPr>
          <w:p w14:paraId="228CEEA1" w14:textId="1722740D" w:rsidR="001B702E" w:rsidRPr="00E44738" w:rsidRDefault="001B702E" w:rsidP="001B702E">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b/>
                <w:bCs/>
                <w:color w:val="0F243E" w:themeColor="text2" w:themeShade="80"/>
                <w:sz w:val="20"/>
                <w:szCs w:val="20"/>
              </w:rPr>
              <w:t xml:space="preserve">1.329.462.693 </w:t>
            </w:r>
          </w:p>
        </w:tc>
        <w:tc>
          <w:tcPr>
            <w:tcW w:w="2109" w:type="dxa"/>
            <w:tcBorders>
              <w:top w:val="double" w:sz="4" w:space="0" w:color="4F81BD" w:themeColor="accent1"/>
              <w:left w:val="nil"/>
              <w:bottom w:val="double" w:sz="4" w:space="0" w:color="4F81BD" w:themeColor="accent1"/>
              <w:right w:val="nil"/>
            </w:tcBorders>
            <w:vAlign w:val="center"/>
          </w:tcPr>
          <w:p w14:paraId="13AB676A" w14:textId="45F96305"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b/>
                <w:bCs/>
                <w:color w:val="0F243E" w:themeColor="text2" w:themeShade="80"/>
                <w:sz w:val="20"/>
                <w:szCs w:val="20"/>
              </w:rPr>
              <w:t xml:space="preserve">1.278.152.373 </w:t>
            </w:r>
          </w:p>
        </w:tc>
        <w:tc>
          <w:tcPr>
            <w:tcW w:w="1701" w:type="dxa"/>
            <w:tcBorders>
              <w:top w:val="double" w:sz="4" w:space="0" w:color="4F81BD" w:themeColor="accent1"/>
              <w:left w:val="nil"/>
              <w:bottom w:val="double" w:sz="4" w:space="0" w:color="4F81BD" w:themeColor="accent1"/>
              <w:right w:val="nil"/>
            </w:tcBorders>
            <w:vAlign w:val="center"/>
          </w:tcPr>
          <w:p w14:paraId="31AB0794" w14:textId="1AFFCC18" w:rsidR="001B702E" w:rsidRPr="00E44738" w:rsidRDefault="001B702E" w:rsidP="001B702E">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b/>
                <w:bCs/>
                <w:color w:val="0F243E" w:themeColor="text2" w:themeShade="80"/>
                <w:sz w:val="20"/>
                <w:szCs w:val="20"/>
              </w:rPr>
              <w:t>51.310.321</w:t>
            </w:r>
          </w:p>
        </w:tc>
        <w:tc>
          <w:tcPr>
            <w:tcW w:w="1343" w:type="dxa"/>
            <w:tcBorders>
              <w:top w:val="double" w:sz="4" w:space="0" w:color="4F81BD" w:themeColor="accent1"/>
              <w:left w:val="nil"/>
              <w:bottom w:val="double" w:sz="4" w:space="0" w:color="4F81BD" w:themeColor="accent1"/>
              <w:right w:val="nil"/>
            </w:tcBorders>
            <w:vAlign w:val="center"/>
          </w:tcPr>
          <w:p w14:paraId="094E89D7" w14:textId="1FCE88E5" w:rsidR="001B702E" w:rsidRPr="00E44738" w:rsidRDefault="001B702E" w:rsidP="001B702E">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E44738">
              <w:rPr>
                <w:rFonts w:ascii="Arial" w:hAnsi="Arial" w:cs="Arial"/>
                <w:b/>
                <w:bCs/>
                <w:color w:val="0F243E" w:themeColor="text2" w:themeShade="80"/>
                <w:sz w:val="20"/>
                <w:szCs w:val="20"/>
              </w:rPr>
              <w:t>4%</w:t>
            </w:r>
          </w:p>
        </w:tc>
      </w:tr>
      <w:bookmarkEnd w:id="1"/>
    </w:tbl>
    <w:p w14:paraId="59F87029" w14:textId="77777777" w:rsidR="00CA0752" w:rsidRPr="005045BF" w:rsidRDefault="00CA0752" w:rsidP="000948AF">
      <w:pPr>
        <w:jc w:val="both"/>
        <w:rPr>
          <w:rFonts w:ascii="Arial" w:hAnsi="Arial" w:cs="Arial"/>
          <w:sz w:val="22"/>
          <w:szCs w:val="22"/>
          <w:highlight w:val="yellow"/>
        </w:rPr>
      </w:pPr>
    </w:p>
    <w:p w14:paraId="79B8C7ED" w14:textId="36BAFE01" w:rsidR="000126EF" w:rsidRPr="005045BF" w:rsidRDefault="00B51E6E" w:rsidP="000948AF">
      <w:pPr>
        <w:jc w:val="both"/>
        <w:rPr>
          <w:rFonts w:ascii="Arial" w:hAnsi="Arial" w:cs="Arial"/>
          <w:sz w:val="22"/>
          <w:szCs w:val="22"/>
        </w:rPr>
      </w:pPr>
      <w:r w:rsidRPr="005045BF">
        <w:rPr>
          <w:rFonts w:ascii="Arial" w:hAnsi="Arial" w:cs="Arial"/>
          <w:sz w:val="22"/>
          <w:szCs w:val="22"/>
        </w:rPr>
        <w:t xml:space="preserve">Como resultado de las variaciones, se observó </w:t>
      </w:r>
      <w:r w:rsidR="004419BE" w:rsidRPr="005045BF">
        <w:rPr>
          <w:rFonts w:ascii="Arial" w:hAnsi="Arial" w:cs="Arial"/>
          <w:sz w:val="22"/>
          <w:szCs w:val="22"/>
        </w:rPr>
        <w:t xml:space="preserve">un incremento de </w:t>
      </w:r>
      <w:r w:rsidR="00646C58" w:rsidRPr="005045BF">
        <w:rPr>
          <w:rFonts w:ascii="Arial" w:hAnsi="Arial" w:cs="Arial"/>
          <w:bCs/>
          <w:sz w:val="22"/>
          <w:szCs w:val="22"/>
        </w:rPr>
        <w:t>$</w:t>
      </w:r>
      <w:r w:rsidR="001F21D6" w:rsidRPr="005045BF">
        <w:rPr>
          <w:rFonts w:ascii="Arial" w:hAnsi="Arial" w:cs="Arial"/>
          <w:bCs/>
          <w:sz w:val="22"/>
          <w:szCs w:val="22"/>
        </w:rPr>
        <w:t xml:space="preserve"> 5</w:t>
      </w:r>
      <w:r w:rsidR="001B702E">
        <w:rPr>
          <w:rFonts w:ascii="Arial" w:hAnsi="Arial" w:cs="Arial"/>
          <w:bCs/>
          <w:sz w:val="22"/>
          <w:szCs w:val="22"/>
        </w:rPr>
        <w:t>1</w:t>
      </w:r>
      <w:r w:rsidR="001F21D6" w:rsidRPr="005045BF">
        <w:rPr>
          <w:rFonts w:ascii="Arial" w:hAnsi="Arial" w:cs="Arial"/>
          <w:bCs/>
          <w:sz w:val="22"/>
          <w:szCs w:val="22"/>
        </w:rPr>
        <w:t>.3</w:t>
      </w:r>
      <w:r w:rsidR="001B702E">
        <w:rPr>
          <w:rFonts w:ascii="Arial" w:hAnsi="Arial" w:cs="Arial"/>
          <w:bCs/>
          <w:sz w:val="22"/>
          <w:szCs w:val="22"/>
        </w:rPr>
        <w:t>10</w:t>
      </w:r>
      <w:r w:rsidR="001F21D6" w:rsidRPr="005045BF">
        <w:rPr>
          <w:rFonts w:ascii="Arial" w:hAnsi="Arial" w:cs="Arial"/>
          <w:bCs/>
          <w:sz w:val="22"/>
          <w:szCs w:val="22"/>
        </w:rPr>
        <w:t>.</w:t>
      </w:r>
      <w:r w:rsidR="001B702E">
        <w:rPr>
          <w:rFonts w:ascii="Arial" w:hAnsi="Arial" w:cs="Arial"/>
          <w:bCs/>
          <w:sz w:val="22"/>
          <w:szCs w:val="22"/>
        </w:rPr>
        <w:t>321</w:t>
      </w:r>
      <w:r w:rsidR="001F21D6" w:rsidRPr="005045BF">
        <w:rPr>
          <w:rFonts w:ascii="Arial" w:hAnsi="Arial" w:cs="Arial"/>
          <w:bCs/>
          <w:sz w:val="22"/>
          <w:szCs w:val="22"/>
        </w:rPr>
        <w:t xml:space="preserve"> </w:t>
      </w:r>
      <w:r w:rsidR="004419BE" w:rsidRPr="005045BF">
        <w:rPr>
          <w:rFonts w:ascii="Arial" w:hAnsi="Arial" w:cs="Arial"/>
          <w:bCs/>
          <w:sz w:val="22"/>
          <w:szCs w:val="22"/>
        </w:rPr>
        <w:t xml:space="preserve">representando un </w:t>
      </w:r>
      <w:r w:rsidR="001F21D6" w:rsidRPr="005045BF">
        <w:rPr>
          <w:rFonts w:ascii="Arial" w:hAnsi="Arial" w:cs="Arial"/>
          <w:bCs/>
          <w:sz w:val="22"/>
          <w:szCs w:val="22"/>
        </w:rPr>
        <w:t>4</w:t>
      </w:r>
      <w:r w:rsidR="004419BE" w:rsidRPr="005045BF">
        <w:rPr>
          <w:rFonts w:ascii="Arial" w:hAnsi="Arial" w:cs="Arial"/>
          <w:bCs/>
          <w:sz w:val="22"/>
          <w:szCs w:val="22"/>
        </w:rPr>
        <w:t>%</w:t>
      </w:r>
      <w:r w:rsidR="00321F43" w:rsidRPr="005045BF">
        <w:rPr>
          <w:rFonts w:ascii="Arial" w:hAnsi="Arial" w:cs="Arial"/>
          <w:bCs/>
          <w:sz w:val="22"/>
          <w:szCs w:val="22"/>
        </w:rPr>
        <w:t xml:space="preserve">, de </w:t>
      </w:r>
      <w:r w:rsidR="00646C58" w:rsidRPr="005045BF">
        <w:rPr>
          <w:rFonts w:ascii="Arial" w:hAnsi="Arial" w:cs="Arial"/>
          <w:sz w:val="22"/>
          <w:szCs w:val="22"/>
        </w:rPr>
        <w:t xml:space="preserve">las obligaciones </w:t>
      </w:r>
      <w:r w:rsidR="004465C6" w:rsidRPr="005045BF">
        <w:rPr>
          <w:rFonts w:ascii="Arial" w:hAnsi="Arial" w:cs="Arial"/>
          <w:sz w:val="22"/>
          <w:szCs w:val="22"/>
        </w:rPr>
        <w:t xml:space="preserve">registradas durante </w:t>
      </w:r>
      <w:r w:rsidR="004419BE" w:rsidRPr="005045BF">
        <w:rPr>
          <w:rFonts w:ascii="Arial" w:hAnsi="Arial" w:cs="Arial"/>
          <w:sz w:val="22"/>
          <w:szCs w:val="22"/>
        </w:rPr>
        <w:t xml:space="preserve">los periodos de enero, febrero y marzo de 2020 </w:t>
      </w:r>
      <w:r w:rsidR="004465C6" w:rsidRPr="005045BF">
        <w:rPr>
          <w:rFonts w:ascii="Arial" w:hAnsi="Arial" w:cs="Arial"/>
          <w:sz w:val="22"/>
          <w:szCs w:val="22"/>
        </w:rPr>
        <w:t>comparad</w:t>
      </w:r>
      <w:r w:rsidR="004419BE" w:rsidRPr="005045BF">
        <w:rPr>
          <w:rFonts w:ascii="Arial" w:hAnsi="Arial" w:cs="Arial"/>
          <w:sz w:val="22"/>
          <w:szCs w:val="22"/>
        </w:rPr>
        <w:t>o</w:t>
      </w:r>
      <w:r w:rsidR="004465C6" w:rsidRPr="005045BF">
        <w:rPr>
          <w:rFonts w:ascii="Arial" w:hAnsi="Arial" w:cs="Arial"/>
          <w:sz w:val="22"/>
          <w:szCs w:val="22"/>
        </w:rPr>
        <w:t>s con la vigencia 201</w:t>
      </w:r>
      <w:r w:rsidR="004419BE" w:rsidRPr="005045BF">
        <w:rPr>
          <w:rFonts w:ascii="Arial" w:hAnsi="Arial" w:cs="Arial"/>
          <w:sz w:val="22"/>
          <w:szCs w:val="22"/>
        </w:rPr>
        <w:t>9</w:t>
      </w:r>
      <w:r w:rsidR="004465C6" w:rsidRPr="005045BF">
        <w:rPr>
          <w:rFonts w:ascii="Arial" w:hAnsi="Arial" w:cs="Arial"/>
          <w:sz w:val="22"/>
          <w:szCs w:val="22"/>
        </w:rPr>
        <w:t>.</w:t>
      </w:r>
      <w:r w:rsidR="000948AF" w:rsidRPr="005045BF">
        <w:rPr>
          <w:rFonts w:ascii="Arial" w:hAnsi="Arial" w:cs="Arial"/>
          <w:sz w:val="22"/>
          <w:szCs w:val="22"/>
        </w:rPr>
        <w:t xml:space="preserve"> </w:t>
      </w:r>
      <w:r w:rsidR="007A6B90" w:rsidRPr="005045BF">
        <w:rPr>
          <w:rFonts w:ascii="Arial" w:hAnsi="Arial" w:cs="Arial"/>
          <w:sz w:val="22"/>
          <w:szCs w:val="22"/>
        </w:rPr>
        <w:t xml:space="preserve">En este punto, se aclara que </w:t>
      </w:r>
      <w:r w:rsidR="00321F43" w:rsidRPr="005045BF">
        <w:rPr>
          <w:rFonts w:ascii="Arial" w:hAnsi="Arial" w:cs="Arial"/>
          <w:sz w:val="22"/>
          <w:szCs w:val="22"/>
        </w:rPr>
        <w:t xml:space="preserve">dichas </w:t>
      </w:r>
      <w:r w:rsidR="00975594" w:rsidRPr="005045BF">
        <w:rPr>
          <w:rFonts w:ascii="Arial" w:hAnsi="Arial" w:cs="Arial"/>
          <w:sz w:val="22"/>
          <w:szCs w:val="22"/>
        </w:rPr>
        <w:t xml:space="preserve">obligaciones </w:t>
      </w:r>
      <w:r w:rsidR="007A6B90" w:rsidRPr="005045BF">
        <w:rPr>
          <w:rFonts w:ascii="Arial" w:hAnsi="Arial" w:cs="Arial"/>
          <w:sz w:val="22"/>
          <w:szCs w:val="22"/>
        </w:rPr>
        <w:t xml:space="preserve">son </w:t>
      </w:r>
      <w:r w:rsidR="00975594" w:rsidRPr="005045BF">
        <w:rPr>
          <w:rFonts w:ascii="Arial" w:hAnsi="Arial" w:cs="Arial"/>
          <w:sz w:val="22"/>
          <w:szCs w:val="22"/>
        </w:rPr>
        <w:t>registra</w:t>
      </w:r>
      <w:r w:rsidR="007A6B90" w:rsidRPr="005045BF">
        <w:rPr>
          <w:rFonts w:ascii="Arial" w:hAnsi="Arial" w:cs="Arial"/>
          <w:sz w:val="22"/>
          <w:szCs w:val="22"/>
        </w:rPr>
        <w:t>das</w:t>
      </w:r>
      <w:r w:rsidR="00975594" w:rsidRPr="005045BF">
        <w:rPr>
          <w:rFonts w:ascii="Arial" w:hAnsi="Arial" w:cs="Arial"/>
          <w:sz w:val="22"/>
          <w:szCs w:val="22"/>
        </w:rPr>
        <w:t xml:space="preserve"> durante cada periodo de acuerdo con lo pactado en las condiciones de pago y en la medida que fueron suscritas las contrataciones</w:t>
      </w:r>
      <w:r w:rsidR="000126EF" w:rsidRPr="005045BF">
        <w:rPr>
          <w:rFonts w:ascii="Arial" w:hAnsi="Arial" w:cs="Arial"/>
          <w:sz w:val="22"/>
          <w:szCs w:val="22"/>
        </w:rPr>
        <w:t xml:space="preserve">. </w:t>
      </w:r>
    </w:p>
    <w:p w14:paraId="270FFA8C" w14:textId="77777777" w:rsidR="000126EF" w:rsidRPr="005045BF" w:rsidRDefault="000126EF" w:rsidP="000948AF">
      <w:pPr>
        <w:jc w:val="both"/>
        <w:rPr>
          <w:rFonts w:ascii="Arial" w:hAnsi="Arial" w:cs="Arial"/>
          <w:sz w:val="22"/>
          <w:szCs w:val="22"/>
        </w:rPr>
      </w:pPr>
    </w:p>
    <w:p w14:paraId="47A5C6B2" w14:textId="597DB303" w:rsidR="00D46A21" w:rsidRPr="005045BF" w:rsidRDefault="000126EF" w:rsidP="000948AF">
      <w:pPr>
        <w:jc w:val="both"/>
        <w:rPr>
          <w:rFonts w:ascii="Arial" w:hAnsi="Arial" w:cs="Arial"/>
          <w:sz w:val="22"/>
          <w:szCs w:val="22"/>
        </w:rPr>
      </w:pPr>
      <w:r w:rsidRPr="005045BF">
        <w:rPr>
          <w:rFonts w:ascii="Arial" w:hAnsi="Arial" w:cs="Arial"/>
          <w:sz w:val="22"/>
          <w:szCs w:val="22"/>
        </w:rPr>
        <w:t xml:space="preserve">Ahora </w:t>
      </w:r>
      <w:r w:rsidR="00321F43" w:rsidRPr="005045BF">
        <w:rPr>
          <w:rFonts w:ascii="Arial" w:hAnsi="Arial" w:cs="Arial"/>
          <w:sz w:val="22"/>
          <w:szCs w:val="22"/>
        </w:rPr>
        <w:t>bien,</w:t>
      </w:r>
      <w:r w:rsidRPr="005045BF">
        <w:rPr>
          <w:rFonts w:ascii="Arial" w:hAnsi="Arial" w:cs="Arial"/>
          <w:sz w:val="22"/>
          <w:szCs w:val="22"/>
        </w:rPr>
        <w:t xml:space="preserve"> aunque </w:t>
      </w:r>
      <w:r w:rsidR="007A6B90" w:rsidRPr="005045BF">
        <w:rPr>
          <w:rFonts w:ascii="Arial" w:hAnsi="Arial" w:cs="Arial"/>
          <w:sz w:val="22"/>
          <w:szCs w:val="22"/>
        </w:rPr>
        <w:t>las obligaciones del periodo analizado presentaron incrementos,</w:t>
      </w:r>
      <w:r w:rsidRPr="005045BF">
        <w:rPr>
          <w:rFonts w:ascii="Arial" w:hAnsi="Arial" w:cs="Arial"/>
          <w:sz w:val="22"/>
          <w:szCs w:val="22"/>
        </w:rPr>
        <w:t xml:space="preserve"> </w:t>
      </w:r>
      <w:r w:rsidR="00975594" w:rsidRPr="005045BF">
        <w:rPr>
          <w:rFonts w:ascii="Arial" w:hAnsi="Arial" w:cs="Arial"/>
          <w:sz w:val="22"/>
          <w:szCs w:val="22"/>
        </w:rPr>
        <w:t>las variaciones</w:t>
      </w:r>
      <w:r w:rsidR="00CF74BB" w:rsidRPr="005045BF">
        <w:rPr>
          <w:rFonts w:ascii="Arial" w:hAnsi="Arial" w:cs="Arial"/>
          <w:sz w:val="22"/>
          <w:szCs w:val="22"/>
        </w:rPr>
        <w:t xml:space="preserve"> obtenidas</w:t>
      </w:r>
      <w:r w:rsidR="00975594" w:rsidRPr="005045BF">
        <w:rPr>
          <w:rFonts w:ascii="Arial" w:hAnsi="Arial" w:cs="Arial"/>
          <w:sz w:val="22"/>
          <w:szCs w:val="22"/>
        </w:rPr>
        <w:t xml:space="preserve"> del total de contratos suscritos y el valor </w:t>
      </w:r>
      <w:r w:rsidR="007A6B90" w:rsidRPr="005045BF">
        <w:rPr>
          <w:rFonts w:ascii="Arial" w:hAnsi="Arial" w:cs="Arial"/>
          <w:sz w:val="22"/>
          <w:szCs w:val="22"/>
        </w:rPr>
        <w:t xml:space="preserve">contratado </w:t>
      </w:r>
      <w:r w:rsidR="00CF74BB" w:rsidRPr="005045BF">
        <w:rPr>
          <w:rFonts w:ascii="Arial" w:hAnsi="Arial" w:cs="Arial"/>
          <w:sz w:val="22"/>
          <w:szCs w:val="22"/>
        </w:rPr>
        <w:t xml:space="preserve">para el periodo comparado [primer trimestre 2020-2019], </w:t>
      </w:r>
      <w:r w:rsidRPr="005045BF">
        <w:rPr>
          <w:rFonts w:ascii="Arial" w:hAnsi="Arial" w:cs="Arial"/>
          <w:sz w:val="22"/>
          <w:szCs w:val="22"/>
        </w:rPr>
        <w:t xml:space="preserve">presentaron reducciones </w:t>
      </w:r>
      <w:r w:rsidR="00975594" w:rsidRPr="005045BF">
        <w:rPr>
          <w:rFonts w:ascii="Arial" w:hAnsi="Arial" w:cs="Arial"/>
          <w:sz w:val="22"/>
          <w:szCs w:val="22"/>
        </w:rPr>
        <w:t>del 7% y 6%, respectivamente</w:t>
      </w:r>
      <w:r w:rsidRPr="005045BF">
        <w:rPr>
          <w:rFonts w:ascii="Arial" w:hAnsi="Arial" w:cs="Arial"/>
          <w:sz w:val="22"/>
          <w:szCs w:val="22"/>
        </w:rPr>
        <w:t xml:space="preserve">, lo que permite deducir que en términos generales la contracción de servicios personales y de apoyo a la gestión en el periodo objeto de verificación, </w:t>
      </w:r>
      <w:r w:rsidRPr="00B84EB6">
        <w:rPr>
          <w:rFonts w:ascii="Arial" w:hAnsi="Arial" w:cs="Arial"/>
          <w:b/>
          <w:bCs/>
          <w:sz w:val="22"/>
          <w:szCs w:val="22"/>
        </w:rPr>
        <w:t>disminuyó.</w:t>
      </w:r>
      <w:r w:rsidRPr="005045BF">
        <w:rPr>
          <w:rFonts w:ascii="Arial" w:hAnsi="Arial" w:cs="Arial"/>
          <w:sz w:val="22"/>
          <w:szCs w:val="22"/>
        </w:rPr>
        <w:t xml:space="preserve">  </w:t>
      </w:r>
    </w:p>
    <w:p w14:paraId="718995D7" w14:textId="77777777" w:rsidR="004E5105" w:rsidRPr="005045BF" w:rsidRDefault="004E5105" w:rsidP="000948AF">
      <w:pPr>
        <w:jc w:val="both"/>
        <w:rPr>
          <w:rFonts w:ascii="Arial" w:hAnsi="Arial" w:cs="Arial"/>
          <w:sz w:val="22"/>
          <w:szCs w:val="22"/>
        </w:rPr>
      </w:pPr>
    </w:p>
    <w:p w14:paraId="433C2DBF" w14:textId="323483DA" w:rsidR="001620DF" w:rsidRPr="005045BF" w:rsidRDefault="001620DF" w:rsidP="000948AF">
      <w:pPr>
        <w:jc w:val="both"/>
        <w:rPr>
          <w:rFonts w:ascii="Arial" w:hAnsi="Arial" w:cs="Arial"/>
          <w:sz w:val="22"/>
          <w:szCs w:val="22"/>
        </w:rPr>
      </w:pPr>
    </w:p>
    <w:p w14:paraId="60697512" w14:textId="39090220" w:rsidR="00B83072" w:rsidRPr="005045BF" w:rsidRDefault="00AD2AB0" w:rsidP="0045629B">
      <w:pPr>
        <w:pStyle w:val="Prrafodelista"/>
        <w:numPr>
          <w:ilvl w:val="0"/>
          <w:numId w:val="8"/>
        </w:numPr>
        <w:ind w:left="284" w:hanging="284"/>
        <w:jc w:val="left"/>
        <w:rPr>
          <w:rFonts w:ascii="Arial" w:hAnsi="Arial" w:cs="Arial"/>
          <w:b/>
          <w:sz w:val="22"/>
          <w:szCs w:val="22"/>
        </w:rPr>
      </w:pPr>
      <w:r w:rsidRPr="005045BF">
        <w:rPr>
          <w:rFonts w:ascii="Arial" w:hAnsi="Arial" w:cs="Arial"/>
          <w:b/>
          <w:color w:val="000000"/>
          <w:sz w:val="22"/>
          <w:szCs w:val="22"/>
        </w:rPr>
        <w:t>GASTOS DE TIQUETES AÉREOS Y VIÁTICOS</w:t>
      </w:r>
      <w:r w:rsidRPr="005045BF">
        <w:rPr>
          <w:rFonts w:ascii="Arial" w:hAnsi="Arial" w:cs="Arial"/>
          <w:b/>
          <w:sz w:val="22"/>
          <w:szCs w:val="22"/>
        </w:rPr>
        <w:t xml:space="preserve"> </w:t>
      </w:r>
    </w:p>
    <w:p w14:paraId="48BD2282" w14:textId="77777777" w:rsidR="003779EA" w:rsidRPr="005045BF" w:rsidRDefault="003779EA" w:rsidP="00361AE8">
      <w:pPr>
        <w:pStyle w:val="Prrafodelista"/>
        <w:ind w:left="284"/>
        <w:contextualSpacing w:val="0"/>
        <w:jc w:val="left"/>
        <w:rPr>
          <w:rFonts w:ascii="Arial" w:hAnsi="Arial" w:cs="Arial"/>
          <w:b/>
          <w:sz w:val="22"/>
          <w:szCs w:val="22"/>
        </w:rPr>
      </w:pPr>
    </w:p>
    <w:p w14:paraId="1AE1AF71" w14:textId="76016FFB" w:rsidR="005E6490" w:rsidRPr="005045BF" w:rsidRDefault="005E6490" w:rsidP="00361AE8">
      <w:pPr>
        <w:jc w:val="both"/>
        <w:rPr>
          <w:rFonts w:ascii="Arial" w:hAnsi="Arial" w:cs="Arial"/>
          <w:sz w:val="22"/>
          <w:szCs w:val="22"/>
        </w:rPr>
      </w:pPr>
      <w:r w:rsidRPr="005045BF">
        <w:rPr>
          <w:rFonts w:ascii="Arial" w:hAnsi="Arial" w:cs="Arial"/>
          <w:sz w:val="22"/>
          <w:szCs w:val="22"/>
        </w:rPr>
        <w:t xml:space="preserve">En atención </w:t>
      </w:r>
      <w:r w:rsidR="00351971" w:rsidRPr="005045BF">
        <w:rPr>
          <w:rFonts w:ascii="Arial" w:hAnsi="Arial" w:cs="Arial"/>
          <w:sz w:val="22"/>
          <w:szCs w:val="22"/>
        </w:rPr>
        <w:t xml:space="preserve">a </w:t>
      </w:r>
      <w:r w:rsidRPr="005045BF">
        <w:rPr>
          <w:rFonts w:ascii="Arial" w:hAnsi="Arial" w:cs="Arial"/>
          <w:sz w:val="22"/>
          <w:szCs w:val="22"/>
        </w:rPr>
        <w:t xml:space="preserve">lo previsto en </w:t>
      </w:r>
      <w:r w:rsidR="0088300E" w:rsidRPr="005045BF">
        <w:rPr>
          <w:rFonts w:ascii="Arial" w:hAnsi="Arial" w:cs="Arial"/>
          <w:sz w:val="22"/>
          <w:szCs w:val="22"/>
        </w:rPr>
        <w:t>los</w:t>
      </w:r>
      <w:r w:rsidRPr="005045BF">
        <w:rPr>
          <w:rFonts w:ascii="Arial" w:hAnsi="Arial" w:cs="Arial"/>
          <w:sz w:val="22"/>
          <w:szCs w:val="22"/>
        </w:rPr>
        <w:t xml:space="preserve"> </w:t>
      </w:r>
      <w:r w:rsidR="00351971" w:rsidRPr="005045BF">
        <w:rPr>
          <w:rFonts w:ascii="Arial" w:hAnsi="Arial" w:cs="Arial"/>
          <w:sz w:val="22"/>
          <w:szCs w:val="22"/>
        </w:rPr>
        <w:t>numeral</w:t>
      </w:r>
      <w:r w:rsidR="0088300E" w:rsidRPr="005045BF">
        <w:rPr>
          <w:rFonts w:ascii="Arial" w:hAnsi="Arial" w:cs="Arial"/>
          <w:sz w:val="22"/>
          <w:szCs w:val="22"/>
        </w:rPr>
        <w:t>es</w:t>
      </w:r>
      <w:r w:rsidR="00351971" w:rsidRPr="005045BF">
        <w:rPr>
          <w:rFonts w:ascii="Arial" w:hAnsi="Arial" w:cs="Arial"/>
          <w:sz w:val="22"/>
          <w:szCs w:val="22"/>
        </w:rPr>
        <w:t xml:space="preserve"> 2.1 y 2.2 de la Directiva Presidencial 009 de 2018,</w:t>
      </w:r>
      <w:r w:rsidRPr="005045BF">
        <w:rPr>
          <w:rFonts w:ascii="Arial" w:hAnsi="Arial" w:cs="Arial"/>
          <w:sz w:val="22"/>
          <w:szCs w:val="22"/>
        </w:rPr>
        <w:t xml:space="preserve"> </w:t>
      </w:r>
      <w:r w:rsidR="00351971" w:rsidRPr="005045BF">
        <w:rPr>
          <w:rFonts w:ascii="Arial" w:hAnsi="Arial" w:cs="Arial"/>
          <w:sz w:val="22"/>
          <w:szCs w:val="22"/>
        </w:rPr>
        <w:t xml:space="preserve">para el caso de los tiquetes aéreos, indicó que los viajes aéreos nacionales e internacionales deberán hacerse en clase económica, </w:t>
      </w:r>
      <w:r w:rsidRPr="005045BF">
        <w:rPr>
          <w:rFonts w:ascii="Arial" w:hAnsi="Arial" w:cs="Aharoni"/>
          <w:sz w:val="22"/>
          <w:szCs w:val="22"/>
        </w:rPr>
        <w:t>excepto lo señalado en el artículo 2.2.5.</w:t>
      </w:r>
      <w:r w:rsidR="00D43AFB" w:rsidRPr="005045BF">
        <w:rPr>
          <w:rFonts w:ascii="Arial" w:hAnsi="Arial" w:cs="Aharoni"/>
          <w:sz w:val="22"/>
          <w:szCs w:val="22"/>
        </w:rPr>
        <w:t>5.28</w:t>
      </w:r>
      <w:r w:rsidRPr="005045BF">
        <w:rPr>
          <w:rFonts w:ascii="Arial" w:hAnsi="Arial" w:cs="Aharoni"/>
          <w:sz w:val="22"/>
          <w:szCs w:val="22"/>
        </w:rPr>
        <w:t xml:space="preserve"> del Decreto 1083 de 2015</w:t>
      </w:r>
      <w:r w:rsidRPr="005045BF">
        <w:rPr>
          <w:rFonts w:ascii="Arial" w:hAnsi="Arial" w:cs="Arial"/>
          <w:sz w:val="22"/>
          <w:szCs w:val="22"/>
        </w:rPr>
        <w:t xml:space="preserve">. </w:t>
      </w:r>
      <w:r w:rsidR="00677D8D" w:rsidRPr="005045BF">
        <w:rPr>
          <w:rFonts w:ascii="Arial" w:hAnsi="Arial" w:cs="Arial"/>
          <w:sz w:val="22"/>
          <w:szCs w:val="22"/>
        </w:rPr>
        <w:t>Referente a los</w:t>
      </w:r>
      <w:r w:rsidR="00A14203" w:rsidRPr="005045BF">
        <w:rPr>
          <w:rFonts w:ascii="Arial" w:hAnsi="Arial" w:cs="Arial"/>
          <w:sz w:val="22"/>
          <w:szCs w:val="22"/>
        </w:rPr>
        <w:t xml:space="preserve"> viáticos,</w:t>
      </w:r>
      <w:r w:rsidR="00AB1BD2" w:rsidRPr="005045BF">
        <w:rPr>
          <w:rFonts w:ascii="Arial" w:hAnsi="Arial" w:cs="Arial"/>
          <w:sz w:val="22"/>
          <w:szCs w:val="22"/>
        </w:rPr>
        <w:t xml:space="preserve"> señaló que</w:t>
      </w:r>
      <w:r w:rsidR="00A14203" w:rsidRPr="005045BF">
        <w:rPr>
          <w:rFonts w:ascii="Arial" w:hAnsi="Arial" w:cs="Arial"/>
          <w:sz w:val="22"/>
          <w:szCs w:val="22"/>
        </w:rPr>
        <w:t xml:space="preserve"> cada entidad adoptar</w:t>
      </w:r>
      <w:r w:rsidR="00AB1BD2" w:rsidRPr="005045BF">
        <w:rPr>
          <w:rFonts w:ascii="Arial" w:hAnsi="Arial" w:cs="Arial"/>
          <w:sz w:val="22"/>
          <w:szCs w:val="22"/>
        </w:rPr>
        <w:t>ía</w:t>
      </w:r>
      <w:r w:rsidR="00A14203" w:rsidRPr="005045BF">
        <w:rPr>
          <w:rFonts w:ascii="Arial" w:hAnsi="Arial" w:cs="Arial"/>
          <w:sz w:val="22"/>
          <w:szCs w:val="22"/>
        </w:rPr>
        <w:t xml:space="preserve"> las medidas necesarias para garantizar la austeridad en este tipo de gastos. </w:t>
      </w:r>
      <w:r w:rsidRPr="005045BF">
        <w:rPr>
          <w:rFonts w:ascii="Arial" w:hAnsi="Arial" w:cs="Arial"/>
          <w:sz w:val="22"/>
          <w:szCs w:val="22"/>
        </w:rPr>
        <w:t xml:space="preserve">Por lo anterior, se solicitó a la </w:t>
      </w:r>
      <w:r w:rsidR="00F04372" w:rsidRPr="005045BF">
        <w:rPr>
          <w:rFonts w:ascii="Arial" w:hAnsi="Arial" w:cs="Arial"/>
          <w:sz w:val="22"/>
          <w:szCs w:val="22"/>
        </w:rPr>
        <w:t xml:space="preserve">Subdirección de Gestión del Talento Humano </w:t>
      </w:r>
      <w:r w:rsidR="00AB1BD2" w:rsidRPr="005045BF">
        <w:rPr>
          <w:rFonts w:ascii="Arial" w:hAnsi="Arial" w:cs="Arial"/>
          <w:sz w:val="22"/>
          <w:szCs w:val="22"/>
        </w:rPr>
        <w:t>la información concerniente a los</w:t>
      </w:r>
      <w:r w:rsidRPr="005045BF">
        <w:rPr>
          <w:rFonts w:ascii="Arial" w:hAnsi="Arial" w:cs="Arial"/>
          <w:sz w:val="22"/>
          <w:szCs w:val="22"/>
        </w:rPr>
        <w:t xml:space="preserve"> gastos de </w:t>
      </w:r>
      <w:r w:rsidR="00AC7495" w:rsidRPr="005045BF">
        <w:rPr>
          <w:rFonts w:ascii="Arial" w:hAnsi="Arial" w:cs="Arial"/>
          <w:sz w:val="22"/>
          <w:szCs w:val="22"/>
        </w:rPr>
        <w:t xml:space="preserve">pasajes aéreos </w:t>
      </w:r>
      <w:r w:rsidRPr="005045BF">
        <w:rPr>
          <w:rFonts w:ascii="Arial" w:hAnsi="Arial" w:cs="Arial"/>
          <w:sz w:val="22"/>
          <w:szCs w:val="22"/>
        </w:rPr>
        <w:t>y viáticos ejecutados durante el</w:t>
      </w:r>
      <w:r w:rsidR="00600126" w:rsidRPr="005045BF">
        <w:rPr>
          <w:rFonts w:ascii="Arial" w:hAnsi="Arial" w:cs="Arial"/>
          <w:sz w:val="22"/>
          <w:szCs w:val="22"/>
        </w:rPr>
        <w:t xml:space="preserve"> </w:t>
      </w:r>
      <w:r w:rsidR="0088300E" w:rsidRPr="005045BF">
        <w:rPr>
          <w:rFonts w:ascii="Arial" w:hAnsi="Arial" w:cs="Arial"/>
          <w:sz w:val="22"/>
          <w:szCs w:val="22"/>
        </w:rPr>
        <w:t xml:space="preserve">primer </w:t>
      </w:r>
      <w:r w:rsidRPr="005045BF">
        <w:rPr>
          <w:rFonts w:ascii="Arial" w:hAnsi="Arial" w:cs="Arial"/>
          <w:sz w:val="22"/>
          <w:szCs w:val="22"/>
        </w:rPr>
        <w:t>trimestre del 20</w:t>
      </w:r>
      <w:r w:rsidR="0088300E" w:rsidRPr="005045BF">
        <w:rPr>
          <w:rFonts w:ascii="Arial" w:hAnsi="Arial" w:cs="Arial"/>
          <w:sz w:val="22"/>
          <w:szCs w:val="22"/>
        </w:rPr>
        <w:t>20</w:t>
      </w:r>
      <w:r w:rsidRPr="005045BF">
        <w:rPr>
          <w:rFonts w:ascii="Arial" w:hAnsi="Arial" w:cs="Arial"/>
          <w:sz w:val="22"/>
          <w:szCs w:val="22"/>
        </w:rPr>
        <w:t xml:space="preserve"> y 201</w:t>
      </w:r>
      <w:r w:rsidR="0088300E" w:rsidRPr="005045BF">
        <w:rPr>
          <w:rFonts w:ascii="Arial" w:hAnsi="Arial" w:cs="Arial"/>
          <w:sz w:val="22"/>
          <w:szCs w:val="22"/>
        </w:rPr>
        <w:t>9</w:t>
      </w:r>
      <w:r w:rsidR="00523793" w:rsidRPr="005045BF">
        <w:rPr>
          <w:rFonts w:ascii="Arial" w:hAnsi="Arial" w:cs="Arial"/>
          <w:sz w:val="22"/>
          <w:szCs w:val="22"/>
        </w:rPr>
        <w:t xml:space="preserve"> para el rubro de funcionamiento.</w:t>
      </w:r>
    </w:p>
    <w:p w14:paraId="5F145033" w14:textId="1EA292A8" w:rsidR="003779EA" w:rsidRPr="005045BF" w:rsidRDefault="003779EA" w:rsidP="007C2B64">
      <w:pPr>
        <w:spacing w:line="168" w:lineRule="auto"/>
        <w:jc w:val="both"/>
        <w:rPr>
          <w:rFonts w:ascii="Arial" w:hAnsi="Arial" w:cs="Arial"/>
          <w:sz w:val="22"/>
          <w:szCs w:val="22"/>
        </w:rPr>
      </w:pPr>
    </w:p>
    <w:p w14:paraId="4FCAF29F" w14:textId="77777777" w:rsidR="00677D8D" w:rsidRPr="005045BF" w:rsidRDefault="00677D8D" w:rsidP="007C2B64">
      <w:pPr>
        <w:spacing w:line="168" w:lineRule="auto"/>
        <w:jc w:val="both"/>
        <w:rPr>
          <w:rFonts w:ascii="Arial" w:hAnsi="Arial" w:cs="Arial"/>
          <w:sz w:val="22"/>
          <w:szCs w:val="22"/>
        </w:rPr>
      </w:pPr>
    </w:p>
    <w:p w14:paraId="443C904E" w14:textId="549C80EA" w:rsidR="00A370A8" w:rsidRPr="005045BF" w:rsidRDefault="005E6490" w:rsidP="00361AE8">
      <w:pPr>
        <w:jc w:val="both"/>
        <w:rPr>
          <w:rFonts w:ascii="Arial" w:hAnsi="Arial" w:cs="Arial"/>
          <w:sz w:val="22"/>
          <w:szCs w:val="22"/>
        </w:rPr>
      </w:pPr>
      <w:r w:rsidRPr="005045BF">
        <w:rPr>
          <w:rFonts w:ascii="Arial" w:hAnsi="Arial" w:cs="Arial"/>
          <w:sz w:val="22"/>
          <w:szCs w:val="22"/>
        </w:rPr>
        <w:lastRenderedPageBreak/>
        <w:t>De acuerdo con la información allegada</w:t>
      </w:r>
      <w:r w:rsidR="001F0363" w:rsidRPr="005045BF">
        <w:rPr>
          <w:rFonts w:ascii="Arial" w:hAnsi="Arial" w:cs="Arial"/>
          <w:sz w:val="22"/>
          <w:szCs w:val="22"/>
        </w:rPr>
        <w:t xml:space="preserve"> por </w:t>
      </w:r>
      <w:r w:rsidR="003170E5" w:rsidRPr="005045BF">
        <w:rPr>
          <w:rFonts w:ascii="Arial" w:hAnsi="Arial" w:cs="Arial"/>
          <w:sz w:val="22"/>
          <w:szCs w:val="22"/>
        </w:rPr>
        <w:t xml:space="preserve">la </w:t>
      </w:r>
      <w:r w:rsidR="001F0363" w:rsidRPr="005045BF">
        <w:rPr>
          <w:rFonts w:ascii="Arial" w:hAnsi="Arial" w:cs="Arial"/>
          <w:sz w:val="22"/>
          <w:szCs w:val="22"/>
        </w:rPr>
        <w:t>Subdirección</w:t>
      </w:r>
      <w:r w:rsidR="003170E5" w:rsidRPr="005045BF">
        <w:rPr>
          <w:rFonts w:ascii="Arial" w:hAnsi="Arial" w:cs="Arial"/>
          <w:sz w:val="22"/>
          <w:szCs w:val="22"/>
        </w:rPr>
        <w:t xml:space="preserve"> antes mencionada, </w:t>
      </w:r>
      <w:r w:rsidR="001F0363" w:rsidRPr="005045BF">
        <w:rPr>
          <w:rFonts w:ascii="Arial" w:hAnsi="Arial" w:cs="Arial"/>
          <w:sz w:val="22"/>
          <w:szCs w:val="22"/>
        </w:rPr>
        <w:t>se observ</w:t>
      </w:r>
      <w:r w:rsidR="005F56A4" w:rsidRPr="005045BF">
        <w:rPr>
          <w:rFonts w:ascii="Arial" w:hAnsi="Arial" w:cs="Arial"/>
          <w:sz w:val="22"/>
          <w:szCs w:val="22"/>
        </w:rPr>
        <w:t>ó que para el</w:t>
      </w:r>
      <w:r w:rsidR="00B44833" w:rsidRPr="005045BF">
        <w:rPr>
          <w:rFonts w:ascii="Arial" w:hAnsi="Arial" w:cs="Arial"/>
          <w:sz w:val="22"/>
          <w:szCs w:val="22"/>
        </w:rPr>
        <w:t xml:space="preserve"> </w:t>
      </w:r>
      <w:r w:rsidR="0088300E" w:rsidRPr="005045BF">
        <w:rPr>
          <w:rFonts w:ascii="Arial" w:hAnsi="Arial" w:cs="Arial"/>
          <w:sz w:val="22"/>
          <w:szCs w:val="22"/>
        </w:rPr>
        <w:t xml:space="preserve">primer </w:t>
      </w:r>
      <w:r w:rsidR="00705F6F" w:rsidRPr="005045BF">
        <w:rPr>
          <w:rFonts w:ascii="Arial" w:hAnsi="Arial" w:cs="Arial"/>
          <w:sz w:val="22"/>
          <w:szCs w:val="22"/>
        </w:rPr>
        <w:t>t</w:t>
      </w:r>
      <w:r w:rsidR="001F0363" w:rsidRPr="005045BF">
        <w:rPr>
          <w:rFonts w:ascii="Arial" w:hAnsi="Arial" w:cs="Arial"/>
          <w:sz w:val="22"/>
          <w:szCs w:val="22"/>
        </w:rPr>
        <w:t>rimestre de 20</w:t>
      </w:r>
      <w:r w:rsidR="00947BF5" w:rsidRPr="005045BF">
        <w:rPr>
          <w:rFonts w:ascii="Arial" w:hAnsi="Arial" w:cs="Arial"/>
          <w:sz w:val="22"/>
          <w:szCs w:val="22"/>
        </w:rPr>
        <w:t>20</w:t>
      </w:r>
      <w:r w:rsidR="001F0363" w:rsidRPr="005045BF">
        <w:rPr>
          <w:rFonts w:ascii="Arial" w:hAnsi="Arial" w:cs="Arial"/>
          <w:sz w:val="22"/>
          <w:szCs w:val="22"/>
        </w:rPr>
        <w:t xml:space="preserve"> se </w:t>
      </w:r>
      <w:r w:rsidR="00A03A2C" w:rsidRPr="005045BF">
        <w:rPr>
          <w:rFonts w:ascii="Arial" w:hAnsi="Arial" w:cs="Arial"/>
          <w:sz w:val="22"/>
          <w:szCs w:val="22"/>
        </w:rPr>
        <w:t xml:space="preserve">autorizaron </w:t>
      </w:r>
      <w:r w:rsidR="004D28CB" w:rsidRPr="005045BF">
        <w:rPr>
          <w:rFonts w:ascii="Arial" w:hAnsi="Arial" w:cs="Arial"/>
          <w:sz w:val="22"/>
          <w:szCs w:val="22"/>
        </w:rPr>
        <w:t xml:space="preserve">340 </w:t>
      </w:r>
      <w:r w:rsidR="00A03A2C" w:rsidRPr="005045BF">
        <w:rPr>
          <w:rFonts w:ascii="Arial" w:hAnsi="Arial" w:cs="Arial"/>
          <w:sz w:val="22"/>
          <w:szCs w:val="22"/>
        </w:rPr>
        <w:t xml:space="preserve">comisiones </w:t>
      </w:r>
      <w:r w:rsidR="00E70289" w:rsidRPr="005045BF">
        <w:rPr>
          <w:rFonts w:ascii="Arial" w:hAnsi="Arial" w:cs="Arial"/>
          <w:sz w:val="22"/>
          <w:szCs w:val="22"/>
        </w:rPr>
        <w:t xml:space="preserve">de servicio </w:t>
      </w:r>
      <w:r w:rsidR="003170E5" w:rsidRPr="005045BF">
        <w:rPr>
          <w:rFonts w:ascii="Arial" w:hAnsi="Arial" w:cs="Arial"/>
          <w:sz w:val="22"/>
          <w:szCs w:val="22"/>
        </w:rPr>
        <w:t xml:space="preserve">para </w:t>
      </w:r>
      <w:r w:rsidR="00A03A2C" w:rsidRPr="005045BF">
        <w:rPr>
          <w:rFonts w:ascii="Arial" w:hAnsi="Arial" w:cs="Arial"/>
          <w:sz w:val="22"/>
          <w:szCs w:val="22"/>
        </w:rPr>
        <w:t>funcionarios</w:t>
      </w:r>
      <w:r w:rsidR="004C303E" w:rsidRPr="005045BF">
        <w:rPr>
          <w:rFonts w:ascii="Arial" w:hAnsi="Arial" w:cs="Arial"/>
          <w:sz w:val="22"/>
          <w:szCs w:val="22"/>
        </w:rPr>
        <w:t xml:space="preserve"> y/o contratistas</w:t>
      </w:r>
      <w:r w:rsidR="00C93A90">
        <w:rPr>
          <w:rStyle w:val="Refdenotaalpie"/>
          <w:rFonts w:ascii="Arial" w:hAnsi="Arial" w:cs="Arial"/>
          <w:sz w:val="22"/>
          <w:szCs w:val="22"/>
        </w:rPr>
        <w:footnoteReference w:id="5"/>
      </w:r>
      <w:r w:rsidR="00A03A2C" w:rsidRPr="005045BF">
        <w:rPr>
          <w:rFonts w:ascii="Arial" w:hAnsi="Arial" w:cs="Arial"/>
          <w:sz w:val="22"/>
          <w:szCs w:val="22"/>
        </w:rPr>
        <w:t xml:space="preserve"> de este Ministerio, d</w:t>
      </w:r>
      <w:r w:rsidR="00110E24" w:rsidRPr="005045BF">
        <w:rPr>
          <w:rFonts w:ascii="Arial" w:hAnsi="Arial" w:cs="Arial"/>
          <w:sz w:val="22"/>
          <w:szCs w:val="22"/>
        </w:rPr>
        <w:t xml:space="preserve">e las cuales </w:t>
      </w:r>
      <w:r w:rsidR="00B44833" w:rsidRPr="005045BF">
        <w:rPr>
          <w:rFonts w:ascii="Arial" w:hAnsi="Arial" w:cs="Arial"/>
          <w:sz w:val="22"/>
          <w:szCs w:val="22"/>
        </w:rPr>
        <w:t>2</w:t>
      </w:r>
      <w:r w:rsidR="00A1432E" w:rsidRPr="005045BF">
        <w:rPr>
          <w:rFonts w:ascii="Arial" w:hAnsi="Arial" w:cs="Arial"/>
          <w:sz w:val="22"/>
          <w:szCs w:val="22"/>
        </w:rPr>
        <w:t>47</w:t>
      </w:r>
      <w:r w:rsidR="00B44833" w:rsidRPr="005045BF">
        <w:rPr>
          <w:rFonts w:ascii="Arial" w:hAnsi="Arial" w:cs="Arial"/>
          <w:sz w:val="22"/>
          <w:szCs w:val="22"/>
        </w:rPr>
        <w:t xml:space="preserve"> </w:t>
      </w:r>
      <w:r w:rsidR="00110E24" w:rsidRPr="005045BF">
        <w:rPr>
          <w:rFonts w:ascii="Arial" w:hAnsi="Arial" w:cs="Arial"/>
          <w:sz w:val="22"/>
          <w:szCs w:val="22"/>
        </w:rPr>
        <w:t xml:space="preserve">generaron </w:t>
      </w:r>
      <w:r w:rsidR="00A03A2C" w:rsidRPr="005045BF">
        <w:rPr>
          <w:rFonts w:ascii="Arial" w:hAnsi="Arial" w:cs="Arial"/>
          <w:sz w:val="22"/>
          <w:szCs w:val="22"/>
        </w:rPr>
        <w:t xml:space="preserve">gastos </w:t>
      </w:r>
      <w:r w:rsidR="00653BEC" w:rsidRPr="005045BF">
        <w:rPr>
          <w:rFonts w:ascii="Arial" w:hAnsi="Arial" w:cs="Arial"/>
          <w:sz w:val="22"/>
          <w:szCs w:val="22"/>
        </w:rPr>
        <w:t>por viáticos</w:t>
      </w:r>
      <w:r w:rsidR="002E5801" w:rsidRPr="005045BF">
        <w:rPr>
          <w:rFonts w:ascii="Arial" w:hAnsi="Arial" w:cs="Arial"/>
          <w:sz w:val="22"/>
          <w:szCs w:val="22"/>
        </w:rPr>
        <w:t xml:space="preserve"> y </w:t>
      </w:r>
      <w:r w:rsidR="00A1432E" w:rsidRPr="005045BF">
        <w:rPr>
          <w:rFonts w:ascii="Arial" w:hAnsi="Arial" w:cs="Arial"/>
          <w:sz w:val="22"/>
          <w:szCs w:val="22"/>
        </w:rPr>
        <w:t>187</w:t>
      </w:r>
      <w:r w:rsidR="00110E24" w:rsidRPr="005045BF">
        <w:rPr>
          <w:rFonts w:ascii="Arial" w:hAnsi="Arial" w:cs="Arial"/>
          <w:sz w:val="22"/>
          <w:szCs w:val="22"/>
        </w:rPr>
        <w:t xml:space="preserve"> </w:t>
      </w:r>
      <w:r w:rsidR="00653BEC" w:rsidRPr="005045BF">
        <w:rPr>
          <w:rFonts w:ascii="Arial" w:hAnsi="Arial" w:cs="Arial"/>
          <w:sz w:val="22"/>
          <w:szCs w:val="22"/>
        </w:rPr>
        <w:t xml:space="preserve">presentaron </w:t>
      </w:r>
      <w:r w:rsidR="00110E24" w:rsidRPr="005045BF">
        <w:rPr>
          <w:rFonts w:ascii="Arial" w:hAnsi="Arial" w:cs="Arial"/>
          <w:sz w:val="22"/>
          <w:szCs w:val="22"/>
        </w:rPr>
        <w:t>gasto</w:t>
      </w:r>
      <w:r w:rsidR="00A03A2C" w:rsidRPr="005045BF">
        <w:rPr>
          <w:rFonts w:ascii="Arial" w:hAnsi="Arial" w:cs="Arial"/>
          <w:sz w:val="22"/>
          <w:szCs w:val="22"/>
        </w:rPr>
        <w:t>s</w:t>
      </w:r>
      <w:r w:rsidR="0084691C" w:rsidRPr="005045BF">
        <w:rPr>
          <w:rFonts w:ascii="Arial" w:hAnsi="Arial" w:cs="Arial"/>
          <w:sz w:val="22"/>
          <w:szCs w:val="22"/>
        </w:rPr>
        <w:t xml:space="preserve"> por pasajes aéreos. Es decir, que del total de comisiones autorizadas</w:t>
      </w:r>
      <w:r w:rsidR="002E5801" w:rsidRPr="005045BF">
        <w:rPr>
          <w:rFonts w:ascii="Arial" w:hAnsi="Arial" w:cs="Arial"/>
          <w:sz w:val="22"/>
          <w:szCs w:val="22"/>
        </w:rPr>
        <w:t xml:space="preserve"> [</w:t>
      </w:r>
      <w:r w:rsidR="00A1432E" w:rsidRPr="005045BF">
        <w:rPr>
          <w:rFonts w:ascii="Arial" w:hAnsi="Arial" w:cs="Arial"/>
          <w:sz w:val="22"/>
          <w:szCs w:val="22"/>
        </w:rPr>
        <w:t>340</w:t>
      </w:r>
      <w:r w:rsidR="002E5801" w:rsidRPr="005045BF">
        <w:rPr>
          <w:rFonts w:ascii="Arial" w:hAnsi="Arial" w:cs="Arial"/>
          <w:sz w:val="22"/>
          <w:szCs w:val="22"/>
        </w:rPr>
        <w:t>]</w:t>
      </w:r>
      <w:r w:rsidR="0084691C" w:rsidRPr="005045BF">
        <w:rPr>
          <w:rFonts w:ascii="Arial" w:hAnsi="Arial" w:cs="Arial"/>
          <w:sz w:val="22"/>
          <w:szCs w:val="22"/>
        </w:rPr>
        <w:t xml:space="preserve"> el </w:t>
      </w:r>
      <w:r w:rsidR="00F408E1" w:rsidRPr="005045BF">
        <w:rPr>
          <w:rFonts w:ascii="Arial" w:hAnsi="Arial" w:cs="Arial"/>
          <w:sz w:val="22"/>
          <w:szCs w:val="22"/>
        </w:rPr>
        <w:t>73%</w:t>
      </w:r>
      <w:r w:rsidR="0084691C" w:rsidRPr="005045BF">
        <w:rPr>
          <w:rFonts w:ascii="Arial" w:hAnsi="Arial" w:cs="Arial"/>
          <w:sz w:val="22"/>
          <w:szCs w:val="22"/>
        </w:rPr>
        <w:t xml:space="preserve"> generó gasto por viáticos y el </w:t>
      </w:r>
      <w:r w:rsidR="00EE70CF" w:rsidRPr="005045BF">
        <w:rPr>
          <w:rFonts w:ascii="Arial" w:hAnsi="Arial" w:cs="Arial"/>
          <w:sz w:val="22"/>
          <w:szCs w:val="22"/>
        </w:rPr>
        <w:t>55</w:t>
      </w:r>
      <w:r w:rsidR="002E5801" w:rsidRPr="005045BF">
        <w:rPr>
          <w:rFonts w:ascii="Arial" w:hAnsi="Arial" w:cs="Arial"/>
          <w:sz w:val="22"/>
          <w:szCs w:val="22"/>
        </w:rPr>
        <w:t>%</w:t>
      </w:r>
      <w:r w:rsidR="0084691C" w:rsidRPr="005045BF">
        <w:rPr>
          <w:rFonts w:ascii="Arial" w:hAnsi="Arial" w:cs="Arial"/>
          <w:sz w:val="22"/>
          <w:szCs w:val="22"/>
        </w:rPr>
        <w:t xml:space="preserve"> </w:t>
      </w:r>
      <w:r w:rsidR="00EE70CF" w:rsidRPr="005045BF">
        <w:rPr>
          <w:rFonts w:ascii="Arial" w:hAnsi="Arial" w:cs="Arial"/>
          <w:sz w:val="22"/>
          <w:szCs w:val="22"/>
        </w:rPr>
        <w:t xml:space="preserve">presentó </w:t>
      </w:r>
      <w:r w:rsidR="0084691C" w:rsidRPr="005045BF">
        <w:rPr>
          <w:rFonts w:ascii="Arial" w:hAnsi="Arial" w:cs="Arial"/>
          <w:sz w:val="22"/>
          <w:szCs w:val="22"/>
        </w:rPr>
        <w:t>gasto</w:t>
      </w:r>
      <w:r w:rsidR="00EE70CF" w:rsidRPr="005045BF">
        <w:rPr>
          <w:rFonts w:ascii="Arial" w:hAnsi="Arial" w:cs="Arial"/>
          <w:sz w:val="22"/>
          <w:szCs w:val="22"/>
        </w:rPr>
        <w:t>s</w:t>
      </w:r>
      <w:r w:rsidR="0084691C" w:rsidRPr="005045BF">
        <w:rPr>
          <w:rFonts w:ascii="Arial" w:hAnsi="Arial" w:cs="Arial"/>
          <w:sz w:val="22"/>
          <w:szCs w:val="22"/>
        </w:rPr>
        <w:t xml:space="preserve"> por pasajes aéreos. </w:t>
      </w:r>
    </w:p>
    <w:p w14:paraId="5217595B" w14:textId="77777777" w:rsidR="00A370A8" w:rsidRPr="005045BF" w:rsidRDefault="00A370A8" w:rsidP="00361AE8">
      <w:pPr>
        <w:jc w:val="both"/>
        <w:rPr>
          <w:rFonts w:ascii="Arial" w:hAnsi="Arial" w:cs="Arial"/>
          <w:sz w:val="22"/>
          <w:szCs w:val="22"/>
        </w:rPr>
      </w:pPr>
    </w:p>
    <w:p w14:paraId="29559FAD" w14:textId="6278DF32" w:rsidR="00110E24" w:rsidRPr="005045BF" w:rsidRDefault="00653BEC" w:rsidP="00361AE8">
      <w:pPr>
        <w:jc w:val="both"/>
        <w:rPr>
          <w:rFonts w:ascii="Arial" w:hAnsi="Arial" w:cs="Arial"/>
          <w:sz w:val="22"/>
          <w:szCs w:val="22"/>
        </w:rPr>
      </w:pPr>
      <w:r w:rsidRPr="005045BF">
        <w:rPr>
          <w:rFonts w:ascii="Arial" w:hAnsi="Arial" w:cs="Arial"/>
          <w:sz w:val="22"/>
          <w:szCs w:val="22"/>
        </w:rPr>
        <w:t xml:space="preserve">Al respecto, </w:t>
      </w:r>
      <w:r w:rsidR="00110E24" w:rsidRPr="005045BF">
        <w:rPr>
          <w:rFonts w:ascii="Arial" w:hAnsi="Arial" w:cs="Arial"/>
          <w:sz w:val="22"/>
          <w:szCs w:val="22"/>
        </w:rPr>
        <w:t>la Subdirección de</w:t>
      </w:r>
      <w:r w:rsidR="00A03A2C" w:rsidRPr="005045BF">
        <w:rPr>
          <w:rFonts w:ascii="Arial" w:hAnsi="Arial" w:cs="Arial"/>
          <w:sz w:val="22"/>
          <w:szCs w:val="22"/>
        </w:rPr>
        <w:t xml:space="preserve"> Gestión del</w:t>
      </w:r>
      <w:r w:rsidR="00110E24" w:rsidRPr="005045BF">
        <w:rPr>
          <w:rFonts w:ascii="Arial" w:hAnsi="Arial" w:cs="Arial"/>
          <w:sz w:val="22"/>
          <w:szCs w:val="22"/>
        </w:rPr>
        <w:t xml:space="preserve"> Talento Humano </w:t>
      </w:r>
      <w:r w:rsidR="00B2161C" w:rsidRPr="005045BF">
        <w:rPr>
          <w:rFonts w:ascii="Arial" w:hAnsi="Arial" w:cs="Arial"/>
          <w:sz w:val="22"/>
          <w:szCs w:val="22"/>
        </w:rPr>
        <w:t xml:space="preserve">informó </w:t>
      </w:r>
      <w:r w:rsidR="00A03A2C" w:rsidRPr="005045BF">
        <w:rPr>
          <w:rFonts w:ascii="Arial" w:hAnsi="Arial" w:cs="Arial"/>
          <w:sz w:val="22"/>
          <w:szCs w:val="22"/>
        </w:rPr>
        <w:t xml:space="preserve">que lo anterior </w:t>
      </w:r>
      <w:r w:rsidR="00FA0813" w:rsidRPr="005045BF">
        <w:rPr>
          <w:rFonts w:ascii="Arial" w:hAnsi="Arial" w:cs="Arial"/>
          <w:sz w:val="22"/>
          <w:szCs w:val="22"/>
        </w:rPr>
        <w:t>se presenta</w:t>
      </w:r>
      <w:r w:rsidR="00A03A2C" w:rsidRPr="005045BF">
        <w:rPr>
          <w:rFonts w:ascii="Arial" w:hAnsi="Arial" w:cs="Arial"/>
          <w:sz w:val="22"/>
          <w:szCs w:val="22"/>
        </w:rPr>
        <w:t>,</w:t>
      </w:r>
      <w:r w:rsidR="00FA0813" w:rsidRPr="005045BF">
        <w:rPr>
          <w:rFonts w:ascii="Arial" w:hAnsi="Arial" w:cs="Arial"/>
          <w:sz w:val="22"/>
          <w:szCs w:val="22"/>
        </w:rPr>
        <w:t xml:space="preserve"> toda vez </w:t>
      </w:r>
      <w:r w:rsidR="00B2161C" w:rsidRPr="005045BF">
        <w:rPr>
          <w:rFonts w:ascii="Arial" w:hAnsi="Arial" w:cs="Arial"/>
          <w:sz w:val="22"/>
          <w:szCs w:val="22"/>
        </w:rPr>
        <w:t xml:space="preserve">que </w:t>
      </w:r>
      <w:r w:rsidR="00FA0813" w:rsidRPr="005045BF">
        <w:rPr>
          <w:rFonts w:ascii="Arial" w:hAnsi="Arial" w:cs="Arial"/>
          <w:sz w:val="22"/>
          <w:szCs w:val="22"/>
        </w:rPr>
        <w:t xml:space="preserve">en ocasiones </w:t>
      </w:r>
      <w:r w:rsidR="00B2161C" w:rsidRPr="005045BF">
        <w:rPr>
          <w:rFonts w:ascii="Arial" w:hAnsi="Arial" w:cs="Arial"/>
          <w:sz w:val="22"/>
          <w:szCs w:val="22"/>
        </w:rPr>
        <w:t xml:space="preserve">los gastos de viáticos y pasajes aéreos </w:t>
      </w:r>
      <w:r w:rsidR="00FA0813" w:rsidRPr="005045BF">
        <w:rPr>
          <w:rFonts w:ascii="Arial" w:hAnsi="Arial" w:cs="Arial"/>
          <w:sz w:val="22"/>
          <w:szCs w:val="22"/>
        </w:rPr>
        <w:t xml:space="preserve">son asumidos por las entidades a donde se </w:t>
      </w:r>
      <w:r w:rsidR="00B2161C" w:rsidRPr="005045BF">
        <w:rPr>
          <w:rFonts w:ascii="Arial" w:hAnsi="Arial" w:cs="Arial"/>
          <w:sz w:val="22"/>
          <w:szCs w:val="22"/>
        </w:rPr>
        <w:t>aprueba la comisión</w:t>
      </w:r>
      <w:r w:rsidR="00E70289" w:rsidRPr="005045BF">
        <w:rPr>
          <w:rFonts w:ascii="Arial" w:hAnsi="Arial" w:cs="Arial"/>
          <w:sz w:val="22"/>
          <w:szCs w:val="22"/>
        </w:rPr>
        <w:t xml:space="preserve"> de servicio</w:t>
      </w:r>
      <w:r w:rsidR="00B2161C" w:rsidRPr="005045BF">
        <w:rPr>
          <w:rFonts w:ascii="Arial" w:hAnsi="Arial" w:cs="Arial"/>
          <w:sz w:val="22"/>
          <w:szCs w:val="22"/>
        </w:rPr>
        <w:t xml:space="preserve"> para que el funcionario </w:t>
      </w:r>
      <w:r w:rsidR="00EE70CF" w:rsidRPr="005045BF">
        <w:rPr>
          <w:rFonts w:ascii="Arial" w:hAnsi="Arial" w:cs="Arial"/>
          <w:sz w:val="22"/>
          <w:szCs w:val="22"/>
        </w:rPr>
        <w:t>participe</w:t>
      </w:r>
      <w:r w:rsidR="00265BAF" w:rsidRPr="005045BF">
        <w:rPr>
          <w:rFonts w:ascii="Arial" w:hAnsi="Arial" w:cs="Arial"/>
          <w:sz w:val="22"/>
          <w:szCs w:val="22"/>
        </w:rPr>
        <w:t xml:space="preserve"> y/o asista</w:t>
      </w:r>
      <w:r w:rsidR="00EE70CF" w:rsidRPr="005045BF">
        <w:rPr>
          <w:rFonts w:ascii="Arial" w:hAnsi="Arial" w:cs="Arial"/>
          <w:sz w:val="22"/>
          <w:szCs w:val="22"/>
        </w:rPr>
        <w:t xml:space="preserve"> </w:t>
      </w:r>
      <w:r w:rsidR="00B2161C" w:rsidRPr="005045BF">
        <w:rPr>
          <w:rFonts w:ascii="Arial" w:hAnsi="Arial" w:cs="Arial"/>
          <w:sz w:val="22"/>
          <w:szCs w:val="22"/>
        </w:rPr>
        <w:t xml:space="preserve">en </w:t>
      </w:r>
      <w:r w:rsidR="00FA0813" w:rsidRPr="005045BF">
        <w:rPr>
          <w:rFonts w:ascii="Arial" w:hAnsi="Arial" w:cs="Arial"/>
          <w:sz w:val="22"/>
          <w:szCs w:val="22"/>
        </w:rPr>
        <w:t xml:space="preserve">representación de este Ministerio. </w:t>
      </w:r>
    </w:p>
    <w:p w14:paraId="54DB7FF2" w14:textId="77777777" w:rsidR="00110E24" w:rsidRPr="005045BF" w:rsidRDefault="00110E24" w:rsidP="007C2B64">
      <w:pPr>
        <w:spacing w:line="168" w:lineRule="auto"/>
        <w:jc w:val="both"/>
        <w:rPr>
          <w:rFonts w:ascii="Arial" w:hAnsi="Arial" w:cs="Arial"/>
          <w:sz w:val="22"/>
          <w:szCs w:val="22"/>
        </w:rPr>
      </w:pPr>
    </w:p>
    <w:p w14:paraId="03C8476D" w14:textId="2067E4CD" w:rsidR="005E6490" w:rsidRPr="005045BF" w:rsidRDefault="00A370A8" w:rsidP="00361AE8">
      <w:pPr>
        <w:jc w:val="both"/>
        <w:rPr>
          <w:rFonts w:ascii="Arial" w:hAnsi="Arial" w:cs="Arial"/>
          <w:sz w:val="22"/>
          <w:szCs w:val="22"/>
        </w:rPr>
      </w:pPr>
      <w:r w:rsidRPr="005045BF">
        <w:rPr>
          <w:rFonts w:ascii="Arial" w:hAnsi="Arial" w:cs="Arial"/>
          <w:sz w:val="22"/>
          <w:szCs w:val="22"/>
        </w:rPr>
        <w:t>Teniendo en cuenta, l</w:t>
      </w:r>
      <w:r w:rsidR="00A03A2C" w:rsidRPr="005045BF">
        <w:rPr>
          <w:rFonts w:ascii="Arial" w:hAnsi="Arial" w:cs="Arial"/>
          <w:sz w:val="22"/>
          <w:szCs w:val="22"/>
        </w:rPr>
        <w:t xml:space="preserve">a información remitida a esta Oficina por parte de la Subdirección de </w:t>
      </w:r>
      <w:r w:rsidR="00695AF4" w:rsidRPr="005045BF">
        <w:rPr>
          <w:rFonts w:ascii="Arial" w:hAnsi="Arial" w:cs="Arial"/>
          <w:sz w:val="22"/>
          <w:szCs w:val="22"/>
        </w:rPr>
        <w:t xml:space="preserve">Gestión </w:t>
      </w:r>
      <w:r w:rsidR="00C87226" w:rsidRPr="005045BF">
        <w:rPr>
          <w:rFonts w:ascii="Arial" w:hAnsi="Arial" w:cs="Arial"/>
          <w:sz w:val="22"/>
          <w:szCs w:val="22"/>
        </w:rPr>
        <w:t>de Talento Humano,</w:t>
      </w:r>
      <w:r w:rsidR="00A03A2C" w:rsidRPr="005045BF">
        <w:rPr>
          <w:rFonts w:ascii="Arial" w:hAnsi="Arial" w:cs="Arial"/>
          <w:sz w:val="22"/>
          <w:szCs w:val="22"/>
        </w:rPr>
        <w:t xml:space="preserve"> se constató </w:t>
      </w:r>
      <w:r w:rsidR="00C87226" w:rsidRPr="005045BF">
        <w:rPr>
          <w:rFonts w:ascii="Arial" w:hAnsi="Arial" w:cs="Arial"/>
          <w:sz w:val="22"/>
          <w:szCs w:val="22"/>
        </w:rPr>
        <w:t xml:space="preserve">que los pasajes </w:t>
      </w:r>
      <w:r w:rsidR="00E231BC" w:rsidRPr="005045BF">
        <w:rPr>
          <w:rFonts w:ascii="Arial" w:hAnsi="Arial" w:cs="Arial"/>
          <w:sz w:val="22"/>
          <w:szCs w:val="22"/>
        </w:rPr>
        <w:t xml:space="preserve">aéreos </w:t>
      </w:r>
      <w:r w:rsidR="003170E5" w:rsidRPr="005045BF">
        <w:rPr>
          <w:rFonts w:ascii="Arial" w:hAnsi="Arial" w:cs="Arial"/>
          <w:sz w:val="22"/>
          <w:szCs w:val="22"/>
        </w:rPr>
        <w:t>fueron expedidos en clase económica (e</w:t>
      </w:r>
      <w:r w:rsidR="00705F6F" w:rsidRPr="005045BF">
        <w:rPr>
          <w:rFonts w:ascii="Arial" w:hAnsi="Arial" w:cs="Arial"/>
          <w:sz w:val="22"/>
          <w:szCs w:val="22"/>
        </w:rPr>
        <w:t xml:space="preserve">). </w:t>
      </w:r>
      <w:r w:rsidR="00F249FD" w:rsidRPr="005045BF">
        <w:rPr>
          <w:rFonts w:ascii="Arial" w:hAnsi="Arial" w:cs="Arial"/>
          <w:sz w:val="22"/>
          <w:szCs w:val="22"/>
        </w:rPr>
        <w:t xml:space="preserve">Frente a </w:t>
      </w:r>
      <w:r w:rsidR="00E231BC" w:rsidRPr="005045BF">
        <w:rPr>
          <w:rFonts w:ascii="Arial" w:hAnsi="Arial" w:cs="Arial"/>
          <w:sz w:val="22"/>
          <w:szCs w:val="22"/>
        </w:rPr>
        <w:t xml:space="preserve">lo anterior, se concluye que este Ministerio </w:t>
      </w:r>
      <w:r w:rsidR="00F249FD" w:rsidRPr="005045BF">
        <w:rPr>
          <w:rFonts w:ascii="Arial" w:hAnsi="Arial" w:cs="Arial"/>
          <w:sz w:val="22"/>
          <w:szCs w:val="22"/>
        </w:rPr>
        <w:t xml:space="preserve">está cumpliendo con la directriz </w:t>
      </w:r>
      <w:r w:rsidR="001829A6" w:rsidRPr="005045BF">
        <w:rPr>
          <w:rFonts w:ascii="Arial" w:hAnsi="Arial" w:cs="Arial"/>
          <w:sz w:val="22"/>
          <w:szCs w:val="22"/>
        </w:rPr>
        <w:t>señalada</w:t>
      </w:r>
      <w:r w:rsidR="008F6AA9" w:rsidRPr="005045BF">
        <w:rPr>
          <w:rFonts w:ascii="Arial" w:hAnsi="Arial" w:cs="Arial"/>
          <w:sz w:val="22"/>
          <w:szCs w:val="22"/>
        </w:rPr>
        <w:t xml:space="preserve"> en el artículo 2.2.5</w:t>
      </w:r>
      <w:r w:rsidR="001829A6" w:rsidRPr="005045BF">
        <w:rPr>
          <w:rFonts w:ascii="Arial" w:hAnsi="Arial" w:cs="Arial"/>
          <w:sz w:val="22"/>
          <w:szCs w:val="22"/>
        </w:rPr>
        <w:t xml:space="preserve">.5.28 del Decreto 1083 de 2015. </w:t>
      </w:r>
      <w:r w:rsidR="00B15ADD" w:rsidRPr="005045BF">
        <w:rPr>
          <w:rFonts w:ascii="Arial" w:hAnsi="Arial" w:cs="Arial"/>
          <w:sz w:val="22"/>
          <w:szCs w:val="22"/>
        </w:rPr>
        <w:t xml:space="preserve"> </w:t>
      </w:r>
      <w:r w:rsidR="008F6AA9" w:rsidRPr="005045BF">
        <w:rPr>
          <w:rFonts w:ascii="Arial" w:hAnsi="Arial" w:cs="Arial"/>
          <w:sz w:val="22"/>
          <w:szCs w:val="22"/>
        </w:rPr>
        <w:t xml:space="preserve"> </w:t>
      </w:r>
    </w:p>
    <w:p w14:paraId="3568D247" w14:textId="77777777" w:rsidR="003779EA" w:rsidRPr="005045BF" w:rsidRDefault="003779EA" w:rsidP="007C2B64">
      <w:pPr>
        <w:spacing w:line="168" w:lineRule="auto"/>
        <w:jc w:val="both"/>
        <w:rPr>
          <w:rFonts w:ascii="Arial" w:hAnsi="Arial" w:cs="Arial"/>
          <w:sz w:val="22"/>
          <w:szCs w:val="22"/>
          <w:highlight w:val="yellow"/>
        </w:rPr>
      </w:pPr>
    </w:p>
    <w:p w14:paraId="1157B1AE" w14:textId="698D5B45" w:rsidR="00C30244" w:rsidRPr="005045BF" w:rsidRDefault="00C945B5" w:rsidP="00361AE8">
      <w:pPr>
        <w:jc w:val="both"/>
        <w:rPr>
          <w:rFonts w:ascii="Arial" w:hAnsi="Arial" w:cs="Arial"/>
          <w:sz w:val="22"/>
          <w:szCs w:val="22"/>
          <w:highlight w:val="yellow"/>
        </w:rPr>
      </w:pPr>
      <w:r w:rsidRPr="005045BF">
        <w:rPr>
          <w:rFonts w:ascii="Arial" w:hAnsi="Arial" w:cs="Arial"/>
          <w:sz w:val="22"/>
          <w:szCs w:val="22"/>
        </w:rPr>
        <w:t>Ahora bien, c</w:t>
      </w:r>
      <w:r w:rsidR="005E6490" w:rsidRPr="005045BF">
        <w:rPr>
          <w:rFonts w:ascii="Arial" w:hAnsi="Arial" w:cs="Arial"/>
          <w:sz w:val="22"/>
          <w:szCs w:val="22"/>
        </w:rPr>
        <w:t>on base en la</w:t>
      </w:r>
      <w:r w:rsidR="00D240C0" w:rsidRPr="005045BF">
        <w:rPr>
          <w:rFonts w:ascii="Arial" w:hAnsi="Arial" w:cs="Arial"/>
          <w:sz w:val="22"/>
          <w:szCs w:val="22"/>
        </w:rPr>
        <w:t xml:space="preserve"> </w:t>
      </w:r>
      <w:r w:rsidR="00901CA9" w:rsidRPr="005045BF">
        <w:rPr>
          <w:rFonts w:ascii="Arial" w:hAnsi="Arial" w:cs="Arial"/>
          <w:sz w:val="22"/>
          <w:szCs w:val="22"/>
        </w:rPr>
        <w:t xml:space="preserve">relación de gastos de viáticos y pasajes aéreos </w:t>
      </w:r>
      <w:r w:rsidR="005E6490" w:rsidRPr="005045BF">
        <w:rPr>
          <w:rFonts w:ascii="Arial" w:hAnsi="Arial" w:cs="Arial"/>
          <w:sz w:val="22"/>
          <w:szCs w:val="22"/>
        </w:rPr>
        <w:t>por funcionario</w:t>
      </w:r>
      <w:r w:rsidR="007B4D58" w:rsidRPr="005045BF">
        <w:rPr>
          <w:rFonts w:ascii="Arial" w:hAnsi="Arial" w:cs="Arial"/>
          <w:sz w:val="22"/>
          <w:szCs w:val="22"/>
        </w:rPr>
        <w:t xml:space="preserve"> y/o contratista</w:t>
      </w:r>
      <w:r w:rsidRPr="005045BF">
        <w:rPr>
          <w:rFonts w:ascii="Arial" w:hAnsi="Arial" w:cs="Arial"/>
          <w:sz w:val="22"/>
          <w:szCs w:val="22"/>
        </w:rPr>
        <w:t>,</w:t>
      </w:r>
      <w:r w:rsidR="00C30244" w:rsidRPr="005045BF">
        <w:rPr>
          <w:rFonts w:ascii="Arial" w:hAnsi="Arial" w:cs="Arial"/>
          <w:sz w:val="22"/>
          <w:szCs w:val="22"/>
        </w:rPr>
        <w:t xml:space="preserve"> se procedió a determinar el valor de las erogaciones por los conceptos </w:t>
      </w:r>
      <w:r w:rsidR="00FE287D" w:rsidRPr="005045BF">
        <w:rPr>
          <w:rFonts w:ascii="Arial" w:hAnsi="Arial" w:cs="Arial"/>
          <w:sz w:val="22"/>
          <w:szCs w:val="22"/>
        </w:rPr>
        <w:t xml:space="preserve">antes mencionados que </w:t>
      </w:r>
      <w:r w:rsidR="00C30244" w:rsidRPr="005045BF">
        <w:rPr>
          <w:rFonts w:ascii="Arial" w:hAnsi="Arial" w:cs="Arial"/>
          <w:sz w:val="22"/>
          <w:szCs w:val="22"/>
        </w:rPr>
        <w:t>se efectuaron en el</w:t>
      </w:r>
      <w:r w:rsidR="002E5801" w:rsidRPr="005045BF">
        <w:rPr>
          <w:rFonts w:ascii="Arial" w:hAnsi="Arial" w:cs="Arial"/>
          <w:sz w:val="22"/>
          <w:szCs w:val="22"/>
        </w:rPr>
        <w:t xml:space="preserve"> </w:t>
      </w:r>
      <w:r w:rsidR="00AE7C82" w:rsidRPr="005045BF">
        <w:rPr>
          <w:rFonts w:ascii="Arial" w:hAnsi="Arial" w:cs="Arial"/>
          <w:sz w:val="22"/>
          <w:szCs w:val="22"/>
        </w:rPr>
        <w:t xml:space="preserve">primer </w:t>
      </w:r>
      <w:r w:rsidR="002E5801" w:rsidRPr="005045BF">
        <w:rPr>
          <w:rFonts w:ascii="Arial" w:hAnsi="Arial" w:cs="Arial"/>
          <w:sz w:val="22"/>
          <w:szCs w:val="22"/>
        </w:rPr>
        <w:t>trimestre</w:t>
      </w:r>
      <w:r w:rsidR="00C30244" w:rsidRPr="005045BF">
        <w:rPr>
          <w:rFonts w:ascii="Arial" w:hAnsi="Arial" w:cs="Arial"/>
          <w:sz w:val="22"/>
          <w:szCs w:val="22"/>
        </w:rPr>
        <w:t xml:space="preserve"> de 20</w:t>
      </w:r>
      <w:r w:rsidR="00AE7C82" w:rsidRPr="005045BF">
        <w:rPr>
          <w:rFonts w:ascii="Arial" w:hAnsi="Arial" w:cs="Arial"/>
          <w:sz w:val="22"/>
          <w:szCs w:val="22"/>
        </w:rPr>
        <w:t>20</w:t>
      </w:r>
      <w:r w:rsidR="00C30244" w:rsidRPr="005045BF">
        <w:rPr>
          <w:rFonts w:ascii="Arial" w:hAnsi="Arial" w:cs="Arial"/>
          <w:sz w:val="22"/>
          <w:szCs w:val="22"/>
        </w:rPr>
        <w:t xml:space="preserve"> y</w:t>
      </w:r>
      <w:r w:rsidR="00D240C0" w:rsidRPr="005045BF">
        <w:rPr>
          <w:rFonts w:ascii="Arial" w:hAnsi="Arial" w:cs="Arial"/>
          <w:sz w:val="22"/>
          <w:szCs w:val="22"/>
        </w:rPr>
        <w:t xml:space="preserve"> 2019. </w:t>
      </w:r>
      <w:r w:rsidR="00C30244" w:rsidRPr="005045BF">
        <w:rPr>
          <w:rFonts w:ascii="Arial" w:hAnsi="Arial" w:cs="Arial"/>
          <w:sz w:val="22"/>
          <w:szCs w:val="22"/>
        </w:rPr>
        <w:t xml:space="preserve"> </w:t>
      </w:r>
    </w:p>
    <w:p w14:paraId="6C48296A" w14:textId="77777777" w:rsidR="004325B3" w:rsidRPr="005045BF" w:rsidRDefault="004325B3" w:rsidP="007C2B64">
      <w:pPr>
        <w:spacing w:line="168" w:lineRule="auto"/>
        <w:jc w:val="both"/>
        <w:rPr>
          <w:rFonts w:ascii="Arial" w:hAnsi="Arial" w:cs="Arial"/>
          <w:sz w:val="22"/>
          <w:szCs w:val="22"/>
          <w:highlight w:val="yellow"/>
        </w:rPr>
      </w:pPr>
    </w:p>
    <w:p w14:paraId="0857B5C5" w14:textId="4B4BADED" w:rsidR="00427944" w:rsidRPr="005045BF" w:rsidRDefault="00C30244" w:rsidP="00361AE8">
      <w:pPr>
        <w:jc w:val="both"/>
        <w:rPr>
          <w:rFonts w:ascii="Arial" w:hAnsi="Arial" w:cs="Arial"/>
          <w:sz w:val="22"/>
          <w:szCs w:val="22"/>
        </w:rPr>
      </w:pPr>
      <w:r w:rsidRPr="005045BF">
        <w:rPr>
          <w:rFonts w:ascii="Arial" w:hAnsi="Arial" w:cs="Arial"/>
          <w:sz w:val="22"/>
          <w:szCs w:val="22"/>
        </w:rPr>
        <w:t>En este punto, es importante aclarar que la información analizada por esta Oficina corresponde a la ejecución de gastos de viáticos y pasajes aéreos teniendo en cuenta la f</w:t>
      </w:r>
      <w:r w:rsidR="00210AFB" w:rsidRPr="005045BF">
        <w:rPr>
          <w:rFonts w:ascii="Arial" w:hAnsi="Arial" w:cs="Arial"/>
          <w:sz w:val="22"/>
          <w:szCs w:val="22"/>
        </w:rPr>
        <w:t>echa real que en la que se llevó</w:t>
      </w:r>
      <w:r w:rsidRPr="005045BF">
        <w:rPr>
          <w:rFonts w:ascii="Arial" w:hAnsi="Arial" w:cs="Arial"/>
          <w:sz w:val="22"/>
          <w:szCs w:val="22"/>
        </w:rPr>
        <w:t xml:space="preserve"> a cabo la comisión y no la fecha </w:t>
      </w:r>
      <w:r w:rsidR="00233C35" w:rsidRPr="005045BF">
        <w:rPr>
          <w:rFonts w:ascii="Arial" w:hAnsi="Arial" w:cs="Arial"/>
          <w:sz w:val="22"/>
          <w:szCs w:val="22"/>
        </w:rPr>
        <w:t>de</w:t>
      </w:r>
      <w:r w:rsidRPr="005045BF">
        <w:rPr>
          <w:rFonts w:ascii="Arial" w:hAnsi="Arial" w:cs="Arial"/>
          <w:sz w:val="22"/>
          <w:szCs w:val="22"/>
        </w:rPr>
        <w:t xml:space="preserve"> solicitud de la misma, toda vez que existe la probabilidad que se presenten cancelaciones de las comisiones aprobadas, lo que implicaría la sobreestimación de los gastos que le correspo</w:t>
      </w:r>
      <w:r w:rsidR="00D31632" w:rsidRPr="005045BF">
        <w:rPr>
          <w:rFonts w:ascii="Arial" w:hAnsi="Arial" w:cs="Arial"/>
          <w:sz w:val="22"/>
          <w:szCs w:val="22"/>
        </w:rPr>
        <w:t xml:space="preserve">nden a cada periodo analizado. </w:t>
      </w:r>
      <w:r w:rsidRPr="005045BF">
        <w:rPr>
          <w:rFonts w:ascii="Arial" w:hAnsi="Arial" w:cs="Arial"/>
          <w:sz w:val="22"/>
          <w:szCs w:val="22"/>
        </w:rPr>
        <w:t xml:space="preserve">A continuación, se presenta el resultado obtenido: </w:t>
      </w:r>
    </w:p>
    <w:p w14:paraId="68D2C797" w14:textId="704D9833" w:rsidR="00ED6469" w:rsidRPr="005045BF" w:rsidRDefault="00ED6469" w:rsidP="00361AE8">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2028"/>
        <w:gridCol w:w="1884"/>
        <w:gridCol w:w="1662"/>
        <w:gridCol w:w="2218"/>
      </w:tblGrid>
      <w:tr w:rsidR="00C44322" w:rsidRPr="005045BF" w14:paraId="574C2A65" w14:textId="77777777" w:rsidTr="004844EA">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gridSpan w:val="4"/>
            <w:shd w:val="clear" w:color="auto" w:fill="4F81BD" w:themeFill="accent1"/>
            <w:vAlign w:val="center"/>
            <w:hideMark/>
          </w:tcPr>
          <w:p w14:paraId="7979F8D6" w14:textId="46A73580" w:rsidR="00C44322" w:rsidRPr="005045BF" w:rsidRDefault="00C44322" w:rsidP="00E44738">
            <w:pPr>
              <w:spacing w:before="40" w:after="40"/>
              <w:jc w:val="center"/>
              <w:rPr>
                <w:rFonts w:ascii="Arial" w:hAnsi="Arial" w:cs="Arial"/>
                <w:color w:val="000000"/>
                <w:sz w:val="20"/>
                <w:szCs w:val="20"/>
              </w:rPr>
            </w:pPr>
            <w:r w:rsidRPr="005045BF">
              <w:rPr>
                <w:rFonts w:ascii="Arial" w:hAnsi="Arial" w:cs="Arial"/>
                <w:sz w:val="20"/>
                <w:szCs w:val="20"/>
              </w:rPr>
              <w:br w:type="page"/>
            </w:r>
            <w:r w:rsidRPr="005045BF">
              <w:rPr>
                <w:rFonts w:ascii="Arial" w:hAnsi="Arial" w:cs="Arial"/>
                <w:color w:val="FFFFFF" w:themeColor="background1"/>
                <w:sz w:val="20"/>
                <w:szCs w:val="20"/>
              </w:rPr>
              <w:t xml:space="preserve">Variaciones Viáticos y Pasajes  </w:t>
            </w:r>
            <w:r w:rsidR="007F447D" w:rsidRPr="005045BF">
              <w:rPr>
                <w:rFonts w:ascii="Arial" w:hAnsi="Arial" w:cs="Arial"/>
                <w:color w:val="FFFFFF" w:themeColor="background1"/>
                <w:sz w:val="20"/>
                <w:szCs w:val="20"/>
              </w:rPr>
              <w:t>I</w:t>
            </w:r>
            <w:r w:rsidR="001F3784"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20</w:t>
            </w:r>
            <w:r w:rsidR="00AE7C82" w:rsidRPr="005045BF">
              <w:rPr>
                <w:rFonts w:ascii="Arial" w:hAnsi="Arial" w:cs="Arial"/>
                <w:color w:val="FFFFFF" w:themeColor="background1"/>
                <w:sz w:val="20"/>
                <w:szCs w:val="20"/>
              </w:rPr>
              <w:t>20</w:t>
            </w:r>
            <w:r w:rsidRPr="005045BF">
              <w:rPr>
                <w:rFonts w:ascii="Arial" w:hAnsi="Arial" w:cs="Arial"/>
                <w:color w:val="FFFFFF" w:themeColor="background1"/>
                <w:sz w:val="20"/>
                <w:szCs w:val="20"/>
              </w:rPr>
              <w:t>-201</w:t>
            </w:r>
            <w:r w:rsidR="00AE7C82" w:rsidRPr="005045BF">
              <w:rPr>
                <w:rFonts w:ascii="Arial" w:hAnsi="Arial" w:cs="Arial"/>
                <w:color w:val="FFFFFF" w:themeColor="background1"/>
                <w:sz w:val="20"/>
                <w:szCs w:val="20"/>
              </w:rPr>
              <w:t>9</w:t>
            </w:r>
          </w:p>
        </w:tc>
      </w:tr>
      <w:tr w:rsidR="001F3784" w:rsidRPr="005045BF" w14:paraId="4B2EEB00"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B8CCE4" w:themeFill="accent1" w:themeFillTint="66"/>
            <w:vAlign w:val="center"/>
            <w:hideMark/>
          </w:tcPr>
          <w:p w14:paraId="200339E3" w14:textId="77777777" w:rsidR="001F3784" w:rsidRPr="005045BF" w:rsidRDefault="001F3784" w:rsidP="00E44738">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Concepto/ Mes</w:t>
            </w:r>
          </w:p>
        </w:tc>
        <w:tc>
          <w:tcPr>
            <w:tcW w:w="0" w:type="auto"/>
            <w:shd w:val="clear" w:color="auto" w:fill="B8CCE4" w:themeFill="accent1" w:themeFillTint="66"/>
            <w:vAlign w:val="center"/>
            <w:hideMark/>
          </w:tcPr>
          <w:p w14:paraId="36D08119" w14:textId="1795DCE0" w:rsidR="001F3784" w:rsidRPr="005045BF" w:rsidRDefault="001F006A"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5045BF">
              <w:rPr>
                <w:rFonts w:ascii="Arial" w:hAnsi="Arial" w:cs="Arial"/>
                <w:bCs/>
                <w:color w:val="0F243E"/>
                <w:sz w:val="20"/>
                <w:szCs w:val="20"/>
              </w:rPr>
              <w:t xml:space="preserve">Enero </w:t>
            </w:r>
          </w:p>
        </w:tc>
        <w:tc>
          <w:tcPr>
            <w:tcW w:w="0" w:type="auto"/>
            <w:shd w:val="clear" w:color="auto" w:fill="B8CCE4" w:themeFill="accent1" w:themeFillTint="66"/>
            <w:vAlign w:val="center"/>
            <w:hideMark/>
          </w:tcPr>
          <w:p w14:paraId="77F5686E" w14:textId="01100EBD" w:rsidR="001F3784" w:rsidRPr="005045BF" w:rsidRDefault="001F006A"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5045BF">
              <w:rPr>
                <w:rFonts w:ascii="Arial" w:hAnsi="Arial" w:cs="Arial"/>
                <w:bCs/>
                <w:color w:val="0F243E"/>
                <w:sz w:val="20"/>
                <w:szCs w:val="20"/>
              </w:rPr>
              <w:t xml:space="preserve">Febrero </w:t>
            </w:r>
          </w:p>
        </w:tc>
        <w:tc>
          <w:tcPr>
            <w:tcW w:w="0" w:type="auto"/>
            <w:shd w:val="clear" w:color="auto" w:fill="B8CCE4" w:themeFill="accent1" w:themeFillTint="66"/>
            <w:vAlign w:val="center"/>
            <w:hideMark/>
          </w:tcPr>
          <w:p w14:paraId="1CB447B0" w14:textId="1E3748B1" w:rsidR="001F3784" w:rsidRPr="005045BF" w:rsidRDefault="001F006A"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0F243E"/>
                <w:sz w:val="20"/>
                <w:szCs w:val="20"/>
              </w:rPr>
            </w:pPr>
            <w:r w:rsidRPr="005045BF">
              <w:rPr>
                <w:rFonts w:ascii="Arial" w:hAnsi="Arial" w:cs="Arial"/>
                <w:bCs/>
                <w:color w:val="0F243E"/>
                <w:sz w:val="20"/>
                <w:szCs w:val="20"/>
              </w:rPr>
              <w:t xml:space="preserve">Marzo </w:t>
            </w:r>
          </w:p>
        </w:tc>
      </w:tr>
      <w:tr w:rsidR="00ED6469" w:rsidRPr="005045BF" w14:paraId="7C3D9D6B" w14:textId="77777777" w:rsidTr="00A80FDF">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1FA4473" w14:textId="0AB5ACCB" w:rsidR="00ED6469" w:rsidRPr="005045BF" w:rsidRDefault="00ED6469" w:rsidP="00E44738">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Viáticos 2020</w:t>
            </w:r>
          </w:p>
        </w:tc>
        <w:tc>
          <w:tcPr>
            <w:tcW w:w="0" w:type="auto"/>
            <w:vAlign w:val="bottom"/>
            <w:hideMark/>
          </w:tcPr>
          <w:p w14:paraId="5920EDBB" w14:textId="0EFAB5D3"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38.022.202 </w:t>
            </w:r>
          </w:p>
        </w:tc>
        <w:tc>
          <w:tcPr>
            <w:tcW w:w="0" w:type="auto"/>
            <w:vAlign w:val="bottom"/>
            <w:hideMark/>
          </w:tcPr>
          <w:p w14:paraId="5F4D05BC" w14:textId="75A255B5"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42.197.049 </w:t>
            </w:r>
          </w:p>
        </w:tc>
        <w:tc>
          <w:tcPr>
            <w:tcW w:w="0" w:type="auto"/>
            <w:vAlign w:val="bottom"/>
            <w:hideMark/>
          </w:tcPr>
          <w:p w14:paraId="28E1DF3B" w14:textId="0B33242C"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20.803.974 </w:t>
            </w:r>
          </w:p>
        </w:tc>
      </w:tr>
      <w:tr w:rsidR="00ED6469" w:rsidRPr="005045BF" w14:paraId="41E9DB8C"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62CCFA8B" w14:textId="3AC364DB" w:rsidR="00ED6469" w:rsidRPr="005045BF" w:rsidRDefault="00ED6469" w:rsidP="00E44738">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Viáticos 2019</w:t>
            </w:r>
          </w:p>
        </w:tc>
        <w:tc>
          <w:tcPr>
            <w:tcW w:w="0" w:type="auto"/>
            <w:noWrap/>
            <w:vAlign w:val="center"/>
            <w:hideMark/>
          </w:tcPr>
          <w:p w14:paraId="6CB49D41" w14:textId="36AD8729"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40.706.385 </w:t>
            </w:r>
          </w:p>
        </w:tc>
        <w:tc>
          <w:tcPr>
            <w:tcW w:w="0" w:type="auto"/>
            <w:noWrap/>
            <w:vAlign w:val="center"/>
            <w:hideMark/>
          </w:tcPr>
          <w:p w14:paraId="6801C2FE" w14:textId="06A7833B"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35.154.102 </w:t>
            </w:r>
          </w:p>
        </w:tc>
        <w:tc>
          <w:tcPr>
            <w:tcW w:w="0" w:type="auto"/>
            <w:noWrap/>
            <w:vAlign w:val="center"/>
            <w:hideMark/>
          </w:tcPr>
          <w:p w14:paraId="26A27832" w14:textId="47E6ABDE"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55.322.306 </w:t>
            </w:r>
          </w:p>
        </w:tc>
      </w:tr>
      <w:tr w:rsidR="00ED6469" w:rsidRPr="005045BF" w14:paraId="5BD08879"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3986B57" w14:textId="5FA76BCE" w:rsidR="00ED6469" w:rsidRPr="005045BF" w:rsidRDefault="00ED6469" w:rsidP="00E4473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Absoluta</w:t>
            </w:r>
          </w:p>
        </w:tc>
        <w:tc>
          <w:tcPr>
            <w:tcW w:w="0" w:type="auto"/>
            <w:shd w:val="clear" w:color="auto" w:fill="4F81BD" w:themeFill="accent1"/>
            <w:vAlign w:val="center"/>
            <w:hideMark/>
          </w:tcPr>
          <w:p w14:paraId="495ACE82" w14:textId="7E34EF97"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(2.684.183)</w:t>
            </w:r>
          </w:p>
        </w:tc>
        <w:tc>
          <w:tcPr>
            <w:tcW w:w="0" w:type="auto"/>
            <w:shd w:val="clear" w:color="auto" w:fill="4F81BD" w:themeFill="accent1"/>
            <w:vAlign w:val="center"/>
            <w:hideMark/>
          </w:tcPr>
          <w:p w14:paraId="3BB12C44" w14:textId="0F05A3FC"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7.042.947</w:t>
            </w:r>
          </w:p>
        </w:tc>
        <w:tc>
          <w:tcPr>
            <w:tcW w:w="0" w:type="auto"/>
            <w:shd w:val="clear" w:color="auto" w:fill="4F81BD" w:themeFill="accent1"/>
            <w:vAlign w:val="center"/>
            <w:hideMark/>
          </w:tcPr>
          <w:p w14:paraId="16FBFAC8" w14:textId="2CCDB3C1"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(34.518.332)</w:t>
            </w:r>
          </w:p>
        </w:tc>
      </w:tr>
      <w:tr w:rsidR="00ED6469" w:rsidRPr="005045BF" w14:paraId="5E3DC392"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6A105E2D" w14:textId="017711C4" w:rsidR="00ED6469" w:rsidRPr="005045BF" w:rsidRDefault="00ED6469" w:rsidP="00E4473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Relativa</w:t>
            </w:r>
          </w:p>
        </w:tc>
        <w:tc>
          <w:tcPr>
            <w:tcW w:w="0" w:type="auto"/>
            <w:shd w:val="clear" w:color="auto" w:fill="4F81BD" w:themeFill="accent1"/>
            <w:vAlign w:val="center"/>
            <w:hideMark/>
          </w:tcPr>
          <w:p w14:paraId="10F9C47C" w14:textId="3A6C053A"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(7%)</w:t>
            </w:r>
          </w:p>
        </w:tc>
        <w:tc>
          <w:tcPr>
            <w:tcW w:w="0" w:type="auto"/>
            <w:shd w:val="clear" w:color="auto" w:fill="4F81BD" w:themeFill="accent1"/>
            <w:vAlign w:val="center"/>
            <w:hideMark/>
          </w:tcPr>
          <w:p w14:paraId="58F37E3F" w14:textId="37E103D6"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20%</w:t>
            </w:r>
          </w:p>
        </w:tc>
        <w:tc>
          <w:tcPr>
            <w:tcW w:w="0" w:type="auto"/>
            <w:shd w:val="clear" w:color="auto" w:fill="4F81BD" w:themeFill="accent1"/>
            <w:vAlign w:val="center"/>
            <w:hideMark/>
          </w:tcPr>
          <w:p w14:paraId="103F0F61" w14:textId="74E03AAB"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(62%)</w:t>
            </w:r>
          </w:p>
        </w:tc>
      </w:tr>
      <w:tr w:rsidR="00ED6469" w:rsidRPr="005045BF" w14:paraId="4431BFED" w14:textId="77777777" w:rsidTr="00A80FDF">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02848EE3" w14:textId="310C5869" w:rsidR="00ED6469" w:rsidRPr="005045BF" w:rsidRDefault="00ED6469" w:rsidP="00E44738">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Pasajes 2020</w:t>
            </w:r>
          </w:p>
        </w:tc>
        <w:tc>
          <w:tcPr>
            <w:tcW w:w="0" w:type="auto"/>
            <w:vAlign w:val="bottom"/>
            <w:hideMark/>
          </w:tcPr>
          <w:p w14:paraId="326A3B96" w14:textId="088082E8"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43.972.775 </w:t>
            </w:r>
          </w:p>
        </w:tc>
        <w:tc>
          <w:tcPr>
            <w:tcW w:w="0" w:type="auto"/>
            <w:vAlign w:val="bottom"/>
            <w:hideMark/>
          </w:tcPr>
          <w:p w14:paraId="307CA7E9" w14:textId="109C2E32"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54.312.052 </w:t>
            </w:r>
          </w:p>
        </w:tc>
        <w:tc>
          <w:tcPr>
            <w:tcW w:w="0" w:type="auto"/>
            <w:vAlign w:val="bottom"/>
            <w:hideMark/>
          </w:tcPr>
          <w:p w14:paraId="39426BE3" w14:textId="1EEF26DE"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39.729.959 </w:t>
            </w:r>
          </w:p>
        </w:tc>
      </w:tr>
      <w:tr w:rsidR="00ED6469" w:rsidRPr="005045BF" w14:paraId="656F83CF"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439CC67B" w14:textId="299C4ADA" w:rsidR="00ED6469" w:rsidRPr="005045BF" w:rsidRDefault="00ED6469" w:rsidP="00E44738">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Pasajes 2019</w:t>
            </w:r>
          </w:p>
        </w:tc>
        <w:tc>
          <w:tcPr>
            <w:tcW w:w="0" w:type="auto"/>
            <w:noWrap/>
            <w:vAlign w:val="center"/>
            <w:hideMark/>
          </w:tcPr>
          <w:p w14:paraId="70773F49" w14:textId="03EE22B1"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43.540.672 </w:t>
            </w:r>
          </w:p>
        </w:tc>
        <w:tc>
          <w:tcPr>
            <w:tcW w:w="0" w:type="auto"/>
            <w:noWrap/>
            <w:vAlign w:val="center"/>
            <w:hideMark/>
          </w:tcPr>
          <w:p w14:paraId="29C3D539" w14:textId="0F6E79E6"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49.421.224 </w:t>
            </w:r>
          </w:p>
        </w:tc>
        <w:tc>
          <w:tcPr>
            <w:tcW w:w="0" w:type="auto"/>
            <w:vAlign w:val="center"/>
            <w:hideMark/>
          </w:tcPr>
          <w:p w14:paraId="58D7AF5E" w14:textId="6E8AF140"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                  70.764.625 </w:t>
            </w:r>
          </w:p>
        </w:tc>
      </w:tr>
      <w:tr w:rsidR="00ED6469" w:rsidRPr="005045BF" w14:paraId="0E975D80"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0220942A" w14:textId="72842625" w:rsidR="00ED6469" w:rsidRPr="005045BF" w:rsidRDefault="00ED6469" w:rsidP="00E4473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Absoluta</w:t>
            </w:r>
          </w:p>
        </w:tc>
        <w:tc>
          <w:tcPr>
            <w:tcW w:w="0" w:type="auto"/>
            <w:shd w:val="clear" w:color="auto" w:fill="4F81BD" w:themeFill="accent1"/>
            <w:vAlign w:val="center"/>
            <w:hideMark/>
          </w:tcPr>
          <w:p w14:paraId="36E0BB51" w14:textId="77F867F5"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432.103</w:t>
            </w:r>
          </w:p>
        </w:tc>
        <w:tc>
          <w:tcPr>
            <w:tcW w:w="0" w:type="auto"/>
            <w:shd w:val="clear" w:color="auto" w:fill="4F81BD" w:themeFill="accent1"/>
            <w:vAlign w:val="center"/>
            <w:hideMark/>
          </w:tcPr>
          <w:p w14:paraId="667EE4C6" w14:textId="4B4B499F" w:rsidR="00ED6469" w:rsidRPr="005045BF" w:rsidRDefault="00ED6469" w:rsidP="00E44738">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4.890.828</w:t>
            </w:r>
          </w:p>
        </w:tc>
        <w:tc>
          <w:tcPr>
            <w:tcW w:w="0" w:type="auto"/>
            <w:shd w:val="clear" w:color="auto" w:fill="4F81BD" w:themeFill="accent1"/>
            <w:vAlign w:val="center"/>
            <w:hideMark/>
          </w:tcPr>
          <w:p w14:paraId="2D1B6250" w14:textId="7EF2DC28" w:rsidR="00ED6469" w:rsidRPr="005045BF" w:rsidRDefault="00ED6469" w:rsidP="00E44738">
            <w:pPr>
              <w:spacing w:before="40" w:after="40"/>
              <w:ind w:left="708" w:hanging="708"/>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(31.034.666)</w:t>
            </w:r>
          </w:p>
        </w:tc>
      </w:tr>
      <w:tr w:rsidR="00ED6469" w:rsidRPr="005045BF" w14:paraId="3B056E18" w14:textId="77777777" w:rsidTr="004844EA">
        <w:trPr>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5FEAA115" w14:textId="0203E6C5" w:rsidR="00ED6469" w:rsidRPr="005045BF" w:rsidRDefault="00ED6469" w:rsidP="00E4473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Relativa</w:t>
            </w:r>
          </w:p>
        </w:tc>
        <w:tc>
          <w:tcPr>
            <w:tcW w:w="0" w:type="auto"/>
            <w:shd w:val="clear" w:color="auto" w:fill="4F81BD" w:themeFill="accent1"/>
            <w:vAlign w:val="center"/>
            <w:hideMark/>
          </w:tcPr>
          <w:p w14:paraId="47329B90" w14:textId="3467E0E3"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1%</w:t>
            </w:r>
          </w:p>
        </w:tc>
        <w:tc>
          <w:tcPr>
            <w:tcW w:w="0" w:type="auto"/>
            <w:shd w:val="clear" w:color="auto" w:fill="4F81BD" w:themeFill="accent1"/>
            <w:vAlign w:val="center"/>
            <w:hideMark/>
          </w:tcPr>
          <w:p w14:paraId="7B86C398" w14:textId="62675185"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10%</w:t>
            </w:r>
          </w:p>
        </w:tc>
        <w:tc>
          <w:tcPr>
            <w:tcW w:w="0" w:type="auto"/>
            <w:shd w:val="clear" w:color="auto" w:fill="4F81BD" w:themeFill="accent1"/>
            <w:vAlign w:val="center"/>
            <w:hideMark/>
          </w:tcPr>
          <w:p w14:paraId="7C0A87B7" w14:textId="5A8F8116" w:rsidR="00ED6469" w:rsidRPr="005045BF" w:rsidRDefault="00ED6469" w:rsidP="00E4473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(44%)</w:t>
            </w:r>
          </w:p>
        </w:tc>
      </w:tr>
    </w:tbl>
    <w:tbl>
      <w:tblPr>
        <w:tblW w:w="16560" w:type="dxa"/>
        <w:tblCellMar>
          <w:left w:w="70" w:type="dxa"/>
          <w:right w:w="70" w:type="dxa"/>
        </w:tblCellMar>
        <w:tblLook w:val="04A0" w:firstRow="1" w:lastRow="0" w:firstColumn="1" w:lastColumn="0" w:noHBand="0" w:noVBand="1"/>
      </w:tblPr>
      <w:tblGrid>
        <w:gridCol w:w="1880"/>
        <w:gridCol w:w="1756"/>
        <w:gridCol w:w="1616"/>
        <w:gridCol w:w="1616"/>
        <w:gridCol w:w="1616"/>
        <w:gridCol w:w="1656"/>
        <w:gridCol w:w="1336"/>
        <w:gridCol w:w="1436"/>
        <w:gridCol w:w="1216"/>
        <w:gridCol w:w="1216"/>
        <w:gridCol w:w="1216"/>
      </w:tblGrid>
      <w:tr w:rsidR="00EC053C" w:rsidRPr="005045BF" w14:paraId="42A2148F" w14:textId="77777777" w:rsidTr="00A47F76">
        <w:trPr>
          <w:trHeight w:val="435"/>
        </w:trPr>
        <w:tc>
          <w:tcPr>
            <w:tcW w:w="1880" w:type="dxa"/>
            <w:tcBorders>
              <w:top w:val="nil"/>
              <w:left w:val="nil"/>
              <w:bottom w:val="nil"/>
              <w:right w:val="nil"/>
            </w:tcBorders>
            <w:shd w:val="clear" w:color="auto" w:fill="auto"/>
            <w:noWrap/>
            <w:vAlign w:val="bottom"/>
            <w:hideMark/>
          </w:tcPr>
          <w:p w14:paraId="0B6C04FF" w14:textId="1C8F5492" w:rsidR="00EC053C" w:rsidRPr="005045BF" w:rsidRDefault="00EC053C" w:rsidP="00EC053C">
            <w:pPr>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740"/>
            </w:tblGrid>
            <w:tr w:rsidR="00EC053C" w:rsidRPr="005045BF" w14:paraId="3F59E156" w14:textId="77777777">
              <w:trPr>
                <w:trHeight w:val="435"/>
                <w:tblCellSpacing w:w="0" w:type="dxa"/>
              </w:trPr>
              <w:tc>
                <w:tcPr>
                  <w:tcW w:w="1740" w:type="dxa"/>
                  <w:tcBorders>
                    <w:top w:val="nil"/>
                    <w:left w:val="nil"/>
                    <w:bottom w:val="nil"/>
                    <w:right w:val="nil"/>
                  </w:tcBorders>
                  <w:shd w:val="clear" w:color="auto" w:fill="auto"/>
                  <w:noWrap/>
                  <w:vAlign w:val="bottom"/>
                  <w:hideMark/>
                </w:tcPr>
                <w:p w14:paraId="4A0866BB" w14:textId="486227BB" w:rsidR="00EC053C" w:rsidRPr="005045BF" w:rsidRDefault="00EC053C" w:rsidP="00EC053C">
                  <w:pPr>
                    <w:rPr>
                      <w:rFonts w:ascii="Calibri" w:hAnsi="Calibri" w:cs="Calibri"/>
                      <w:color w:val="000000"/>
                      <w:sz w:val="22"/>
                      <w:szCs w:val="22"/>
                    </w:rPr>
                  </w:pPr>
                </w:p>
              </w:tc>
            </w:tr>
          </w:tbl>
          <w:p w14:paraId="76266C11" w14:textId="77777777" w:rsidR="00EC053C" w:rsidRPr="005045BF" w:rsidRDefault="00EC053C" w:rsidP="00EC053C">
            <w:pPr>
              <w:rPr>
                <w:rFonts w:ascii="Calibri" w:hAnsi="Calibri" w:cs="Calibri"/>
                <w:color w:val="000000"/>
                <w:sz w:val="22"/>
                <w:szCs w:val="22"/>
              </w:rPr>
            </w:pPr>
          </w:p>
        </w:tc>
        <w:tc>
          <w:tcPr>
            <w:tcW w:w="1756" w:type="dxa"/>
            <w:tcBorders>
              <w:top w:val="nil"/>
              <w:left w:val="nil"/>
              <w:bottom w:val="nil"/>
              <w:right w:val="nil"/>
            </w:tcBorders>
            <w:shd w:val="clear" w:color="auto" w:fill="auto"/>
            <w:noWrap/>
            <w:vAlign w:val="bottom"/>
            <w:hideMark/>
          </w:tcPr>
          <w:p w14:paraId="3B0CC17C" w14:textId="789B151C" w:rsidR="00EC053C" w:rsidRPr="005045BF" w:rsidRDefault="00E44738" w:rsidP="00EC053C">
            <w:pPr>
              <w:rPr>
                <w:sz w:val="20"/>
                <w:szCs w:val="20"/>
              </w:rPr>
            </w:pPr>
            <w:r w:rsidRPr="005045BF">
              <w:rPr>
                <w:rFonts w:ascii="Calibri" w:hAnsi="Calibri" w:cs="Calibri"/>
                <w:noProof/>
                <w:color w:val="000000"/>
                <w:sz w:val="22"/>
                <w:szCs w:val="22"/>
              </w:rPr>
              <w:drawing>
                <wp:anchor distT="0" distB="0" distL="114300" distR="114300" simplePos="0" relativeHeight="252216320" behindDoc="0" locked="0" layoutInCell="1" allowOverlap="1" wp14:anchorId="355EA0E2" wp14:editId="31F9A04D">
                  <wp:simplePos x="0" y="0"/>
                  <wp:positionH relativeFrom="column">
                    <wp:posOffset>-1297305</wp:posOffset>
                  </wp:positionH>
                  <wp:positionV relativeFrom="paragraph">
                    <wp:posOffset>199390</wp:posOffset>
                  </wp:positionV>
                  <wp:extent cx="3105150" cy="1781175"/>
                  <wp:effectExtent l="0" t="0" r="0" b="0"/>
                  <wp:wrapNone/>
                  <wp:docPr id="29" name="Gráfico 29">
                    <a:extLst xmlns:a="http://schemas.openxmlformats.org/drawingml/2006/main">
                      <a:ext uri="{FF2B5EF4-FFF2-40B4-BE49-F238E27FC236}">
                        <a16:creationId xmlns:a16="http://schemas.microsoft.com/office/drawing/2014/main" id="{4A78E128-A5BA-42E0-81B5-77FB5EC0CFD8}"/>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tc>
        <w:tc>
          <w:tcPr>
            <w:tcW w:w="1616" w:type="dxa"/>
            <w:tcBorders>
              <w:top w:val="nil"/>
              <w:left w:val="nil"/>
              <w:bottom w:val="nil"/>
              <w:right w:val="nil"/>
            </w:tcBorders>
            <w:shd w:val="clear" w:color="auto" w:fill="auto"/>
            <w:noWrap/>
            <w:vAlign w:val="bottom"/>
            <w:hideMark/>
          </w:tcPr>
          <w:p w14:paraId="73678EE1"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66E14FF6" w14:textId="0ECEFBB9" w:rsidR="00EC053C" w:rsidRPr="005045BF" w:rsidRDefault="00EC053C" w:rsidP="00EC053C">
            <w:pPr>
              <w:rPr>
                <w:sz w:val="20"/>
                <w:szCs w:val="20"/>
              </w:rPr>
            </w:pPr>
            <w:r w:rsidRPr="005045BF">
              <w:rPr>
                <w:rFonts w:ascii="Calibri" w:hAnsi="Calibri" w:cs="Calibri"/>
                <w:noProof/>
                <w:color w:val="000000"/>
                <w:sz w:val="22"/>
                <w:szCs w:val="22"/>
              </w:rPr>
              <w:drawing>
                <wp:anchor distT="0" distB="0" distL="114300" distR="114300" simplePos="0" relativeHeight="252217344" behindDoc="0" locked="0" layoutInCell="1" allowOverlap="1" wp14:anchorId="0A4EC86F" wp14:editId="13770400">
                  <wp:simplePos x="0" y="0"/>
                  <wp:positionH relativeFrom="column">
                    <wp:posOffset>-306705</wp:posOffset>
                  </wp:positionH>
                  <wp:positionV relativeFrom="paragraph">
                    <wp:posOffset>180340</wp:posOffset>
                  </wp:positionV>
                  <wp:extent cx="3041650" cy="1828800"/>
                  <wp:effectExtent l="0" t="0" r="6350" b="0"/>
                  <wp:wrapNone/>
                  <wp:docPr id="14" name="Gráfico 14">
                    <a:extLst xmlns:a="http://schemas.openxmlformats.org/drawingml/2006/main">
                      <a:ext uri="{FF2B5EF4-FFF2-40B4-BE49-F238E27FC236}">
                        <a16:creationId xmlns:a16="http://schemas.microsoft.com/office/drawing/2014/main" id="{FB8A5123-DD0F-4523-9209-629378D31ACC}"/>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tc>
        <w:tc>
          <w:tcPr>
            <w:tcW w:w="1616" w:type="dxa"/>
            <w:tcBorders>
              <w:top w:val="nil"/>
              <w:left w:val="nil"/>
              <w:bottom w:val="nil"/>
              <w:right w:val="nil"/>
            </w:tcBorders>
            <w:shd w:val="clear" w:color="auto" w:fill="auto"/>
            <w:noWrap/>
            <w:vAlign w:val="bottom"/>
            <w:hideMark/>
          </w:tcPr>
          <w:p w14:paraId="6CC584E1" w14:textId="41BC2C0F"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708796E2" w14:textId="7777777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1CB452B7" w14:textId="77777777"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4CD5FEA3"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489689FB"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238490F"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457AD59" w14:textId="77777777" w:rsidR="00EC053C" w:rsidRPr="005045BF" w:rsidRDefault="00EC053C" w:rsidP="00EC053C">
            <w:pPr>
              <w:rPr>
                <w:sz w:val="20"/>
                <w:szCs w:val="20"/>
              </w:rPr>
            </w:pPr>
          </w:p>
        </w:tc>
      </w:tr>
      <w:tr w:rsidR="00EC053C" w:rsidRPr="005045BF" w14:paraId="5141DD3A" w14:textId="77777777" w:rsidTr="00A47F76">
        <w:trPr>
          <w:trHeight w:val="330"/>
        </w:trPr>
        <w:tc>
          <w:tcPr>
            <w:tcW w:w="1880" w:type="dxa"/>
            <w:tcBorders>
              <w:top w:val="nil"/>
              <w:left w:val="nil"/>
              <w:bottom w:val="nil"/>
              <w:right w:val="nil"/>
            </w:tcBorders>
            <w:shd w:val="clear" w:color="auto" w:fill="auto"/>
            <w:noWrap/>
            <w:vAlign w:val="bottom"/>
            <w:hideMark/>
          </w:tcPr>
          <w:p w14:paraId="5EFB9AFF" w14:textId="77777777" w:rsidR="00EC053C" w:rsidRPr="005045BF" w:rsidRDefault="00EC053C" w:rsidP="00EC053C">
            <w:pPr>
              <w:rPr>
                <w:sz w:val="20"/>
                <w:szCs w:val="20"/>
              </w:rPr>
            </w:pPr>
          </w:p>
        </w:tc>
        <w:tc>
          <w:tcPr>
            <w:tcW w:w="1756" w:type="dxa"/>
            <w:tcBorders>
              <w:top w:val="nil"/>
              <w:left w:val="nil"/>
              <w:bottom w:val="nil"/>
              <w:right w:val="nil"/>
            </w:tcBorders>
            <w:shd w:val="clear" w:color="auto" w:fill="auto"/>
            <w:noWrap/>
            <w:vAlign w:val="bottom"/>
            <w:hideMark/>
          </w:tcPr>
          <w:p w14:paraId="75761BCC" w14:textId="72431015"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4F156848"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034E5FB6" w14:textId="3BF5E249"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70BA7C84" w14:textId="77777777"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3D47C506" w14:textId="7777777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055E4555" w14:textId="77777777"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0C9692AB"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078553DC"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20EED912"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060A3938" w14:textId="77777777" w:rsidR="00EC053C" w:rsidRPr="005045BF" w:rsidRDefault="00EC053C" w:rsidP="00EC053C">
            <w:pPr>
              <w:rPr>
                <w:sz w:val="20"/>
                <w:szCs w:val="20"/>
              </w:rPr>
            </w:pPr>
          </w:p>
        </w:tc>
      </w:tr>
      <w:tr w:rsidR="00EC053C" w:rsidRPr="005045BF" w14:paraId="4782B2D5" w14:textId="77777777" w:rsidTr="00A47F76">
        <w:trPr>
          <w:trHeight w:val="555"/>
        </w:trPr>
        <w:tc>
          <w:tcPr>
            <w:tcW w:w="1880" w:type="dxa"/>
            <w:tcBorders>
              <w:top w:val="nil"/>
              <w:left w:val="nil"/>
              <w:bottom w:val="nil"/>
              <w:right w:val="nil"/>
            </w:tcBorders>
            <w:shd w:val="clear" w:color="auto" w:fill="auto"/>
            <w:noWrap/>
            <w:vAlign w:val="bottom"/>
            <w:hideMark/>
          </w:tcPr>
          <w:p w14:paraId="66D0E9A3" w14:textId="77777777" w:rsidR="00EC053C" w:rsidRPr="005045BF" w:rsidRDefault="00EC053C" w:rsidP="00EC053C">
            <w:pPr>
              <w:rPr>
                <w:sz w:val="20"/>
                <w:szCs w:val="20"/>
              </w:rPr>
            </w:pPr>
          </w:p>
        </w:tc>
        <w:tc>
          <w:tcPr>
            <w:tcW w:w="1756" w:type="dxa"/>
            <w:tcBorders>
              <w:top w:val="nil"/>
              <w:left w:val="nil"/>
              <w:bottom w:val="nil"/>
              <w:right w:val="nil"/>
            </w:tcBorders>
            <w:shd w:val="clear" w:color="auto" w:fill="auto"/>
            <w:noWrap/>
            <w:vAlign w:val="bottom"/>
            <w:hideMark/>
          </w:tcPr>
          <w:p w14:paraId="779FFDCF"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4FD8E81B"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4F4D4207" w14:textId="746DBC28"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61EAE7CC" w14:textId="77777777"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0BCB7479" w14:textId="7777777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174006FF" w14:textId="77777777"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0E593197"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0ED0363D"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64BD8778"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602E11B" w14:textId="77777777" w:rsidR="00EC053C" w:rsidRPr="005045BF" w:rsidRDefault="00EC053C" w:rsidP="00EC053C">
            <w:pPr>
              <w:rPr>
                <w:sz w:val="20"/>
                <w:szCs w:val="20"/>
              </w:rPr>
            </w:pPr>
          </w:p>
        </w:tc>
      </w:tr>
      <w:tr w:rsidR="00EC053C" w:rsidRPr="005045BF" w14:paraId="758970C7" w14:textId="77777777" w:rsidTr="00A47F76">
        <w:trPr>
          <w:trHeight w:val="465"/>
        </w:trPr>
        <w:tc>
          <w:tcPr>
            <w:tcW w:w="1880" w:type="dxa"/>
            <w:tcBorders>
              <w:top w:val="nil"/>
              <w:left w:val="nil"/>
              <w:bottom w:val="nil"/>
              <w:right w:val="nil"/>
            </w:tcBorders>
            <w:shd w:val="clear" w:color="auto" w:fill="auto"/>
            <w:noWrap/>
            <w:vAlign w:val="bottom"/>
            <w:hideMark/>
          </w:tcPr>
          <w:p w14:paraId="7C13700A" w14:textId="77777777" w:rsidR="00EC053C" w:rsidRPr="005045BF" w:rsidRDefault="00EC053C" w:rsidP="00EC053C">
            <w:pPr>
              <w:rPr>
                <w:sz w:val="20"/>
                <w:szCs w:val="20"/>
              </w:rPr>
            </w:pPr>
          </w:p>
        </w:tc>
        <w:tc>
          <w:tcPr>
            <w:tcW w:w="1756" w:type="dxa"/>
            <w:tcBorders>
              <w:top w:val="nil"/>
              <w:left w:val="nil"/>
              <w:bottom w:val="nil"/>
              <w:right w:val="nil"/>
            </w:tcBorders>
            <w:shd w:val="clear" w:color="auto" w:fill="auto"/>
            <w:noWrap/>
            <w:vAlign w:val="bottom"/>
            <w:hideMark/>
          </w:tcPr>
          <w:p w14:paraId="10BE2799"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6A01C4B6"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60E479CB" w14:textId="521BC7DB"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38214E5E" w14:textId="1AE1D846"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70C83C05" w14:textId="463D365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4CB37DC8" w14:textId="7079F375"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1CED4623"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5A87671"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3AD4C310"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0F4C19E0" w14:textId="77777777" w:rsidR="00EC053C" w:rsidRPr="005045BF" w:rsidRDefault="00EC053C" w:rsidP="00EC053C">
            <w:pPr>
              <w:rPr>
                <w:sz w:val="20"/>
                <w:szCs w:val="20"/>
              </w:rPr>
            </w:pPr>
          </w:p>
        </w:tc>
      </w:tr>
      <w:tr w:rsidR="00EC053C" w:rsidRPr="005045BF" w14:paraId="53958366" w14:textId="77777777" w:rsidTr="00A47F76">
        <w:trPr>
          <w:trHeight w:val="600"/>
        </w:trPr>
        <w:tc>
          <w:tcPr>
            <w:tcW w:w="1880" w:type="dxa"/>
            <w:tcBorders>
              <w:top w:val="nil"/>
              <w:left w:val="nil"/>
              <w:bottom w:val="nil"/>
              <w:right w:val="nil"/>
            </w:tcBorders>
            <w:shd w:val="clear" w:color="auto" w:fill="auto"/>
            <w:noWrap/>
            <w:vAlign w:val="bottom"/>
            <w:hideMark/>
          </w:tcPr>
          <w:p w14:paraId="34B86A4B" w14:textId="77777777" w:rsidR="00EC053C" w:rsidRPr="005045BF" w:rsidRDefault="00EC053C" w:rsidP="00EC053C">
            <w:pPr>
              <w:rPr>
                <w:sz w:val="20"/>
                <w:szCs w:val="20"/>
              </w:rPr>
            </w:pPr>
          </w:p>
        </w:tc>
        <w:tc>
          <w:tcPr>
            <w:tcW w:w="1756" w:type="dxa"/>
            <w:tcBorders>
              <w:top w:val="nil"/>
              <w:left w:val="nil"/>
              <w:bottom w:val="nil"/>
              <w:right w:val="nil"/>
            </w:tcBorders>
            <w:shd w:val="clear" w:color="auto" w:fill="auto"/>
            <w:noWrap/>
            <w:vAlign w:val="bottom"/>
            <w:hideMark/>
          </w:tcPr>
          <w:p w14:paraId="21D29D95"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27F42AE8"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5D1ECE96" w14:textId="77777777" w:rsidR="00EC053C" w:rsidRPr="005045BF" w:rsidRDefault="00EC053C" w:rsidP="00EC053C">
            <w:pPr>
              <w:rPr>
                <w:sz w:val="20"/>
                <w:szCs w:val="20"/>
              </w:rPr>
            </w:pPr>
          </w:p>
        </w:tc>
        <w:tc>
          <w:tcPr>
            <w:tcW w:w="1616" w:type="dxa"/>
            <w:tcBorders>
              <w:top w:val="nil"/>
              <w:left w:val="nil"/>
              <w:bottom w:val="nil"/>
              <w:right w:val="nil"/>
            </w:tcBorders>
            <w:shd w:val="clear" w:color="auto" w:fill="auto"/>
            <w:noWrap/>
            <w:vAlign w:val="bottom"/>
            <w:hideMark/>
          </w:tcPr>
          <w:p w14:paraId="01E83533" w14:textId="77777777"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444D9DCC" w14:textId="7777777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70AB84C2" w14:textId="77777777"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7F10FBA9"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499385E5"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3B8473A4"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63551F10" w14:textId="77777777" w:rsidR="00EC053C" w:rsidRPr="005045BF" w:rsidRDefault="00EC053C" w:rsidP="00EC053C">
            <w:pPr>
              <w:rPr>
                <w:sz w:val="20"/>
                <w:szCs w:val="20"/>
              </w:rPr>
            </w:pPr>
          </w:p>
        </w:tc>
      </w:tr>
      <w:tr w:rsidR="00EC053C" w:rsidRPr="005045BF" w14:paraId="0A937469" w14:textId="77777777" w:rsidTr="00E44738">
        <w:trPr>
          <w:trHeight w:val="315"/>
        </w:trPr>
        <w:tc>
          <w:tcPr>
            <w:tcW w:w="1880" w:type="dxa"/>
            <w:tcBorders>
              <w:top w:val="nil"/>
              <w:left w:val="nil"/>
              <w:bottom w:val="single" w:sz="4" w:space="0" w:color="auto"/>
              <w:right w:val="nil"/>
            </w:tcBorders>
            <w:shd w:val="clear" w:color="auto" w:fill="auto"/>
            <w:noWrap/>
            <w:vAlign w:val="bottom"/>
            <w:hideMark/>
          </w:tcPr>
          <w:p w14:paraId="29DED10C" w14:textId="77777777" w:rsidR="00EC053C" w:rsidRPr="005045BF" w:rsidRDefault="00EC053C" w:rsidP="00EC053C">
            <w:pPr>
              <w:rPr>
                <w:sz w:val="20"/>
                <w:szCs w:val="20"/>
              </w:rPr>
            </w:pPr>
          </w:p>
        </w:tc>
        <w:tc>
          <w:tcPr>
            <w:tcW w:w="1756" w:type="dxa"/>
            <w:tcBorders>
              <w:top w:val="nil"/>
              <w:left w:val="nil"/>
              <w:bottom w:val="single" w:sz="4" w:space="0" w:color="auto"/>
              <w:right w:val="nil"/>
            </w:tcBorders>
            <w:shd w:val="clear" w:color="auto" w:fill="auto"/>
            <w:noWrap/>
            <w:vAlign w:val="bottom"/>
            <w:hideMark/>
          </w:tcPr>
          <w:p w14:paraId="64068FE6" w14:textId="77777777" w:rsidR="00EC053C" w:rsidRPr="005045BF" w:rsidRDefault="00EC053C" w:rsidP="00EC053C">
            <w:pPr>
              <w:rPr>
                <w:sz w:val="20"/>
                <w:szCs w:val="20"/>
              </w:rPr>
            </w:pPr>
          </w:p>
        </w:tc>
        <w:tc>
          <w:tcPr>
            <w:tcW w:w="1616" w:type="dxa"/>
            <w:tcBorders>
              <w:top w:val="nil"/>
              <w:left w:val="nil"/>
              <w:bottom w:val="single" w:sz="4" w:space="0" w:color="auto"/>
              <w:right w:val="nil"/>
            </w:tcBorders>
            <w:shd w:val="clear" w:color="auto" w:fill="auto"/>
            <w:noWrap/>
            <w:vAlign w:val="bottom"/>
            <w:hideMark/>
          </w:tcPr>
          <w:p w14:paraId="6ACB62E3" w14:textId="77777777" w:rsidR="00EC053C" w:rsidRPr="005045BF" w:rsidRDefault="00EC053C" w:rsidP="00EC053C">
            <w:pPr>
              <w:rPr>
                <w:sz w:val="20"/>
                <w:szCs w:val="20"/>
              </w:rPr>
            </w:pPr>
          </w:p>
        </w:tc>
        <w:tc>
          <w:tcPr>
            <w:tcW w:w="1616" w:type="dxa"/>
            <w:tcBorders>
              <w:top w:val="nil"/>
              <w:left w:val="nil"/>
              <w:bottom w:val="single" w:sz="4" w:space="0" w:color="auto"/>
              <w:right w:val="nil"/>
            </w:tcBorders>
            <w:shd w:val="clear" w:color="auto" w:fill="auto"/>
            <w:noWrap/>
            <w:vAlign w:val="bottom"/>
            <w:hideMark/>
          </w:tcPr>
          <w:p w14:paraId="179D93BB" w14:textId="77777777" w:rsidR="00EC053C" w:rsidRPr="005045BF" w:rsidRDefault="00EC053C" w:rsidP="00EC053C">
            <w:pPr>
              <w:rPr>
                <w:sz w:val="20"/>
                <w:szCs w:val="20"/>
              </w:rPr>
            </w:pPr>
          </w:p>
        </w:tc>
        <w:tc>
          <w:tcPr>
            <w:tcW w:w="1616" w:type="dxa"/>
            <w:tcBorders>
              <w:top w:val="nil"/>
              <w:left w:val="nil"/>
              <w:bottom w:val="single" w:sz="4" w:space="0" w:color="auto"/>
              <w:right w:val="nil"/>
            </w:tcBorders>
            <w:shd w:val="clear" w:color="auto" w:fill="auto"/>
            <w:noWrap/>
            <w:vAlign w:val="bottom"/>
            <w:hideMark/>
          </w:tcPr>
          <w:p w14:paraId="13392AC1" w14:textId="77777777" w:rsidR="00EC053C" w:rsidRPr="005045BF" w:rsidRDefault="00EC053C" w:rsidP="00EC053C">
            <w:pPr>
              <w:rPr>
                <w:sz w:val="20"/>
                <w:szCs w:val="20"/>
              </w:rPr>
            </w:pPr>
          </w:p>
        </w:tc>
        <w:tc>
          <w:tcPr>
            <w:tcW w:w="1656" w:type="dxa"/>
            <w:tcBorders>
              <w:top w:val="nil"/>
              <w:left w:val="nil"/>
              <w:bottom w:val="nil"/>
              <w:right w:val="nil"/>
            </w:tcBorders>
            <w:shd w:val="clear" w:color="auto" w:fill="auto"/>
            <w:noWrap/>
            <w:vAlign w:val="bottom"/>
            <w:hideMark/>
          </w:tcPr>
          <w:p w14:paraId="1329DBF9" w14:textId="77777777" w:rsidR="00EC053C" w:rsidRPr="005045BF" w:rsidRDefault="00EC053C" w:rsidP="00EC053C">
            <w:pPr>
              <w:rPr>
                <w:sz w:val="20"/>
                <w:szCs w:val="20"/>
              </w:rPr>
            </w:pPr>
          </w:p>
        </w:tc>
        <w:tc>
          <w:tcPr>
            <w:tcW w:w="1336" w:type="dxa"/>
            <w:tcBorders>
              <w:top w:val="nil"/>
              <w:left w:val="nil"/>
              <w:bottom w:val="nil"/>
              <w:right w:val="nil"/>
            </w:tcBorders>
            <w:shd w:val="clear" w:color="auto" w:fill="auto"/>
            <w:noWrap/>
            <w:vAlign w:val="bottom"/>
            <w:hideMark/>
          </w:tcPr>
          <w:p w14:paraId="47E8993A" w14:textId="77777777" w:rsidR="00EC053C" w:rsidRPr="005045BF" w:rsidRDefault="00EC053C" w:rsidP="00EC053C">
            <w:pPr>
              <w:rPr>
                <w:sz w:val="20"/>
                <w:szCs w:val="20"/>
              </w:rPr>
            </w:pPr>
          </w:p>
        </w:tc>
        <w:tc>
          <w:tcPr>
            <w:tcW w:w="1436" w:type="dxa"/>
            <w:tcBorders>
              <w:top w:val="nil"/>
              <w:left w:val="nil"/>
              <w:bottom w:val="nil"/>
              <w:right w:val="nil"/>
            </w:tcBorders>
            <w:shd w:val="clear" w:color="auto" w:fill="auto"/>
            <w:noWrap/>
            <w:vAlign w:val="bottom"/>
            <w:hideMark/>
          </w:tcPr>
          <w:p w14:paraId="414B21A2"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7A561C57"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48A234D" w14:textId="77777777" w:rsidR="00EC053C" w:rsidRPr="005045BF" w:rsidRDefault="00EC053C" w:rsidP="00EC053C">
            <w:pPr>
              <w:rPr>
                <w:sz w:val="20"/>
                <w:szCs w:val="20"/>
              </w:rPr>
            </w:pPr>
          </w:p>
        </w:tc>
        <w:tc>
          <w:tcPr>
            <w:tcW w:w="1216" w:type="dxa"/>
            <w:tcBorders>
              <w:top w:val="nil"/>
              <w:left w:val="nil"/>
              <w:bottom w:val="nil"/>
              <w:right w:val="nil"/>
            </w:tcBorders>
            <w:shd w:val="clear" w:color="auto" w:fill="auto"/>
            <w:noWrap/>
            <w:vAlign w:val="bottom"/>
            <w:hideMark/>
          </w:tcPr>
          <w:p w14:paraId="527917D0" w14:textId="77777777" w:rsidR="00EC053C" w:rsidRPr="005045BF" w:rsidRDefault="00EC053C" w:rsidP="00EC053C">
            <w:pPr>
              <w:rPr>
                <w:sz w:val="20"/>
                <w:szCs w:val="20"/>
              </w:rPr>
            </w:pPr>
          </w:p>
        </w:tc>
      </w:tr>
    </w:tbl>
    <w:p w14:paraId="1F78259E" w14:textId="1837CFAE" w:rsidR="004844EA" w:rsidRPr="005045BF" w:rsidRDefault="00DE0225" w:rsidP="002323C9">
      <w:pPr>
        <w:jc w:val="both"/>
        <w:rPr>
          <w:rFonts w:ascii="Arial" w:hAnsi="Arial" w:cs="Arial"/>
          <w:color w:val="000000" w:themeColor="text1"/>
          <w:sz w:val="22"/>
          <w:szCs w:val="22"/>
        </w:rPr>
      </w:pPr>
      <w:r w:rsidRPr="005045BF">
        <w:rPr>
          <w:rFonts w:ascii="Arial" w:hAnsi="Arial" w:cs="Arial"/>
          <w:color w:val="000000" w:themeColor="text1"/>
          <w:sz w:val="22"/>
          <w:szCs w:val="22"/>
        </w:rPr>
        <w:lastRenderedPageBreak/>
        <w:t>A</w:t>
      </w:r>
      <w:r w:rsidR="00FB1523" w:rsidRPr="005045BF">
        <w:rPr>
          <w:rFonts w:ascii="Arial" w:hAnsi="Arial" w:cs="Arial"/>
          <w:color w:val="000000" w:themeColor="text1"/>
          <w:sz w:val="22"/>
          <w:szCs w:val="22"/>
        </w:rPr>
        <w:t xml:space="preserve">nalizado el comportamiento de los gastos </w:t>
      </w:r>
      <w:r w:rsidR="00A73E67" w:rsidRPr="005045BF">
        <w:rPr>
          <w:rFonts w:ascii="Arial" w:hAnsi="Arial" w:cs="Arial"/>
          <w:color w:val="000000" w:themeColor="text1"/>
          <w:sz w:val="22"/>
          <w:szCs w:val="22"/>
        </w:rPr>
        <w:t>de</w:t>
      </w:r>
      <w:r w:rsidR="00FB1523" w:rsidRPr="005045BF">
        <w:rPr>
          <w:rFonts w:ascii="Arial" w:hAnsi="Arial" w:cs="Arial"/>
          <w:color w:val="000000" w:themeColor="text1"/>
          <w:sz w:val="22"/>
          <w:szCs w:val="22"/>
        </w:rPr>
        <w:t xml:space="preserve"> viáticos y p</w:t>
      </w:r>
      <w:r w:rsidRPr="005045BF">
        <w:rPr>
          <w:rFonts w:ascii="Arial" w:hAnsi="Arial" w:cs="Arial"/>
          <w:color w:val="000000" w:themeColor="text1"/>
          <w:sz w:val="22"/>
          <w:szCs w:val="22"/>
        </w:rPr>
        <w:t xml:space="preserve">asajes aéreos de </w:t>
      </w:r>
      <w:r w:rsidR="00F35523" w:rsidRPr="005045BF">
        <w:rPr>
          <w:rFonts w:ascii="Arial" w:hAnsi="Arial" w:cs="Arial"/>
          <w:color w:val="000000" w:themeColor="text1"/>
          <w:sz w:val="22"/>
          <w:szCs w:val="22"/>
        </w:rPr>
        <w:t xml:space="preserve">forma </w:t>
      </w:r>
      <w:r w:rsidRPr="005045BF">
        <w:rPr>
          <w:rFonts w:ascii="Arial" w:hAnsi="Arial" w:cs="Arial"/>
          <w:color w:val="000000" w:themeColor="text1"/>
          <w:sz w:val="22"/>
          <w:szCs w:val="22"/>
        </w:rPr>
        <w:t>mensual</w:t>
      </w:r>
      <w:r w:rsidR="00F35523" w:rsidRPr="005045BF">
        <w:rPr>
          <w:rFonts w:ascii="Arial" w:hAnsi="Arial" w:cs="Arial"/>
          <w:color w:val="000000" w:themeColor="text1"/>
          <w:sz w:val="22"/>
          <w:szCs w:val="22"/>
        </w:rPr>
        <w:t xml:space="preserve"> </w:t>
      </w:r>
      <w:r w:rsidR="007F6B55" w:rsidRPr="005045BF">
        <w:rPr>
          <w:rFonts w:ascii="Arial" w:hAnsi="Arial" w:cs="Arial"/>
          <w:color w:val="000000" w:themeColor="text1"/>
          <w:sz w:val="22"/>
          <w:szCs w:val="22"/>
        </w:rPr>
        <w:t xml:space="preserve">para </w:t>
      </w:r>
      <w:r w:rsidR="00654A6F" w:rsidRPr="005045BF">
        <w:rPr>
          <w:rFonts w:ascii="Arial" w:hAnsi="Arial" w:cs="Arial"/>
          <w:color w:val="000000" w:themeColor="text1"/>
          <w:sz w:val="22"/>
          <w:szCs w:val="22"/>
        </w:rPr>
        <w:t xml:space="preserve">primer </w:t>
      </w:r>
      <w:r w:rsidR="00F35523" w:rsidRPr="005045BF">
        <w:rPr>
          <w:rFonts w:ascii="Arial" w:hAnsi="Arial" w:cs="Arial"/>
          <w:color w:val="000000" w:themeColor="text1"/>
          <w:sz w:val="22"/>
          <w:szCs w:val="22"/>
        </w:rPr>
        <w:t>trimestre de 20</w:t>
      </w:r>
      <w:r w:rsidR="00654A6F" w:rsidRPr="005045BF">
        <w:rPr>
          <w:rFonts w:ascii="Arial" w:hAnsi="Arial" w:cs="Arial"/>
          <w:color w:val="000000" w:themeColor="text1"/>
          <w:sz w:val="22"/>
          <w:szCs w:val="22"/>
        </w:rPr>
        <w:t>20</w:t>
      </w:r>
      <w:r w:rsidR="00F35523" w:rsidRPr="005045BF">
        <w:rPr>
          <w:rFonts w:ascii="Arial" w:hAnsi="Arial" w:cs="Arial"/>
          <w:color w:val="000000" w:themeColor="text1"/>
          <w:sz w:val="22"/>
          <w:szCs w:val="22"/>
        </w:rPr>
        <w:t xml:space="preserve"> </w:t>
      </w:r>
      <w:r w:rsidR="007F6B55" w:rsidRPr="005045BF">
        <w:rPr>
          <w:rFonts w:ascii="Arial" w:hAnsi="Arial" w:cs="Arial"/>
          <w:color w:val="000000" w:themeColor="text1"/>
          <w:sz w:val="22"/>
          <w:szCs w:val="22"/>
        </w:rPr>
        <w:t>comparado con el mismo periodo de la vigencia 201</w:t>
      </w:r>
      <w:r w:rsidR="00654A6F" w:rsidRPr="005045BF">
        <w:rPr>
          <w:rFonts w:ascii="Arial" w:hAnsi="Arial" w:cs="Arial"/>
          <w:color w:val="000000" w:themeColor="text1"/>
          <w:sz w:val="22"/>
          <w:szCs w:val="22"/>
        </w:rPr>
        <w:t>9</w:t>
      </w:r>
      <w:r w:rsidR="007F6B55" w:rsidRPr="005045BF">
        <w:rPr>
          <w:rFonts w:ascii="Arial" w:hAnsi="Arial" w:cs="Arial"/>
          <w:color w:val="000000" w:themeColor="text1"/>
          <w:sz w:val="22"/>
          <w:szCs w:val="22"/>
        </w:rPr>
        <w:t xml:space="preserve">, </w:t>
      </w:r>
      <w:r w:rsidR="00FB1523" w:rsidRPr="005045BF">
        <w:rPr>
          <w:rFonts w:ascii="Arial" w:hAnsi="Arial" w:cs="Arial"/>
          <w:color w:val="000000" w:themeColor="text1"/>
          <w:sz w:val="22"/>
          <w:szCs w:val="22"/>
        </w:rPr>
        <w:t>se</w:t>
      </w:r>
      <w:r w:rsidR="00ED0864" w:rsidRPr="005045BF">
        <w:rPr>
          <w:rFonts w:ascii="Arial" w:hAnsi="Arial" w:cs="Arial"/>
          <w:color w:val="000000" w:themeColor="text1"/>
          <w:sz w:val="22"/>
          <w:szCs w:val="22"/>
        </w:rPr>
        <w:t xml:space="preserve"> observó </w:t>
      </w:r>
      <w:r w:rsidRPr="005045BF">
        <w:rPr>
          <w:rFonts w:ascii="Arial" w:hAnsi="Arial" w:cs="Arial"/>
          <w:color w:val="000000" w:themeColor="text1"/>
          <w:sz w:val="22"/>
          <w:szCs w:val="22"/>
        </w:rPr>
        <w:t xml:space="preserve">que, para el </w:t>
      </w:r>
      <w:r w:rsidR="007F6B55" w:rsidRPr="005045BF">
        <w:rPr>
          <w:rFonts w:ascii="Arial" w:hAnsi="Arial" w:cs="Arial"/>
          <w:color w:val="000000" w:themeColor="text1"/>
          <w:sz w:val="22"/>
          <w:szCs w:val="22"/>
        </w:rPr>
        <w:t xml:space="preserve">periodo </w:t>
      </w:r>
      <w:r w:rsidRPr="005045BF">
        <w:rPr>
          <w:rFonts w:ascii="Arial" w:hAnsi="Arial" w:cs="Arial"/>
          <w:color w:val="000000" w:themeColor="text1"/>
          <w:sz w:val="22"/>
          <w:szCs w:val="22"/>
        </w:rPr>
        <w:t xml:space="preserve">de </w:t>
      </w:r>
      <w:r w:rsidR="00654A6F" w:rsidRPr="005045BF">
        <w:rPr>
          <w:rFonts w:ascii="Arial" w:hAnsi="Arial" w:cs="Arial"/>
          <w:color w:val="000000" w:themeColor="text1"/>
          <w:sz w:val="22"/>
          <w:szCs w:val="22"/>
        </w:rPr>
        <w:t xml:space="preserve">enero </w:t>
      </w:r>
      <w:r w:rsidR="00D17A6A" w:rsidRPr="005045BF">
        <w:rPr>
          <w:rFonts w:ascii="Arial" w:hAnsi="Arial" w:cs="Arial"/>
          <w:color w:val="000000" w:themeColor="text1"/>
          <w:sz w:val="22"/>
          <w:szCs w:val="22"/>
        </w:rPr>
        <w:t>y</w:t>
      </w:r>
      <w:r w:rsidR="00647547" w:rsidRPr="005045BF">
        <w:rPr>
          <w:rFonts w:ascii="Arial" w:hAnsi="Arial" w:cs="Arial"/>
          <w:color w:val="000000" w:themeColor="text1"/>
          <w:sz w:val="22"/>
          <w:szCs w:val="22"/>
        </w:rPr>
        <w:t xml:space="preserve"> </w:t>
      </w:r>
      <w:r w:rsidR="00654A6F" w:rsidRPr="005045BF">
        <w:rPr>
          <w:rFonts w:ascii="Arial" w:hAnsi="Arial" w:cs="Arial"/>
          <w:color w:val="000000" w:themeColor="text1"/>
          <w:sz w:val="22"/>
          <w:szCs w:val="22"/>
        </w:rPr>
        <w:t xml:space="preserve">marzo </w:t>
      </w:r>
      <w:r w:rsidR="00D17A6A" w:rsidRPr="005045BF">
        <w:rPr>
          <w:rFonts w:ascii="Arial" w:hAnsi="Arial" w:cs="Arial"/>
          <w:color w:val="000000" w:themeColor="text1"/>
          <w:sz w:val="22"/>
          <w:szCs w:val="22"/>
        </w:rPr>
        <w:t>los</w:t>
      </w:r>
      <w:r w:rsidRPr="005045BF">
        <w:rPr>
          <w:rFonts w:ascii="Arial" w:hAnsi="Arial" w:cs="Arial"/>
          <w:color w:val="000000" w:themeColor="text1"/>
          <w:sz w:val="22"/>
          <w:szCs w:val="22"/>
        </w:rPr>
        <w:t xml:space="preserve"> gastos</w:t>
      </w:r>
      <w:r w:rsidR="00647547" w:rsidRPr="005045BF">
        <w:rPr>
          <w:rFonts w:ascii="Arial" w:hAnsi="Arial" w:cs="Arial"/>
          <w:color w:val="000000" w:themeColor="text1"/>
          <w:sz w:val="22"/>
          <w:szCs w:val="22"/>
        </w:rPr>
        <w:t xml:space="preserve"> de viáticos </w:t>
      </w:r>
      <w:r w:rsidR="00647547" w:rsidRPr="005045BF">
        <w:rPr>
          <w:rFonts w:ascii="Arial" w:hAnsi="Arial" w:cs="Arial"/>
          <w:b/>
          <w:bCs/>
          <w:color w:val="000000" w:themeColor="text1"/>
          <w:sz w:val="22"/>
          <w:szCs w:val="22"/>
        </w:rPr>
        <w:t>disminuyeron</w:t>
      </w:r>
      <w:r w:rsidR="00647547" w:rsidRPr="005045BF">
        <w:rPr>
          <w:rFonts w:ascii="Arial" w:hAnsi="Arial" w:cs="Arial"/>
          <w:color w:val="000000" w:themeColor="text1"/>
          <w:sz w:val="22"/>
          <w:szCs w:val="22"/>
        </w:rPr>
        <w:t xml:space="preserve"> en </w:t>
      </w:r>
      <w:r w:rsidR="00D17A6A" w:rsidRPr="005045BF">
        <w:rPr>
          <w:rFonts w:ascii="Arial" w:hAnsi="Arial" w:cs="Arial"/>
          <w:color w:val="000000" w:themeColor="text1"/>
          <w:sz w:val="22"/>
          <w:szCs w:val="22"/>
        </w:rPr>
        <w:t xml:space="preserve">un </w:t>
      </w:r>
      <w:r w:rsidR="00654A6F" w:rsidRPr="005045BF">
        <w:rPr>
          <w:rFonts w:ascii="Arial" w:hAnsi="Arial" w:cs="Arial"/>
          <w:color w:val="000000" w:themeColor="text1"/>
          <w:sz w:val="22"/>
          <w:szCs w:val="22"/>
        </w:rPr>
        <w:t>7</w:t>
      </w:r>
      <w:r w:rsidR="00D17A6A" w:rsidRPr="005045BF">
        <w:rPr>
          <w:rFonts w:ascii="Arial" w:hAnsi="Arial" w:cs="Arial"/>
          <w:color w:val="000000" w:themeColor="text1"/>
          <w:sz w:val="22"/>
          <w:szCs w:val="22"/>
        </w:rPr>
        <w:t xml:space="preserve">% y </w:t>
      </w:r>
      <w:r w:rsidR="00654A6F" w:rsidRPr="005045BF">
        <w:rPr>
          <w:rFonts w:ascii="Arial" w:hAnsi="Arial" w:cs="Arial"/>
          <w:color w:val="000000" w:themeColor="text1"/>
          <w:sz w:val="22"/>
          <w:szCs w:val="22"/>
        </w:rPr>
        <w:t>62</w:t>
      </w:r>
      <w:r w:rsidR="00D17A6A" w:rsidRPr="005045BF">
        <w:rPr>
          <w:rFonts w:ascii="Arial" w:hAnsi="Arial" w:cs="Arial"/>
          <w:color w:val="000000" w:themeColor="text1"/>
          <w:sz w:val="22"/>
          <w:szCs w:val="22"/>
        </w:rPr>
        <w:t xml:space="preserve">%, respectivamente. </w:t>
      </w:r>
      <w:r w:rsidRPr="005045BF">
        <w:rPr>
          <w:rFonts w:ascii="Arial" w:hAnsi="Arial" w:cs="Arial"/>
          <w:color w:val="000000" w:themeColor="text1"/>
          <w:sz w:val="22"/>
          <w:szCs w:val="22"/>
        </w:rPr>
        <w:t xml:space="preserve">Caso contrario se presentó, </w:t>
      </w:r>
      <w:r w:rsidR="00647547" w:rsidRPr="005045BF">
        <w:rPr>
          <w:rFonts w:ascii="Arial" w:hAnsi="Arial" w:cs="Arial"/>
          <w:color w:val="000000" w:themeColor="text1"/>
          <w:sz w:val="22"/>
          <w:szCs w:val="22"/>
        </w:rPr>
        <w:t xml:space="preserve">para el </w:t>
      </w:r>
      <w:r w:rsidR="00D17A6A" w:rsidRPr="005045BF">
        <w:rPr>
          <w:rFonts w:ascii="Arial" w:hAnsi="Arial" w:cs="Arial"/>
          <w:color w:val="000000" w:themeColor="text1"/>
          <w:sz w:val="22"/>
          <w:szCs w:val="22"/>
        </w:rPr>
        <w:t xml:space="preserve">periodo </w:t>
      </w:r>
      <w:r w:rsidR="00647547" w:rsidRPr="005045BF">
        <w:rPr>
          <w:rFonts w:ascii="Arial" w:hAnsi="Arial" w:cs="Arial"/>
          <w:color w:val="000000" w:themeColor="text1"/>
          <w:sz w:val="22"/>
          <w:szCs w:val="22"/>
        </w:rPr>
        <w:t xml:space="preserve">de </w:t>
      </w:r>
      <w:r w:rsidR="00654A6F" w:rsidRPr="005045BF">
        <w:rPr>
          <w:rFonts w:ascii="Arial" w:hAnsi="Arial" w:cs="Arial"/>
          <w:color w:val="000000" w:themeColor="text1"/>
          <w:sz w:val="22"/>
          <w:szCs w:val="22"/>
        </w:rPr>
        <w:t xml:space="preserve">febrero </w:t>
      </w:r>
      <w:r w:rsidR="00647547" w:rsidRPr="005045BF">
        <w:rPr>
          <w:rFonts w:ascii="Arial" w:hAnsi="Arial" w:cs="Arial"/>
          <w:color w:val="000000" w:themeColor="text1"/>
          <w:sz w:val="22"/>
          <w:szCs w:val="22"/>
        </w:rPr>
        <w:t xml:space="preserve">en donde se </w:t>
      </w:r>
      <w:r w:rsidR="001D531C" w:rsidRPr="005045BF">
        <w:rPr>
          <w:rFonts w:ascii="Arial" w:hAnsi="Arial" w:cs="Arial"/>
          <w:color w:val="000000" w:themeColor="text1"/>
          <w:sz w:val="22"/>
          <w:szCs w:val="22"/>
        </w:rPr>
        <w:t xml:space="preserve">observó </w:t>
      </w:r>
      <w:r w:rsidR="00647547" w:rsidRPr="005045BF">
        <w:rPr>
          <w:rFonts w:ascii="Arial" w:hAnsi="Arial" w:cs="Arial"/>
          <w:color w:val="000000" w:themeColor="text1"/>
          <w:sz w:val="22"/>
          <w:szCs w:val="22"/>
        </w:rPr>
        <w:t xml:space="preserve">un </w:t>
      </w:r>
      <w:r w:rsidR="00647547" w:rsidRPr="005045BF">
        <w:rPr>
          <w:rFonts w:ascii="Arial" w:hAnsi="Arial" w:cs="Arial"/>
          <w:b/>
          <w:bCs/>
          <w:color w:val="000000" w:themeColor="text1"/>
          <w:sz w:val="22"/>
          <w:szCs w:val="22"/>
        </w:rPr>
        <w:t>incremento</w:t>
      </w:r>
      <w:r w:rsidR="00647547" w:rsidRPr="005045BF">
        <w:rPr>
          <w:rFonts w:ascii="Arial" w:hAnsi="Arial" w:cs="Arial"/>
          <w:color w:val="000000" w:themeColor="text1"/>
          <w:sz w:val="22"/>
          <w:szCs w:val="22"/>
        </w:rPr>
        <w:t xml:space="preserve"> de</w:t>
      </w:r>
      <w:r w:rsidR="00654A6F" w:rsidRPr="005045BF">
        <w:rPr>
          <w:rFonts w:ascii="Arial" w:hAnsi="Arial" w:cs="Arial"/>
          <w:color w:val="000000" w:themeColor="text1"/>
          <w:sz w:val="22"/>
          <w:szCs w:val="22"/>
        </w:rPr>
        <w:t>l</w:t>
      </w:r>
      <w:r w:rsidR="00647547" w:rsidRPr="005045BF">
        <w:rPr>
          <w:rFonts w:ascii="Arial" w:hAnsi="Arial" w:cs="Arial"/>
          <w:color w:val="000000" w:themeColor="text1"/>
          <w:sz w:val="22"/>
          <w:szCs w:val="22"/>
        </w:rPr>
        <w:t xml:space="preserve"> </w:t>
      </w:r>
      <w:r w:rsidR="00654A6F" w:rsidRPr="005045BF">
        <w:rPr>
          <w:rFonts w:ascii="Arial" w:hAnsi="Arial" w:cs="Arial"/>
          <w:color w:val="000000" w:themeColor="text1"/>
          <w:sz w:val="22"/>
          <w:szCs w:val="22"/>
        </w:rPr>
        <w:t>20</w:t>
      </w:r>
      <w:r w:rsidR="00647547" w:rsidRPr="005045BF">
        <w:rPr>
          <w:rFonts w:ascii="Arial" w:hAnsi="Arial" w:cs="Arial"/>
          <w:color w:val="000000" w:themeColor="text1"/>
          <w:sz w:val="22"/>
          <w:szCs w:val="22"/>
        </w:rPr>
        <w:t xml:space="preserve">%. </w:t>
      </w:r>
      <w:r w:rsidR="00DE6612" w:rsidRPr="005045BF">
        <w:rPr>
          <w:rFonts w:ascii="Arial" w:hAnsi="Arial" w:cs="Arial"/>
          <w:color w:val="000000" w:themeColor="text1"/>
          <w:sz w:val="22"/>
          <w:szCs w:val="22"/>
        </w:rPr>
        <w:t xml:space="preserve">Referente </w:t>
      </w:r>
      <w:r w:rsidR="00647547" w:rsidRPr="005045BF">
        <w:rPr>
          <w:rFonts w:ascii="Arial" w:hAnsi="Arial" w:cs="Arial"/>
          <w:color w:val="000000" w:themeColor="text1"/>
          <w:sz w:val="22"/>
          <w:szCs w:val="22"/>
        </w:rPr>
        <w:t xml:space="preserve">al gasto por pasajes aéreos, para los </w:t>
      </w:r>
      <w:r w:rsidR="00F15E62" w:rsidRPr="005045BF">
        <w:rPr>
          <w:rFonts w:ascii="Arial" w:hAnsi="Arial" w:cs="Arial"/>
          <w:color w:val="000000" w:themeColor="text1"/>
          <w:sz w:val="22"/>
          <w:szCs w:val="22"/>
        </w:rPr>
        <w:t>periodo</w:t>
      </w:r>
      <w:r w:rsidR="00E54A33" w:rsidRPr="005045BF">
        <w:rPr>
          <w:rFonts w:ascii="Arial" w:hAnsi="Arial" w:cs="Arial"/>
          <w:color w:val="000000" w:themeColor="text1"/>
          <w:sz w:val="22"/>
          <w:szCs w:val="22"/>
        </w:rPr>
        <w:t xml:space="preserve">s de enero y febrero </w:t>
      </w:r>
      <w:r w:rsidR="00647547" w:rsidRPr="005045BF">
        <w:rPr>
          <w:rFonts w:ascii="Arial" w:hAnsi="Arial" w:cs="Arial"/>
          <w:color w:val="000000" w:themeColor="text1"/>
          <w:sz w:val="22"/>
          <w:szCs w:val="22"/>
        </w:rPr>
        <w:t>se observ</w:t>
      </w:r>
      <w:r w:rsidR="00F15E62" w:rsidRPr="005045BF">
        <w:rPr>
          <w:rFonts w:ascii="Arial" w:hAnsi="Arial" w:cs="Arial"/>
          <w:color w:val="000000" w:themeColor="text1"/>
          <w:sz w:val="22"/>
          <w:szCs w:val="22"/>
        </w:rPr>
        <w:t xml:space="preserve">aron </w:t>
      </w:r>
      <w:r w:rsidR="00F15E62" w:rsidRPr="005045BF">
        <w:rPr>
          <w:rFonts w:ascii="Arial" w:hAnsi="Arial" w:cs="Arial"/>
          <w:bCs/>
          <w:color w:val="000000" w:themeColor="text1"/>
          <w:sz w:val="22"/>
          <w:szCs w:val="22"/>
        </w:rPr>
        <w:t>variaciones</w:t>
      </w:r>
      <w:r w:rsidR="00647547" w:rsidRPr="005045BF">
        <w:rPr>
          <w:rFonts w:ascii="Arial" w:hAnsi="Arial" w:cs="Arial"/>
          <w:bCs/>
          <w:color w:val="000000" w:themeColor="text1"/>
          <w:sz w:val="22"/>
          <w:szCs w:val="22"/>
        </w:rPr>
        <w:t xml:space="preserve"> </w:t>
      </w:r>
      <w:r w:rsidR="00E54A33" w:rsidRPr="005045BF">
        <w:rPr>
          <w:rFonts w:ascii="Arial" w:hAnsi="Arial" w:cs="Arial"/>
          <w:bCs/>
          <w:color w:val="000000" w:themeColor="text1"/>
          <w:sz w:val="22"/>
          <w:szCs w:val="22"/>
        </w:rPr>
        <w:t>positivas</w:t>
      </w:r>
      <w:r w:rsidR="005E1546" w:rsidRPr="005045BF">
        <w:rPr>
          <w:rFonts w:ascii="Arial" w:hAnsi="Arial" w:cs="Arial"/>
          <w:bCs/>
          <w:color w:val="000000" w:themeColor="text1"/>
          <w:sz w:val="22"/>
          <w:szCs w:val="22"/>
        </w:rPr>
        <w:t xml:space="preserve">. Para el mes de marzo, </w:t>
      </w:r>
      <w:r w:rsidR="00D17A6A" w:rsidRPr="005045BF">
        <w:rPr>
          <w:rFonts w:ascii="Arial" w:hAnsi="Arial" w:cs="Arial"/>
          <w:color w:val="000000" w:themeColor="text1"/>
          <w:sz w:val="22"/>
          <w:szCs w:val="22"/>
        </w:rPr>
        <w:t xml:space="preserve">se presentó una </w:t>
      </w:r>
      <w:r w:rsidR="00D17A6A" w:rsidRPr="005045BF">
        <w:rPr>
          <w:rFonts w:ascii="Arial" w:hAnsi="Arial" w:cs="Arial"/>
          <w:b/>
          <w:bCs/>
          <w:color w:val="000000" w:themeColor="text1"/>
          <w:sz w:val="22"/>
          <w:szCs w:val="22"/>
        </w:rPr>
        <w:t>disminución</w:t>
      </w:r>
      <w:r w:rsidR="00D17A6A" w:rsidRPr="005045BF">
        <w:rPr>
          <w:rFonts w:ascii="Arial" w:hAnsi="Arial" w:cs="Arial"/>
          <w:color w:val="000000" w:themeColor="text1"/>
          <w:sz w:val="22"/>
          <w:szCs w:val="22"/>
        </w:rPr>
        <w:t xml:space="preserve"> del </w:t>
      </w:r>
      <w:r w:rsidR="005E1546" w:rsidRPr="005045BF">
        <w:rPr>
          <w:rFonts w:ascii="Arial" w:hAnsi="Arial" w:cs="Arial"/>
          <w:color w:val="000000" w:themeColor="text1"/>
          <w:sz w:val="22"/>
          <w:szCs w:val="22"/>
        </w:rPr>
        <w:t>44</w:t>
      </w:r>
      <w:r w:rsidR="00D17A6A" w:rsidRPr="005045BF">
        <w:rPr>
          <w:rFonts w:ascii="Arial" w:hAnsi="Arial" w:cs="Arial"/>
          <w:color w:val="000000" w:themeColor="text1"/>
          <w:sz w:val="22"/>
          <w:szCs w:val="22"/>
        </w:rPr>
        <w:t xml:space="preserve">%. </w:t>
      </w:r>
    </w:p>
    <w:p w14:paraId="60F7F3CC" w14:textId="77777777" w:rsidR="004844EA" w:rsidRPr="005045BF" w:rsidRDefault="004844EA" w:rsidP="002323C9">
      <w:pPr>
        <w:jc w:val="both"/>
        <w:rPr>
          <w:rFonts w:ascii="Arial" w:hAnsi="Arial" w:cs="Arial"/>
          <w:color w:val="000000" w:themeColor="text1"/>
          <w:sz w:val="22"/>
          <w:szCs w:val="22"/>
        </w:rPr>
      </w:pPr>
    </w:p>
    <w:p w14:paraId="08C24D76" w14:textId="556A3947" w:rsidR="00C3657F" w:rsidRPr="005045BF" w:rsidRDefault="00C3657F" w:rsidP="002323C9">
      <w:pPr>
        <w:jc w:val="both"/>
        <w:rPr>
          <w:rFonts w:ascii="Arial" w:hAnsi="Arial" w:cs="Arial"/>
          <w:color w:val="000000" w:themeColor="text1"/>
          <w:sz w:val="22"/>
          <w:szCs w:val="22"/>
          <w:bdr w:val="none" w:sz="0" w:space="0" w:color="auto" w:frame="1"/>
        </w:rPr>
      </w:pPr>
      <w:r w:rsidRPr="005045BF">
        <w:rPr>
          <w:rFonts w:ascii="Arial" w:hAnsi="Arial" w:cs="Arial"/>
          <w:color w:val="000000" w:themeColor="text1"/>
          <w:sz w:val="22"/>
          <w:szCs w:val="22"/>
        </w:rPr>
        <w:t>R</w:t>
      </w:r>
      <w:r w:rsidR="004844EA" w:rsidRPr="005045BF">
        <w:rPr>
          <w:rFonts w:ascii="Arial" w:hAnsi="Arial" w:cs="Arial"/>
          <w:color w:val="000000" w:themeColor="text1"/>
          <w:sz w:val="22"/>
          <w:szCs w:val="22"/>
        </w:rPr>
        <w:t>especto</w:t>
      </w:r>
      <w:r w:rsidRPr="005045BF">
        <w:rPr>
          <w:rFonts w:ascii="Arial" w:hAnsi="Arial" w:cs="Arial"/>
          <w:color w:val="000000" w:themeColor="text1"/>
          <w:sz w:val="22"/>
          <w:szCs w:val="22"/>
        </w:rPr>
        <w:t xml:space="preserve"> a las variaciones negativas presentadas para el periodo de marzo, tanto para el gasto de viáticos [62%] como el de pasajes aéreos [44%], se deduce que, </w:t>
      </w:r>
      <w:r w:rsidR="00A80FDF" w:rsidRPr="005045BF">
        <w:rPr>
          <w:rFonts w:ascii="Arial" w:hAnsi="Arial" w:cs="Arial"/>
          <w:color w:val="000000" w:themeColor="text1"/>
          <w:sz w:val="22"/>
          <w:szCs w:val="22"/>
        </w:rPr>
        <w:t xml:space="preserve">dichas variaciones </w:t>
      </w:r>
      <w:r w:rsidRPr="005045BF">
        <w:rPr>
          <w:rFonts w:ascii="Arial" w:hAnsi="Arial" w:cs="Arial"/>
          <w:color w:val="000000" w:themeColor="text1"/>
          <w:sz w:val="22"/>
          <w:szCs w:val="22"/>
        </w:rPr>
        <w:t>en parte obedeci</w:t>
      </w:r>
      <w:r w:rsidR="00A80FDF" w:rsidRPr="005045BF">
        <w:rPr>
          <w:rFonts w:ascii="Arial" w:hAnsi="Arial" w:cs="Arial"/>
          <w:color w:val="000000" w:themeColor="text1"/>
          <w:sz w:val="22"/>
          <w:szCs w:val="22"/>
        </w:rPr>
        <w:t>eron a</w:t>
      </w:r>
      <w:r w:rsidRPr="005045BF">
        <w:rPr>
          <w:rFonts w:ascii="Arial" w:hAnsi="Arial" w:cs="Arial"/>
          <w:color w:val="000000" w:themeColor="text1"/>
          <w:sz w:val="22"/>
          <w:szCs w:val="22"/>
        </w:rPr>
        <w:t xml:space="preserve"> las medidas </w:t>
      </w:r>
      <w:r w:rsidR="00A80FDF" w:rsidRPr="005045BF">
        <w:rPr>
          <w:rFonts w:ascii="Arial" w:hAnsi="Arial" w:cs="Arial"/>
          <w:color w:val="000000" w:themeColor="text1"/>
          <w:sz w:val="22"/>
          <w:szCs w:val="22"/>
        </w:rPr>
        <w:t xml:space="preserve">adoptadas por este Ministerio, </w:t>
      </w:r>
      <w:r w:rsidRPr="005045BF">
        <w:rPr>
          <w:rFonts w:ascii="Arial" w:hAnsi="Arial" w:cs="Arial"/>
          <w:color w:val="000000" w:themeColor="text1"/>
          <w:sz w:val="22"/>
          <w:szCs w:val="22"/>
        </w:rPr>
        <w:t xml:space="preserve">en virtud de </w:t>
      </w:r>
      <w:r w:rsidRPr="005045BF">
        <w:rPr>
          <w:rFonts w:ascii="Arial" w:hAnsi="Arial" w:cs="Arial"/>
          <w:color w:val="000000" w:themeColor="text1"/>
          <w:sz w:val="22"/>
          <w:szCs w:val="22"/>
          <w:bdr w:val="none" w:sz="0" w:space="0" w:color="auto" w:frame="1"/>
        </w:rPr>
        <w:t>la Emergencia Económica, Social y Ecológica [Covid-19</w:t>
      </w:r>
      <w:r w:rsidR="00BC4D03" w:rsidRPr="005045BF">
        <w:rPr>
          <w:rFonts w:ascii="Arial" w:hAnsi="Arial" w:cs="Arial"/>
          <w:color w:val="000000" w:themeColor="text1"/>
          <w:sz w:val="22"/>
          <w:szCs w:val="22"/>
          <w:bdr w:val="none" w:sz="0" w:space="0" w:color="auto" w:frame="1"/>
        </w:rPr>
        <w:t xml:space="preserve">] </w:t>
      </w:r>
      <w:r w:rsidR="0098589E" w:rsidRPr="005045BF">
        <w:rPr>
          <w:rFonts w:ascii="Arial" w:hAnsi="Arial" w:cs="Arial"/>
          <w:color w:val="000000" w:themeColor="text1"/>
          <w:sz w:val="22"/>
          <w:szCs w:val="22"/>
          <w:bdr w:val="none" w:sz="0" w:space="0" w:color="auto" w:frame="1"/>
        </w:rPr>
        <w:t xml:space="preserve">decretada por el Gobierno Nacional las cuales </w:t>
      </w:r>
      <w:r w:rsidRPr="005045BF">
        <w:rPr>
          <w:rFonts w:ascii="Arial" w:hAnsi="Arial" w:cs="Arial"/>
          <w:color w:val="000000" w:themeColor="text1"/>
          <w:sz w:val="22"/>
          <w:szCs w:val="22"/>
        </w:rPr>
        <w:t>empeza</w:t>
      </w:r>
      <w:r w:rsidR="0098589E" w:rsidRPr="005045BF">
        <w:rPr>
          <w:rFonts w:ascii="Arial" w:hAnsi="Arial" w:cs="Arial"/>
          <w:color w:val="000000" w:themeColor="text1"/>
          <w:sz w:val="22"/>
          <w:szCs w:val="22"/>
        </w:rPr>
        <w:t>ron</w:t>
      </w:r>
      <w:r w:rsidRPr="005045BF">
        <w:rPr>
          <w:rFonts w:ascii="Arial" w:hAnsi="Arial" w:cs="Arial"/>
          <w:color w:val="000000" w:themeColor="text1"/>
          <w:sz w:val="22"/>
          <w:szCs w:val="22"/>
        </w:rPr>
        <w:t xml:space="preserve"> a regir a mediados del mes de </w:t>
      </w:r>
      <w:r w:rsidRPr="005045BF">
        <w:rPr>
          <w:rFonts w:ascii="Arial" w:hAnsi="Arial" w:cs="Arial"/>
          <w:color w:val="000000" w:themeColor="text1"/>
          <w:sz w:val="22"/>
          <w:szCs w:val="22"/>
          <w:bdr w:val="none" w:sz="0" w:space="0" w:color="auto" w:frame="1"/>
        </w:rPr>
        <w:t>marzo de 2020</w:t>
      </w:r>
      <w:r w:rsidR="00BC4D03" w:rsidRPr="005045BF">
        <w:rPr>
          <w:rFonts w:ascii="Arial" w:hAnsi="Arial" w:cs="Arial"/>
          <w:color w:val="000000" w:themeColor="text1"/>
          <w:sz w:val="22"/>
          <w:szCs w:val="22"/>
          <w:bdr w:val="none" w:sz="0" w:space="0" w:color="auto" w:frame="1"/>
        </w:rPr>
        <w:t xml:space="preserve">, en consecuencia, </w:t>
      </w:r>
      <w:r w:rsidR="004A665F" w:rsidRPr="005045BF">
        <w:rPr>
          <w:rFonts w:ascii="Arial" w:hAnsi="Arial" w:cs="Arial"/>
          <w:color w:val="000000" w:themeColor="text1"/>
          <w:sz w:val="22"/>
          <w:szCs w:val="22"/>
          <w:bdr w:val="none" w:sz="0" w:space="0" w:color="auto" w:frame="1"/>
        </w:rPr>
        <w:t>fue necesario entre otros aspectos</w:t>
      </w:r>
      <w:r w:rsidR="0098589E" w:rsidRPr="005045BF">
        <w:rPr>
          <w:rFonts w:ascii="Arial" w:hAnsi="Arial" w:cs="Arial"/>
          <w:color w:val="000000" w:themeColor="text1"/>
          <w:sz w:val="22"/>
          <w:szCs w:val="22"/>
          <w:bdr w:val="none" w:sz="0" w:space="0" w:color="auto" w:frame="1"/>
        </w:rPr>
        <w:t xml:space="preserve">, que la Subdirección Jurídica </w:t>
      </w:r>
      <w:r w:rsidR="0098589E" w:rsidRPr="005045BF">
        <w:rPr>
          <w:rFonts w:ascii="Arial" w:hAnsi="Arial" w:cs="Arial"/>
          <w:color w:val="000000" w:themeColor="text1"/>
          <w:sz w:val="22"/>
          <w:szCs w:val="22"/>
        </w:rPr>
        <w:t>aplazar</w:t>
      </w:r>
      <w:r w:rsidR="00523793" w:rsidRPr="005045BF">
        <w:rPr>
          <w:rFonts w:ascii="Arial" w:hAnsi="Arial" w:cs="Arial"/>
          <w:color w:val="000000" w:themeColor="text1"/>
          <w:sz w:val="22"/>
          <w:szCs w:val="22"/>
        </w:rPr>
        <w:t>á y cancelará</w:t>
      </w:r>
      <w:r w:rsidR="0098589E" w:rsidRPr="005045BF">
        <w:rPr>
          <w:rFonts w:ascii="Arial" w:hAnsi="Arial" w:cs="Arial"/>
          <w:color w:val="000000" w:themeColor="text1"/>
          <w:sz w:val="22"/>
          <w:szCs w:val="22"/>
        </w:rPr>
        <w:t xml:space="preserve"> </w:t>
      </w:r>
      <w:r w:rsidR="00BC4D03" w:rsidRPr="005045BF">
        <w:rPr>
          <w:rFonts w:ascii="Arial" w:hAnsi="Arial" w:cs="Arial"/>
          <w:color w:val="000000" w:themeColor="text1"/>
          <w:sz w:val="22"/>
          <w:szCs w:val="22"/>
        </w:rPr>
        <w:t>audiencias programa</w:t>
      </w:r>
      <w:r w:rsidR="0098589E" w:rsidRPr="005045BF">
        <w:rPr>
          <w:rFonts w:ascii="Arial" w:hAnsi="Arial" w:cs="Arial"/>
          <w:color w:val="000000" w:themeColor="text1"/>
          <w:sz w:val="22"/>
          <w:szCs w:val="22"/>
        </w:rPr>
        <w:t>das, siendo es</w:t>
      </w:r>
      <w:r w:rsidR="00F923B4" w:rsidRPr="005045BF">
        <w:rPr>
          <w:rFonts w:ascii="Arial" w:hAnsi="Arial" w:cs="Arial"/>
          <w:color w:val="000000" w:themeColor="text1"/>
          <w:sz w:val="22"/>
          <w:szCs w:val="22"/>
        </w:rPr>
        <w:t>a</w:t>
      </w:r>
      <w:r w:rsidR="0098589E" w:rsidRPr="005045BF">
        <w:rPr>
          <w:rFonts w:ascii="Arial" w:hAnsi="Arial" w:cs="Arial"/>
          <w:color w:val="000000" w:themeColor="text1"/>
          <w:sz w:val="22"/>
          <w:szCs w:val="22"/>
        </w:rPr>
        <w:t xml:space="preserve"> área, una de las que más requiere la aprobación de recursos para los conceptos analizados en este punto.   </w:t>
      </w:r>
    </w:p>
    <w:p w14:paraId="13BAFA85" w14:textId="212266E2" w:rsidR="00C3657F" w:rsidRPr="005045BF" w:rsidRDefault="00C3657F" w:rsidP="002323C9">
      <w:pPr>
        <w:jc w:val="both"/>
        <w:rPr>
          <w:rFonts w:ascii="Arial" w:hAnsi="Arial" w:cs="Arial"/>
          <w:color w:val="000000" w:themeColor="text1"/>
          <w:sz w:val="22"/>
          <w:szCs w:val="22"/>
        </w:rPr>
      </w:pPr>
    </w:p>
    <w:p w14:paraId="352D3296" w14:textId="22675FB7" w:rsidR="00EF50FC" w:rsidRPr="005045BF" w:rsidRDefault="00484E87" w:rsidP="002323C9">
      <w:pPr>
        <w:jc w:val="both"/>
        <w:rPr>
          <w:rFonts w:ascii="Arial" w:hAnsi="Arial" w:cs="Arial"/>
          <w:color w:val="000000" w:themeColor="text1"/>
          <w:sz w:val="22"/>
          <w:szCs w:val="22"/>
        </w:rPr>
      </w:pPr>
      <w:r w:rsidRPr="005045BF">
        <w:rPr>
          <w:rFonts w:ascii="Arial" w:hAnsi="Arial" w:cs="Arial"/>
          <w:color w:val="000000" w:themeColor="text1"/>
          <w:sz w:val="22"/>
          <w:szCs w:val="22"/>
        </w:rPr>
        <w:t>P</w:t>
      </w:r>
      <w:r w:rsidR="00DC2970" w:rsidRPr="005045BF">
        <w:rPr>
          <w:rFonts w:ascii="Arial" w:hAnsi="Arial" w:cs="Arial"/>
          <w:color w:val="000000" w:themeColor="text1"/>
          <w:sz w:val="22"/>
          <w:szCs w:val="22"/>
        </w:rPr>
        <w:t xml:space="preserve">ara el </w:t>
      </w:r>
      <w:r w:rsidR="0025468F" w:rsidRPr="005045BF">
        <w:rPr>
          <w:rFonts w:ascii="Arial" w:hAnsi="Arial" w:cs="Arial"/>
          <w:color w:val="000000" w:themeColor="text1"/>
          <w:sz w:val="22"/>
          <w:szCs w:val="22"/>
        </w:rPr>
        <w:t xml:space="preserve">primer </w:t>
      </w:r>
      <w:r w:rsidR="00977C00" w:rsidRPr="005045BF">
        <w:rPr>
          <w:rFonts w:ascii="Arial" w:hAnsi="Arial" w:cs="Arial"/>
          <w:color w:val="000000" w:themeColor="text1"/>
          <w:sz w:val="22"/>
          <w:szCs w:val="22"/>
        </w:rPr>
        <w:t>t</w:t>
      </w:r>
      <w:r w:rsidR="00A73E67" w:rsidRPr="005045BF">
        <w:rPr>
          <w:rFonts w:ascii="Arial" w:hAnsi="Arial" w:cs="Arial"/>
          <w:color w:val="000000" w:themeColor="text1"/>
          <w:sz w:val="22"/>
          <w:szCs w:val="22"/>
        </w:rPr>
        <w:t xml:space="preserve">rimestre </w:t>
      </w:r>
      <w:r w:rsidR="00DC2970" w:rsidRPr="005045BF">
        <w:rPr>
          <w:rFonts w:ascii="Arial" w:hAnsi="Arial" w:cs="Arial"/>
          <w:color w:val="000000" w:themeColor="text1"/>
          <w:sz w:val="22"/>
          <w:szCs w:val="22"/>
        </w:rPr>
        <w:t>de 20</w:t>
      </w:r>
      <w:r w:rsidR="0025468F" w:rsidRPr="005045BF">
        <w:rPr>
          <w:rFonts w:ascii="Arial" w:hAnsi="Arial" w:cs="Arial"/>
          <w:color w:val="000000" w:themeColor="text1"/>
          <w:sz w:val="22"/>
          <w:szCs w:val="22"/>
        </w:rPr>
        <w:t>20</w:t>
      </w:r>
      <w:r w:rsidR="00E7402B" w:rsidRPr="005045BF">
        <w:rPr>
          <w:rFonts w:ascii="Arial" w:hAnsi="Arial" w:cs="Arial"/>
          <w:color w:val="000000" w:themeColor="text1"/>
          <w:sz w:val="22"/>
          <w:szCs w:val="22"/>
        </w:rPr>
        <w:t xml:space="preserve"> comparado con el mismo trimestre de la vigencia 201</w:t>
      </w:r>
      <w:r w:rsidR="0025468F" w:rsidRPr="005045BF">
        <w:rPr>
          <w:rFonts w:ascii="Arial" w:hAnsi="Arial" w:cs="Arial"/>
          <w:color w:val="000000" w:themeColor="text1"/>
          <w:sz w:val="22"/>
          <w:szCs w:val="22"/>
        </w:rPr>
        <w:t>9</w:t>
      </w:r>
      <w:r w:rsidR="00E7402B" w:rsidRPr="005045BF">
        <w:rPr>
          <w:rFonts w:ascii="Arial" w:hAnsi="Arial" w:cs="Arial"/>
          <w:color w:val="000000" w:themeColor="text1"/>
          <w:sz w:val="22"/>
          <w:szCs w:val="22"/>
        </w:rPr>
        <w:t>, se</w:t>
      </w:r>
      <w:r w:rsidR="00A73E67" w:rsidRPr="005045BF">
        <w:rPr>
          <w:rFonts w:ascii="Arial" w:hAnsi="Arial" w:cs="Arial"/>
          <w:color w:val="000000" w:themeColor="text1"/>
          <w:sz w:val="22"/>
          <w:szCs w:val="22"/>
        </w:rPr>
        <w:t xml:space="preserve"> puede concluir que los gastos ejecutados </w:t>
      </w:r>
      <w:r w:rsidRPr="005045BF">
        <w:rPr>
          <w:rFonts w:ascii="Arial" w:hAnsi="Arial" w:cs="Arial"/>
          <w:color w:val="000000" w:themeColor="text1"/>
          <w:sz w:val="22"/>
          <w:szCs w:val="22"/>
        </w:rPr>
        <w:t xml:space="preserve">a nivel consolidado </w:t>
      </w:r>
      <w:r w:rsidR="00A73E67" w:rsidRPr="005045BF">
        <w:rPr>
          <w:rFonts w:ascii="Arial" w:hAnsi="Arial" w:cs="Arial"/>
          <w:color w:val="000000" w:themeColor="text1"/>
          <w:sz w:val="22"/>
          <w:szCs w:val="22"/>
        </w:rPr>
        <w:t>por</w:t>
      </w:r>
      <w:r w:rsidRPr="005045BF">
        <w:rPr>
          <w:rFonts w:ascii="Arial" w:hAnsi="Arial" w:cs="Arial"/>
          <w:color w:val="000000" w:themeColor="text1"/>
          <w:sz w:val="22"/>
          <w:szCs w:val="22"/>
        </w:rPr>
        <w:t xml:space="preserve"> los</w:t>
      </w:r>
      <w:r w:rsidR="00A73E67" w:rsidRPr="005045BF">
        <w:rPr>
          <w:rFonts w:ascii="Arial" w:hAnsi="Arial" w:cs="Arial"/>
          <w:color w:val="000000" w:themeColor="text1"/>
          <w:sz w:val="22"/>
          <w:szCs w:val="22"/>
        </w:rPr>
        <w:t xml:space="preserve"> concepto</w:t>
      </w:r>
      <w:r w:rsidRPr="005045BF">
        <w:rPr>
          <w:rFonts w:ascii="Arial" w:hAnsi="Arial" w:cs="Arial"/>
          <w:color w:val="000000" w:themeColor="text1"/>
          <w:sz w:val="22"/>
          <w:szCs w:val="22"/>
        </w:rPr>
        <w:t>s</w:t>
      </w:r>
      <w:r w:rsidR="00A73E67" w:rsidRPr="005045BF">
        <w:rPr>
          <w:rFonts w:ascii="Arial" w:hAnsi="Arial" w:cs="Arial"/>
          <w:color w:val="000000" w:themeColor="text1"/>
          <w:sz w:val="22"/>
          <w:szCs w:val="22"/>
        </w:rPr>
        <w:t xml:space="preserve"> de viáticos</w:t>
      </w:r>
      <w:r w:rsidRPr="005045BF">
        <w:rPr>
          <w:rFonts w:ascii="Arial" w:hAnsi="Arial" w:cs="Arial"/>
          <w:color w:val="000000" w:themeColor="text1"/>
          <w:sz w:val="22"/>
          <w:szCs w:val="22"/>
        </w:rPr>
        <w:t xml:space="preserve"> y pasajes aéreos</w:t>
      </w:r>
      <w:r w:rsidR="00E7402B" w:rsidRPr="005045BF">
        <w:rPr>
          <w:rFonts w:ascii="Arial" w:hAnsi="Arial" w:cs="Arial"/>
          <w:color w:val="000000" w:themeColor="text1"/>
          <w:sz w:val="22"/>
          <w:szCs w:val="22"/>
        </w:rPr>
        <w:t xml:space="preserve"> </w:t>
      </w:r>
      <w:r w:rsidR="00E7402B" w:rsidRPr="005045BF">
        <w:rPr>
          <w:rFonts w:ascii="Arial" w:hAnsi="Arial" w:cs="Arial"/>
          <w:b/>
          <w:bCs/>
          <w:color w:val="000000" w:themeColor="text1"/>
          <w:sz w:val="22"/>
          <w:szCs w:val="22"/>
        </w:rPr>
        <w:t>disminuyeron</w:t>
      </w:r>
      <w:r w:rsidR="00E7402B" w:rsidRPr="005045BF">
        <w:rPr>
          <w:rFonts w:ascii="Arial" w:hAnsi="Arial" w:cs="Arial"/>
          <w:color w:val="000000" w:themeColor="text1"/>
          <w:sz w:val="22"/>
          <w:szCs w:val="22"/>
        </w:rPr>
        <w:t xml:space="preserve"> un </w:t>
      </w:r>
      <w:r w:rsidR="003F7CC8" w:rsidRPr="005045BF">
        <w:rPr>
          <w:rFonts w:ascii="Arial" w:hAnsi="Arial" w:cs="Arial"/>
          <w:color w:val="000000" w:themeColor="text1"/>
          <w:sz w:val="22"/>
          <w:szCs w:val="22"/>
        </w:rPr>
        <w:t>23</w:t>
      </w:r>
      <w:r w:rsidR="00E7402B"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y </w:t>
      </w:r>
      <w:r w:rsidR="003F7CC8" w:rsidRPr="005045BF">
        <w:rPr>
          <w:rFonts w:ascii="Arial" w:hAnsi="Arial" w:cs="Arial"/>
          <w:color w:val="000000" w:themeColor="text1"/>
          <w:sz w:val="22"/>
          <w:szCs w:val="22"/>
        </w:rPr>
        <w:t>16</w:t>
      </w:r>
      <w:r w:rsidRPr="005045BF">
        <w:rPr>
          <w:rFonts w:ascii="Arial" w:hAnsi="Arial" w:cs="Arial"/>
          <w:color w:val="000000" w:themeColor="text1"/>
          <w:sz w:val="22"/>
          <w:szCs w:val="22"/>
        </w:rPr>
        <w:t xml:space="preserve">%, respectivamente. </w:t>
      </w:r>
      <w:r w:rsidR="00E7402B" w:rsidRPr="005045BF">
        <w:rPr>
          <w:rFonts w:ascii="Arial" w:hAnsi="Arial" w:cs="Arial"/>
          <w:color w:val="000000" w:themeColor="text1"/>
          <w:sz w:val="22"/>
          <w:szCs w:val="22"/>
        </w:rPr>
        <w:t xml:space="preserve"> A nivel global, los gastos analizados en este punto presentaron una </w:t>
      </w:r>
      <w:r w:rsidR="00E7402B" w:rsidRPr="005045BF">
        <w:rPr>
          <w:rFonts w:ascii="Arial" w:hAnsi="Arial" w:cs="Arial"/>
          <w:b/>
          <w:color w:val="000000" w:themeColor="text1"/>
          <w:sz w:val="22"/>
          <w:szCs w:val="22"/>
        </w:rPr>
        <w:t>reducción</w:t>
      </w:r>
      <w:r w:rsidR="00E7402B" w:rsidRPr="005045BF">
        <w:rPr>
          <w:rFonts w:ascii="Arial" w:hAnsi="Arial" w:cs="Arial"/>
          <w:color w:val="000000" w:themeColor="text1"/>
          <w:sz w:val="22"/>
          <w:szCs w:val="22"/>
        </w:rPr>
        <w:t xml:space="preserve"> del </w:t>
      </w:r>
      <w:r w:rsidR="003F7CC8" w:rsidRPr="005045BF">
        <w:rPr>
          <w:rFonts w:ascii="Arial" w:hAnsi="Arial" w:cs="Arial"/>
          <w:color w:val="000000" w:themeColor="text1"/>
          <w:sz w:val="22"/>
          <w:szCs w:val="22"/>
        </w:rPr>
        <w:t>19</w:t>
      </w:r>
      <w:r w:rsidR="00E7402B" w:rsidRPr="005045BF">
        <w:rPr>
          <w:rFonts w:ascii="Arial" w:hAnsi="Arial" w:cs="Arial"/>
          <w:color w:val="000000" w:themeColor="text1"/>
          <w:sz w:val="22"/>
          <w:szCs w:val="22"/>
        </w:rPr>
        <w:t xml:space="preserve">%.  </w:t>
      </w:r>
      <w:r w:rsidR="00C76D6C" w:rsidRPr="005045BF">
        <w:rPr>
          <w:rFonts w:ascii="Arial" w:hAnsi="Arial" w:cs="Arial"/>
          <w:color w:val="000000" w:themeColor="text1"/>
          <w:sz w:val="22"/>
          <w:szCs w:val="22"/>
        </w:rPr>
        <w:t>Lo an</w:t>
      </w:r>
      <w:r w:rsidR="00226E8C" w:rsidRPr="005045BF">
        <w:rPr>
          <w:rFonts w:ascii="Arial" w:hAnsi="Arial" w:cs="Arial"/>
          <w:color w:val="000000" w:themeColor="text1"/>
          <w:sz w:val="22"/>
          <w:szCs w:val="22"/>
        </w:rPr>
        <w:t>tes expuesto</w:t>
      </w:r>
      <w:r w:rsidR="00DD474C" w:rsidRPr="005045BF">
        <w:rPr>
          <w:rFonts w:ascii="Arial" w:hAnsi="Arial" w:cs="Arial"/>
          <w:color w:val="000000" w:themeColor="text1"/>
          <w:sz w:val="22"/>
          <w:szCs w:val="22"/>
        </w:rPr>
        <w:t>,</w:t>
      </w:r>
      <w:r w:rsidR="00226E8C" w:rsidRPr="005045BF">
        <w:rPr>
          <w:rFonts w:ascii="Arial" w:hAnsi="Arial" w:cs="Arial"/>
          <w:color w:val="000000" w:themeColor="text1"/>
          <w:sz w:val="22"/>
          <w:szCs w:val="22"/>
        </w:rPr>
        <w:t xml:space="preserve"> se visualiza en la siguiente tabla: </w:t>
      </w:r>
      <w:r w:rsidR="009D10AC" w:rsidRPr="005045BF">
        <w:rPr>
          <w:rFonts w:ascii="Arial" w:hAnsi="Arial" w:cs="Arial"/>
          <w:color w:val="000000" w:themeColor="text1"/>
          <w:sz w:val="22"/>
          <w:szCs w:val="22"/>
        </w:rPr>
        <w:t xml:space="preserve"> </w:t>
      </w:r>
      <w:r w:rsidR="00C76D6C" w:rsidRPr="005045BF">
        <w:rPr>
          <w:rFonts w:ascii="Arial" w:hAnsi="Arial" w:cs="Arial"/>
          <w:color w:val="000000" w:themeColor="text1"/>
          <w:sz w:val="22"/>
          <w:szCs w:val="22"/>
        </w:rPr>
        <w:t xml:space="preserve"> </w:t>
      </w:r>
    </w:p>
    <w:p w14:paraId="7ED5EE02" w14:textId="77777777" w:rsidR="00361AE8" w:rsidRPr="005045BF" w:rsidRDefault="00361AE8" w:rsidP="00361AE8">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2405"/>
        <w:gridCol w:w="2268"/>
        <w:gridCol w:w="1559"/>
        <w:gridCol w:w="1594"/>
        <w:gridCol w:w="1462"/>
      </w:tblGrid>
      <w:tr w:rsidR="00EF50FC" w:rsidRPr="005045BF" w14:paraId="439E1E09" w14:textId="77777777" w:rsidTr="002323C9">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val="restart"/>
            <w:shd w:val="clear" w:color="auto" w:fill="4F81BD" w:themeFill="accent1"/>
            <w:vAlign w:val="center"/>
            <w:hideMark/>
          </w:tcPr>
          <w:p w14:paraId="21FA7D5C" w14:textId="77777777" w:rsidR="00EF50FC" w:rsidRPr="005045BF" w:rsidRDefault="00EF50FC" w:rsidP="002323C9">
            <w:pPr>
              <w:spacing w:before="120" w:after="120"/>
              <w:jc w:val="center"/>
              <w:rPr>
                <w:rFonts w:ascii="Arial" w:hAnsi="Arial" w:cs="Arial"/>
                <w:sz w:val="22"/>
                <w:szCs w:val="22"/>
              </w:rPr>
            </w:pPr>
            <w:r w:rsidRPr="005045BF">
              <w:rPr>
                <w:rFonts w:ascii="Arial" w:hAnsi="Arial" w:cs="Arial"/>
                <w:sz w:val="22"/>
                <w:szCs w:val="22"/>
              </w:rPr>
              <w:br w:type="page"/>
            </w:r>
            <w:r w:rsidRPr="005045BF">
              <w:rPr>
                <w:rFonts w:ascii="Arial" w:hAnsi="Arial" w:cs="Arial"/>
                <w:color w:val="FFFFFF" w:themeColor="background1"/>
                <w:sz w:val="22"/>
                <w:szCs w:val="22"/>
              </w:rPr>
              <w:t>Mes</w:t>
            </w:r>
          </w:p>
        </w:tc>
        <w:tc>
          <w:tcPr>
            <w:tcW w:w="6883" w:type="dxa"/>
            <w:gridSpan w:val="4"/>
            <w:shd w:val="clear" w:color="auto" w:fill="4F81BD" w:themeFill="accent1"/>
            <w:vAlign w:val="center"/>
            <w:hideMark/>
          </w:tcPr>
          <w:p w14:paraId="21A7F63C" w14:textId="14DBB95D" w:rsidR="00EF50FC" w:rsidRPr="005045BF" w:rsidRDefault="00EF50FC" w:rsidP="002323C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 xml:space="preserve">Comparativo </w:t>
            </w:r>
            <w:r w:rsidR="00D019A1" w:rsidRPr="005045BF">
              <w:rPr>
                <w:rFonts w:ascii="Arial" w:hAnsi="Arial" w:cs="Arial"/>
                <w:color w:val="FFFFFF" w:themeColor="background1"/>
                <w:sz w:val="20"/>
                <w:szCs w:val="20"/>
              </w:rPr>
              <w:t>I</w:t>
            </w:r>
            <w:r w:rsidR="00E842F0"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20</w:t>
            </w:r>
            <w:r w:rsidR="00E842F0" w:rsidRPr="005045BF">
              <w:rPr>
                <w:rFonts w:ascii="Arial" w:hAnsi="Arial" w:cs="Arial"/>
                <w:color w:val="FFFFFF" w:themeColor="background1"/>
                <w:sz w:val="20"/>
                <w:szCs w:val="20"/>
              </w:rPr>
              <w:t>20</w:t>
            </w:r>
            <w:r w:rsidRPr="005045BF">
              <w:rPr>
                <w:rFonts w:ascii="Arial" w:hAnsi="Arial" w:cs="Arial"/>
                <w:color w:val="FFFFFF" w:themeColor="background1"/>
                <w:sz w:val="20"/>
                <w:szCs w:val="20"/>
              </w:rPr>
              <w:t xml:space="preserve"> - 201</w:t>
            </w:r>
            <w:r w:rsidR="00E842F0" w:rsidRPr="005045BF">
              <w:rPr>
                <w:rFonts w:ascii="Arial" w:hAnsi="Arial" w:cs="Arial"/>
                <w:color w:val="FFFFFF" w:themeColor="background1"/>
                <w:sz w:val="20"/>
                <w:szCs w:val="20"/>
              </w:rPr>
              <w:t>9</w:t>
            </w:r>
            <w:r w:rsidRPr="005045BF">
              <w:rPr>
                <w:rFonts w:ascii="Arial" w:hAnsi="Arial" w:cs="Arial"/>
                <w:color w:val="FFFFFF" w:themeColor="background1"/>
                <w:sz w:val="20"/>
                <w:szCs w:val="20"/>
              </w:rPr>
              <w:t xml:space="preserve"> Viáticos y Pasajes</w:t>
            </w:r>
            <w:r w:rsidR="00D95366" w:rsidRPr="005045BF">
              <w:rPr>
                <w:rFonts w:ascii="Arial" w:hAnsi="Arial" w:cs="Arial"/>
                <w:color w:val="FFFFFF" w:themeColor="background1"/>
                <w:sz w:val="20"/>
                <w:szCs w:val="20"/>
              </w:rPr>
              <w:t xml:space="preserve"> ($)</w:t>
            </w:r>
          </w:p>
        </w:tc>
      </w:tr>
      <w:tr w:rsidR="003829CE" w:rsidRPr="005045BF" w14:paraId="21014483"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shd w:val="clear" w:color="auto" w:fill="4F81BD" w:themeFill="accent1"/>
            <w:vAlign w:val="center"/>
            <w:hideMark/>
          </w:tcPr>
          <w:p w14:paraId="23F308A0" w14:textId="77777777" w:rsidR="00EF50FC" w:rsidRPr="005045BF" w:rsidRDefault="00EF50FC" w:rsidP="002323C9">
            <w:pPr>
              <w:spacing w:before="120" w:after="120"/>
              <w:rPr>
                <w:rFonts w:ascii="Arial" w:hAnsi="Arial" w:cs="Arial"/>
                <w:b w:val="0"/>
                <w:bCs w:val="0"/>
                <w:color w:val="FFFFFF" w:themeColor="background1"/>
                <w:sz w:val="20"/>
                <w:szCs w:val="20"/>
              </w:rPr>
            </w:pPr>
          </w:p>
        </w:tc>
        <w:tc>
          <w:tcPr>
            <w:tcW w:w="2268" w:type="dxa"/>
            <w:shd w:val="clear" w:color="auto" w:fill="4F81BD" w:themeFill="accent1"/>
            <w:vAlign w:val="center"/>
            <w:hideMark/>
          </w:tcPr>
          <w:p w14:paraId="3D9EB54C" w14:textId="3796F14B" w:rsidR="00EF50FC" w:rsidRPr="005045BF" w:rsidRDefault="00EF50FC"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Viáticos 20</w:t>
            </w:r>
            <w:r w:rsidR="00867659" w:rsidRPr="005045BF">
              <w:rPr>
                <w:rFonts w:ascii="Arial" w:hAnsi="Arial" w:cs="Arial"/>
                <w:b/>
                <w:bCs/>
                <w:color w:val="FFFFFF" w:themeColor="background1"/>
                <w:sz w:val="20"/>
                <w:szCs w:val="20"/>
              </w:rPr>
              <w:t>20</w:t>
            </w:r>
          </w:p>
        </w:tc>
        <w:tc>
          <w:tcPr>
            <w:tcW w:w="1559" w:type="dxa"/>
            <w:shd w:val="clear" w:color="auto" w:fill="4F81BD" w:themeFill="accent1"/>
            <w:vAlign w:val="center"/>
            <w:hideMark/>
          </w:tcPr>
          <w:p w14:paraId="0C9DEFEA" w14:textId="49E9B515" w:rsidR="00EF50FC" w:rsidRPr="005045BF" w:rsidRDefault="00EF50FC"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Viáticos 20</w:t>
            </w:r>
            <w:r w:rsidR="00867659" w:rsidRPr="005045BF">
              <w:rPr>
                <w:rFonts w:ascii="Arial" w:hAnsi="Arial" w:cs="Arial"/>
                <w:b/>
                <w:bCs/>
                <w:color w:val="FFFFFF" w:themeColor="background1"/>
                <w:sz w:val="20"/>
                <w:szCs w:val="20"/>
              </w:rPr>
              <w:t>19</w:t>
            </w:r>
          </w:p>
        </w:tc>
        <w:tc>
          <w:tcPr>
            <w:tcW w:w="1594" w:type="dxa"/>
            <w:shd w:val="clear" w:color="auto" w:fill="4F81BD" w:themeFill="accent1"/>
            <w:vAlign w:val="center"/>
            <w:hideMark/>
          </w:tcPr>
          <w:p w14:paraId="2209AC8A" w14:textId="5C320E44" w:rsidR="00EF50FC" w:rsidRPr="005045BF" w:rsidRDefault="00EF50FC"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Pasajes 20</w:t>
            </w:r>
            <w:r w:rsidR="0025468F" w:rsidRPr="005045BF">
              <w:rPr>
                <w:rFonts w:ascii="Arial" w:hAnsi="Arial" w:cs="Arial"/>
                <w:b/>
                <w:bCs/>
                <w:color w:val="FFFFFF" w:themeColor="background1"/>
                <w:sz w:val="20"/>
                <w:szCs w:val="20"/>
              </w:rPr>
              <w:t>20</w:t>
            </w:r>
          </w:p>
        </w:tc>
        <w:tc>
          <w:tcPr>
            <w:tcW w:w="1462" w:type="dxa"/>
            <w:shd w:val="clear" w:color="auto" w:fill="4F81BD" w:themeFill="accent1"/>
            <w:vAlign w:val="center"/>
            <w:hideMark/>
          </w:tcPr>
          <w:p w14:paraId="682CFD60" w14:textId="2B9E9821" w:rsidR="00EF50FC" w:rsidRPr="005045BF" w:rsidRDefault="00EF50FC"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Pasajes 201</w:t>
            </w:r>
            <w:r w:rsidR="0025468F" w:rsidRPr="005045BF">
              <w:rPr>
                <w:rFonts w:ascii="Arial" w:hAnsi="Arial" w:cs="Arial"/>
                <w:b/>
                <w:bCs/>
                <w:color w:val="FFFFFF" w:themeColor="background1"/>
                <w:sz w:val="20"/>
                <w:szCs w:val="20"/>
              </w:rPr>
              <w:t>9</w:t>
            </w:r>
          </w:p>
        </w:tc>
      </w:tr>
      <w:tr w:rsidR="0025468F" w:rsidRPr="005045BF" w14:paraId="59F7E699"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8AE1A00" w14:textId="6BD0B55A" w:rsidR="0025468F" w:rsidRPr="005045BF" w:rsidRDefault="0025468F" w:rsidP="002323C9">
            <w:pPr>
              <w:spacing w:before="120" w:after="120"/>
              <w:jc w:val="center"/>
              <w:rPr>
                <w:rFonts w:ascii="Arial" w:hAnsi="Arial" w:cs="Arial"/>
                <w:b w:val="0"/>
                <w:color w:val="0F243E"/>
                <w:sz w:val="20"/>
                <w:szCs w:val="20"/>
              </w:rPr>
            </w:pPr>
            <w:r w:rsidRPr="005045BF">
              <w:rPr>
                <w:rFonts w:ascii="Arial" w:hAnsi="Arial" w:cs="Arial"/>
                <w:b w:val="0"/>
                <w:color w:val="0F243E"/>
                <w:sz w:val="20"/>
                <w:szCs w:val="20"/>
              </w:rPr>
              <w:t xml:space="preserve">Enero </w:t>
            </w:r>
          </w:p>
        </w:tc>
        <w:tc>
          <w:tcPr>
            <w:tcW w:w="2268" w:type="dxa"/>
            <w:vAlign w:val="center"/>
          </w:tcPr>
          <w:p w14:paraId="5A28459E" w14:textId="0F23B68D"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38.022.202</w:t>
            </w:r>
          </w:p>
        </w:tc>
        <w:tc>
          <w:tcPr>
            <w:tcW w:w="1559" w:type="dxa"/>
            <w:noWrap/>
            <w:vAlign w:val="center"/>
          </w:tcPr>
          <w:p w14:paraId="5603B383" w14:textId="09BB6763"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40.706.385</w:t>
            </w:r>
          </w:p>
        </w:tc>
        <w:tc>
          <w:tcPr>
            <w:tcW w:w="1594" w:type="dxa"/>
            <w:vAlign w:val="center"/>
          </w:tcPr>
          <w:p w14:paraId="670A7EC1" w14:textId="648C0EBC"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43.972.775</w:t>
            </w:r>
          </w:p>
        </w:tc>
        <w:tc>
          <w:tcPr>
            <w:tcW w:w="1462" w:type="dxa"/>
            <w:noWrap/>
            <w:vAlign w:val="center"/>
          </w:tcPr>
          <w:p w14:paraId="18ADADF9" w14:textId="5E578C47"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43.540.672</w:t>
            </w:r>
          </w:p>
        </w:tc>
      </w:tr>
      <w:tr w:rsidR="0025468F" w:rsidRPr="005045BF" w14:paraId="1A299F83"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16565DD1" w14:textId="43A48B58" w:rsidR="0025468F" w:rsidRPr="005045BF" w:rsidRDefault="0025468F" w:rsidP="002323C9">
            <w:pPr>
              <w:spacing w:before="120" w:after="120"/>
              <w:jc w:val="center"/>
              <w:rPr>
                <w:rFonts w:ascii="Arial" w:hAnsi="Arial" w:cs="Arial"/>
                <w:b w:val="0"/>
                <w:color w:val="0F243E"/>
                <w:sz w:val="20"/>
                <w:szCs w:val="20"/>
              </w:rPr>
            </w:pPr>
            <w:r w:rsidRPr="005045BF">
              <w:rPr>
                <w:rFonts w:ascii="Arial" w:hAnsi="Arial" w:cs="Arial"/>
                <w:b w:val="0"/>
                <w:color w:val="0F243E"/>
                <w:sz w:val="20"/>
                <w:szCs w:val="20"/>
              </w:rPr>
              <w:t xml:space="preserve">Febrero </w:t>
            </w:r>
          </w:p>
        </w:tc>
        <w:tc>
          <w:tcPr>
            <w:tcW w:w="2268" w:type="dxa"/>
            <w:vAlign w:val="center"/>
          </w:tcPr>
          <w:p w14:paraId="0A59D36D" w14:textId="18826B75"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42.197.049</w:t>
            </w:r>
          </w:p>
        </w:tc>
        <w:tc>
          <w:tcPr>
            <w:tcW w:w="1559" w:type="dxa"/>
            <w:noWrap/>
            <w:vAlign w:val="center"/>
          </w:tcPr>
          <w:p w14:paraId="3310AE6D" w14:textId="4FE18F02"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35.154.102</w:t>
            </w:r>
          </w:p>
        </w:tc>
        <w:tc>
          <w:tcPr>
            <w:tcW w:w="1594" w:type="dxa"/>
            <w:vAlign w:val="center"/>
          </w:tcPr>
          <w:p w14:paraId="22005D6C" w14:textId="532B167C"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54.312.052</w:t>
            </w:r>
          </w:p>
        </w:tc>
        <w:tc>
          <w:tcPr>
            <w:tcW w:w="1462" w:type="dxa"/>
            <w:noWrap/>
            <w:vAlign w:val="center"/>
          </w:tcPr>
          <w:p w14:paraId="030CB934" w14:textId="25CC5477"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49.421.224</w:t>
            </w:r>
          </w:p>
        </w:tc>
      </w:tr>
      <w:tr w:rsidR="0025468F" w:rsidRPr="005045BF" w14:paraId="3DDF49C7"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49D93118" w14:textId="7D198416" w:rsidR="0025468F" w:rsidRPr="005045BF" w:rsidRDefault="0025468F" w:rsidP="002323C9">
            <w:pPr>
              <w:spacing w:before="120" w:after="120"/>
              <w:jc w:val="center"/>
              <w:rPr>
                <w:rFonts w:ascii="Arial" w:hAnsi="Arial" w:cs="Arial"/>
                <w:b w:val="0"/>
                <w:color w:val="0F243E"/>
                <w:sz w:val="20"/>
                <w:szCs w:val="20"/>
              </w:rPr>
            </w:pPr>
            <w:r w:rsidRPr="005045BF">
              <w:rPr>
                <w:rFonts w:ascii="Arial" w:hAnsi="Arial" w:cs="Arial"/>
                <w:b w:val="0"/>
                <w:color w:val="0F243E"/>
                <w:sz w:val="20"/>
                <w:szCs w:val="20"/>
              </w:rPr>
              <w:t xml:space="preserve">Marzo </w:t>
            </w:r>
          </w:p>
        </w:tc>
        <w:tc>
          <w:tcPr>
            <w:tcW w:w="2268" w:type="dxa"/>
            <w:vAlign w:val="center"/>
          </w:tcPr>
          <w:p w14:paraId="2C3D41A8" w14:textId="362E1063"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20.803.974</w:t>
            </w:r>
          </w:p>
        </w:tc>
        <w:tc>
          <w:tcPr>
            <w:tcW w:w="1559" w:type="dxa"/>
            <w:noWrap/>
            <w:vAlign w:val="center"/>
          </w:tcPr>
          <w:p w14:paraId="450C9F00" w14:textId="0812C2D8"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55.322.306</w:t>
            </w:r>
          </w:p>
        </w:tc>
        <w:tc>
          <w:tcPr>
            <w:tcW w:w="1594" w:type="dxa"/>
            <w:vAlign w:val="center"/>
          </w:tcPr>
          <w:p w14:paraId="103C9C18" w14:textId="1ACB006A"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39.729.959</w:t>
            </w:r>
          </w:p>
        </w:tc>
        <w:tc>
          <w:tcPr>
            <w:tcW w:w="1462" w:type="dxa"/>
            <w:vAlign w:val="center"/>
          </w:tcPr>
          <w:p w14:paraId="003CF713" w14:textId="1C68E6F6"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70.764.625</w:t>
            </w:r>
          </w:p>
        </w:tc>
      </w:tr>
      <w:tr w:rsidR="0025468F" w:rsidRPr="005045BF" w14:paraId="5D3E5C82"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A1E21C6" w14:textId="797EA03E" w:rsidR="0025468F" w:rsidRPr="005045BF" w:rsidRDefault="0025468F" w:rsidP="002323C9">
            <w:pPr>
              <w:spacing w:before="120" w:after="120"/>
              <w:jc w:val="center"/>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Total Gasto de Viáticos y Pasajes</w:t>
            </w:r>
          </w:p>
        </w:tc>
        <w:tc>
          <w:tcPr>
            <w:tcW w:w="2268" w:type="dxa"/>
            <w:vAlign w:val="center"/>
          </w:tcPr>
          <w:p w14:paraId="31027FEC" w14:textId="33850173"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101.023.225</w:t>
            </w:r>
          </w:p>
        </w:tc>
        <w:tc>
          <w:tcPr>
            <w:tcW w:w="1559" w:type="dxa"/>
            <w:vAlign w:val="center"/>
          </w:tcPr>
          <w:p w14:paraId="47F25627" w14:textId="4F3B7601"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131.182.792</w:t>
            </w:r>
          </w:p>
        </w:tc>
        <w:tc>
          <w:tcPr>
            <w:tcW w:w="1594" w:type="dxa"/>
            <w:vAlign w:val="center"/>
          </w:tcPr>
          <w:p w14:paraId="36DFF2B5" w14:textId="010E946A"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138.014.786</w:t>
            </w:r>
          </w:p>
        </w:tc>
        <w:tc>
          <w:tcPr>
            <w:tcW w:w="1462" w:type="dxa"/>
            <w:vAlign w:val="center"/>
          </w:tcPr>
          <w:p w14:paraId="486EC9BE" w14:textId="3554F6A3"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163.726.521</w:t>
            </w:r>
          </w:p>
        </w:tc>
      </w:tr>
      <w:tr w:rsidR="0025468F" w:rsidRPr="005045BF" w14:paraId="12A81E01"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3C6FC2F0" w14:textId="77777777" w:rsidR="0025468F" w:rsidRPr="005045BF" w:rsidRDefault="0025468F" w:rsidP="002323C9">
            <w:pPr>
              <w:spacing w:before="120" w:after="120"/>
              <w:jc w:val="center"/>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Variación Absoluta</w:t>
            </w:r>
          </w:p>
        </w:tc>
        <w:tc>
          <w:tcPr>
            <w:tcW w:w="3827" w:type="dxa"/>
            <w:gridSpan w:val="2"/>
            <w:vAlign w:val="center"/>
          </w:tcPr>
          <w:p w14:paraId="2696579E" w14:textId="7F4D8891" w:rsidR="0025468F" w:rsidRPr="005045BF" w:rsidRDefault="0025468F"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 xml:space="preserve">                             (30.159.567) </w:t>
            </w:r>
          </w:p>
        </w:tc>
        <w:tc>
          <w:tcPr>
            <w:tcW w:w="3056" w:type="dxa"/>
            <w:gridSpan w:val="2"/>
            <w:vAlign w:val="center"/>
          </w:tcPr>
          <w:p w14:paraId="70AC077C" w14:textId="241B0CAA" w:rsidR="0025468F" w:rsidRPr="005045BF" w:rsidRDefault="0025468F" w:rsidP="002323C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 xml:space="preserve"> (25.711.735) </w:t>
            </w:r>
          </w:p>
        </w:tc>
      </w:tr>
      <w:tr w:rsidR="0025468F" w:rsidRPr="005045BF" w14:paraId="65037627"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vAlign w:val="center"/>
            <w:hideMark/>
          </w:tcPr>
          <w:p w14:paraId="5693CCE0" w14:textId="77777777" w:rsidR="0025468F" w:rsidRPr="005045BF" w:rsidRDefault="0025468F" w:rsidP="002323C9">
            <w:pPr>
              <w:spacing w:before="120" w:after="120"/>
              <w:jc w:val="center"/>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variación Relativa</w:t>
            </w:r>
          </w:p>
        </w:tc>
        <w:tc>
          <w:tcPr>
            <w:tcW w:w="3827" w:type="dxa"/>
            <w:gridSpan w:val="2"/>
            <w:vAlign w:val="center"/>
          </w:tcPr>
          <w:p w14:paraId="7F279645" w14:textId="79B97AB4" w:rsidR="0025468F" w:rsidRPr="005045BF" w:rsidRDefault="0025468F"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(23%)</w:t>
            </w:r>
          </w:p>
        </w:tc>
        <w:tc>
          <w:tcPr>
            <w:tcW w:w="3056" w:type="dxa"/>
            <w:gridSpan w:val="2"/>
            <w:vAlign w:val="center"/>
          </w:tcPr>
          <w:p w14:paraId="2CBCE0A9" w14:textId="55AA627F" w:rsidR="0025468F" w:rsidRPr="005045BF" w:rsidRDefault="0025468F"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(16%)</w:t>
            </w:r>
          </w:p>
        </w:tc>
      </w:tr>
      <w:tr w:rsidR="00EF50FC" w:rsidRPr="005045BF" w14:paraId="56395F52" w14:textId="77777777" w:rsidTr="002323C9">
        <w:trPr>
          <w:cantSplit/>
          <w:jc w:val="center"/>
        </w:trPr>
        <w:tc>
          <w:tcPr>
            <w:cnfStyle w:val="001000000000" w:firstRow="0" w:lastRow="0" w:firstColumn="1" w:lastColumn="0" w:oddVBand="0" w:evenVBand="0" w:oddHBand="0" w:evenHBand="0" w:firstRowFirstColumn="0" w:firstRowLastColumn="0" w:lastRowFirstColumn="0" w:lastRowLastColumn="0"/>
            <w:tcW w:w="2405" w:type="dxa"/>
            <w:shd w:val="clear" w:color="auto" w:fill="4F81BD" w:themeFill="accent1"/>
            <w:vAlign w:val="center"/>
            <w:hideMark/>
          </w:tcPr>
          <w:p w14:paraId="50D8B04D" w14:textId="77777777" w:rsidR="00EF50FC" w:rsidRPr="005045BF" w:rsidRDefault="00EF50FC" w:rsidP="002323C9">
            <w:pPr>
              <w:spacing w:before="120" w:after="120"/>
              <w:jc w:val="center"/>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 xml:space="preserve">Variación Relativa Total </w:t>
            </w:r>
          </w:p>
        </w:tc>
        <w:tc>
          <w:tcPr>
            <w:tcW w:w="6883" w:type="dxa"/>
            <w:gridSpan w:val="4"/>
            <w:shd w:val="clear" w:color="auto" w:fill="4F81BD" w:themeFill="accent1"/>
            <w:vAlign w:val="center"/>
          </w:tcPr>
          <w:p w14:paraId="23F056A9" w14:textId="2A32F81E" w:rsidR="00EF50FC" w:rsidRPr="005045BF" w:rsidRDefault="00726580" w:rsidP="002323C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w:t>
            </w:r>
            <w:r w:rsidR="0025468F" w:rsidRPr="005045BF">
              <w:rPr>
                <w:rFonts w:ascii="Arial" w:hAnsi="Arial" w:cs="Arial"/>
                <w:b/>
                <w:bCs/>
                <w:color w:val="FFFFFF"/>
                <w:sz w:val="20"/>
                <w:szCs w:val="20"/>
              </w:rPr>
              <w:t>19</w:t>
            </w:r>
            <w:r w:rsidR="006F52EB" w:rsidRPr="005045BF">
              <w:rPr>
                <w:rFonts w:ascii="Arial" w:hAnsi="Arial" w:cs="Arial"/>
                <w:b/>
                <w:bCs/>
                <w:color w:val="FFFFFF"/>
                <w:sz w:val="20"/>
                <w:szCs w:val="20"/>
              </w:rPr>
              <w:t>%</w:t>
            </w:r>
            <w:r w:rsidRPr="005045BF">
              <w:rPr>
                <w:rFonts w:ascii="Arial" w:hAnsi="Arial" w:cs="Arial"/>
                <w:b/>
                <w:bCs/>
                <w:color w:val="FFFFFF"/>
                <w:sz w:val="20"/>
                <w:szCs w:val="20"/>
              </w:rPr>
              <w:t>)</w:t>
            </w:r>
          </w:p>
        </w:tc>
      </w:tr>
    </w:tbl>
    <w:p w14:paraId="3142C5D4" w14:textId="77777777" w:rsidR="00893806" w:rsidRPr="005045BF" w:rsidRDefault="00893806" w:rsidP="00A928E8">
      <w:pPr>
        <w:jc w:val="both"/>
        <w:rPr>
          <w:rFonts w:ascii="Arial" w:hAnsi="Arial" w:cs="Arial"/>
          <w:sz w:val="22"/>
          <w:szCs w:val="22"/>
          <w:highlight w:val="yellow"/>
        </w:rPr>
      </w:pPr>
    </w:p>
    <w:p w14:paraId="01D679CF" w14:textId="77777777" w:rsidR="002323C9" w:rsidRPr="005045BF" w:rsidRDefault="002323C9" w:rsidP="00A928E8">
      <w:pPr>
        <w:jc w:val="both"/>
        <w:rPr>
          <w:rFonts w:ascii="Arial" w:hAnsi="Arial" w:cs="Arial"/>
          <w:sz w:val="22"/>
          <w:szCs w:val="22"/>
        </w:rPr>
      </w:pPr>
    </w:p>
    <w:p w14:paraId="1D1D465F" w14:textId="642F3378" w:rsidR="00F10F74" w:rsidRPr="005045BF" w:rsidRDefault="00B45759" w:rsidP="00A928E8">
      <w:pPr>
        <w:jc w:val="both"/>
        <w:rPr>
          <w:rFonts w:ascii="Arial" w:hAnsi="Arial" w:cs="Arial"/>
          <w:sz w:val="22"/>
          <w:szCs w:val="22"/>
        </w:rPr>
      </w:pPr>
      <w:r w:rsidRPr="005045BF">
        <w:rPr>
          <w:rFonts w:ascii="Arial" w:hAnsi="Arial" w:cs="Arial"/>
          <w:sz w:val="22"/>
          <w:szCs w:val="22"/>
        </w:rPr>
        <w:t>Ahora bien, d</w:t>
      </w:r>
      <w:r w:rsidR="002C6B39" w:rsidRPr="005045BF">
        <w:rPr>
          <w:rFonts w:ascii="Arial" w:hAnsi="Arial" w:cs="Arial"/>
          <w:sz w:val="22"/>
          <w:szCs w:val="22"/>
        </w:rPr>
        <w:t>e acuerdo con</w:t>
      </w:r>
      <w:r w:rsidR="002B0816" w:rsidRPr="005045BF">
        <w:rPr>
          <w:rFonts w:ascii="Arial" w:hAnsi="Arial" w:cs="Arial"/>
          <w:sz w:val="22"/>
          <w:szCs w:val="22"/>
        </w:rPr>
        <w:t xml:space="preserve"> el comportamiento </w:t>
      </w:r>
      <w:r w:rsidR="00F10F74" w:rsidRPr="005045BF">
        <w:rPr>
          <w:rFonts w:ascii="Arial" w:hAnsi="Arial" w:cs="Arial"/>
          <w:sz w:val="22"/>
          <w:szCs w:val="22"/>
        </w:rPr>
        <w:t xml:space="preserve">de </w:t>
      </w:r>
      <w:r w:rsidR="002C6B39" w:rsidRPr="005045BF">
        <w:rPr>
          <w:rFonts w:ascii="Arial" w:hAnsi="Arial" w:cs="Arial"/>
          <w:sz w:val="22"/>
          <w:szCs w:val="22"/>
        </w:rPr>
        <w:t xml:space="preserve">los gastos generados por viáticos y pasajes aéreos </w:t>
      </w:r>
      <w:r w:rsidR="00D960E7" w:rsidRPr="005045BF">
        <w:rPr>
          <w:rFonts w:ascii="Arial" w:hAnsi="Arial" w:cs="Arial"/>
          <w:sz w:val="22"/>
          <w:szCs w:val="22"/>
        </w:rPr>
        <w:t xml:space="preserve">de enero a </w:t>
      </w:r>
      <w:r w:rsidR="00DD4430" w:rsidRPr="005045BF">
        <w:rPr>
          <w:rFonts w:ascii="Arial" w:hAnsi="Arial" w:cs="Arial"/>
          <w:sz w:val="22"/>
          <w:szCs w:val="22"/>
        </w:rPr>
        <w:t>marzo de</w:t>
      </w:r>
      <w:r w:rsidR="00D960E7" w:rsidRPr="005045BF">
        <w:rPr>
          <w:rFonts w:ascii="Arial" w:hAnsi="Arial" w:cs="Arial"/>
          <w:sz w:val="22"/>
          <w:szCs w:val="22"/>
        </w:rPr>
        <w:t xml:space="preserve"> </w:t>
      </w:r>
      <w:r w:rsidRPr="005045BF">
        <w:rPr>
          <w:rFonts w:ascii="Arial" w:hAnsi="Arial" w:cs="Arial"/>
          <w:sz w:val="22"/>
          <w:szCs w:val="22"/>
        </w:rPr>
        <w:t>20</w:t>
      </w:r>
      <w:r w:rsidR="00C30ACA" w:rsidRPr="005045BF">
        <w:rPr>
          <w:rFonts w:ascii="Arial" w:hAnsi="Arial" w:cs="Arial"/>
          <w:sz w:val="22"/>
          <w:szCs w:val="22"/>
        </w:rPr>
        <w:t>20</w:t>
      </w:r>
      <w:r w:rsidRPr="005045BF">
        <w:rPr>
          <w:rFonts w:ascii="Arial" w:hAnsi="Arial" w:cs="Arial"/>
          <w:sz w:val="22"/>
          <w:szCs w:val="22"/>
        </w:rPr>
        <w:t xml:space="preserve">, demuestra </w:t>
      </w:r>
      <w:r w:rsidR="00EC4FE6" w:rsidRPr="005045BF">
        <w:rPr>
          <w:rFonts w:ascii="Arial" w:hAnsi="Arial" w:cs="Arial"/>
          <w:sz w:val="22"/>
          <w:szCs w:val="22"/>
        </w:rPr>
        <w:t>que</w:t>
      </w:r>
      <w:r w:rsidR="001F366E" w:rsidRPr="005045BF">
        <w:rPr>
          <w:rFonts w:ascii="Arial" w:hAnsi="Arial" w:cs="Arial"/>
          <w:sz w:val="22"/>
          <w:szCs w:val="22"/>
        </w:rPr>
        <w:t>,</w:t>
      </w:r>
      <w:r w:rsidR="00523423" w:rsidRPr="005045BF">
        <w:rPr>
          <w:rFonts w:ascii="Arial" w:hAnsi="Arial" w:cs="Arial"/>
          <w:sz w:val="22"/>
          <w:szCs w:val="22"/>
        </w:rPr>
        <w:t xml:space="preserve"> </w:t>
      </w:r>
      <w:r w:rsidR="001774C1" w:rsidRPr="005045BF">
        <w:rPr>
          <w:rFonts w:ascii="Arial" w:hAnsi="Arial" w:cs="Arial"/>
          <w:sz w:val="22"/>
          <w:szCs w:val="22"/>
        </w:rPr>
        <w:t>para el mes de febrero, se observó el punto máximo del gasto para</w:t>
      </w:r>
      <w:r w:rsidR="006463AB" w:rsidRPr="005045BF">
        <w:rPr>
          <w:rFonts w:ascii="Arial" w:hAnsi="Arial" w:cs="Arial"/>
          <w:sz w:val="22"/>
          <w:szCs w:val="22"/>
        </w:rPr>
        <w:t xml:space="preserve"> </w:t>
      </w:r>
      <w:r w:rsidR="001774C1" w:rsidRPr="005045BF">
        <w:rPr>
          <w:rFonts w:ascii="Arial" w:hAnsi="Arial" w:cs="Arial"/>
          <w:sz w:val="22"/>
          <w:szCs w:val="22"/>
        </w:rPr>
        <w:t>los</w:t>
      </w:r>
      <w:r w:rsidR="006463AB" w:rsidRPr="005045BF">
        <w:rPr>
          <w:rFonts w:ascii="Arial" w:hAnsi="Arial" w:cs="Arial"/>
          <w:sz w:val="22"/>
          <w:szCs w:val="22"/>
        </w:rPr>
        <w:t xml:space="preserve"> dos</w:t>
      </w:r>
      <w:r w:rsidR="001774C1" w:rsidRPr="005045BF">
        <w:rPr>
          <w:rFonts w:ascii="Arial" w:hAnsi="Arial" w:cs="Arial"/>
          <w:sz w:val="22"/>
          <w:szCs w:val="22"/>
        </w:rPr>
        <w:t xml:space="preserve"> conceptos analizados.</w:t>
      </w:r>
      <w:r w:rsidR="00232F28" w:rsidRPr="005045BF">
        <w:rPr>
          <w:rFonts w:ascii="Arial" w:hAnsi="Arial" w:cs="Arial"/>
          <w:sz w:val="22"/>
          <w:szCs w:val="22"/>
        </w:rPr>
        <w:t xml:space="preserve"> Para el periodo de marzo, se </w:t>
      </w:r>
      <w:r w:rsidR="00D4066B" w:rsidRPr="005045BF">
        <w:rPr>
          <w:rFonts w:ascii="Arial" w:hAnsi="Arial" w:cs="Arial"/>
          <w:sz w:val="22"/>
          <w:szCs w:val="22"/>
        </w:rPr>
        <w:t xml:space="preserve">evidenció </w:t>
      </w:r>
      <w:r w:rsidR="00BE59BF" w:rsidRPr="005045BF">
        <w:rPr>
          <w:rFonts w:ascii="Arial" w:hAnsi="Arial" w:cs="Arial"/>
          <w:sz w:val="22"/>
          <w:szCs w:val="22"/>
        </w:rPr>
        <w:t xml:space="preserve">una tendencia </w:t>
      </w:r>
      <w:r w:rsidR="00BE59BF" w:rsidRPr="005045BF">
        <w:rPr>
          <w:rFonts w:ascii="Arial" w:hAnsi="Arial" w:cs="Arial"/>
          <w:b/>
          <w:bCs/>
          <w:sz w:val="22"/>
          <w:szCs w:val="22"/>
        </w:rPr>
        <w:t>decreciente</w:t>
      </w:r>
      <w:r w:rsidR="00BE59BF" w:rsidRPr="005045BF">
        <w:rPr>
          <w:rFonts w:ascii="Arial" w:hAnsi="Arial" w:cs="Arial"/>
          <w:sz w:val="22"/>
          <w:szCs w:val="22"/>
        </w:rPr>
        <w:t xml:space="preserve">, especialmente, en los </w:t>
      </w:r>
      <w:r w:rsidR="00D4066B" w:rsidRPr="005045BF">
        <w:rPr>
          <w:rFonts w:ascii="Arial" w:hAnsi="Arial" w:cs="Arial"/>
          <w:sz w:val="22"/>
          <w:szCs w:val="22"/>
        </w:rPr>
        <w:t>viáticos</w:t>
      </w:r>
      <w:r w:rsidR="00BE59BF" w:rsidRPr="005045BF">
        <w:rPr>
          <w:rFonts w:ascii="Arial" w:hAnsi="Arial" w:cs="Arial"/>
          <w:sz w:val="22"/>
          <w:szCs w:val="22"/>
        </w:rPr>
        <w:t xml:space="preserve">. </w:t>
      </w:r>
      <w:r w:rsidR="00232F28" w:rsidRPr="005045BF">
        <w:rPr>
          <w:rFonts w:ascii="Arial" w:hAnsi="Arial" w:cs="Arial"/>
          <w:sz w:val="22"/>
          <w:szCs w:val="22"/>
        </w:rPr>
        <w:t xml:space="preserve">Finalmente, se concluye que los </w:t>
      </w:r>
      <w:r w:rsidR="00232F28" w:rsidRPr="005045BF">
        <w:rPr>
          <w:rFonts w:ascii="Arial" w:hAnsi="Arial" w:cs="Arial"/>
          <w:color w:val="000000"/>
          <w:sz w:val="22"/>
          <w:szCs w:val="22"/>
        </w:rPr>
        <w:t>gastos presentaron un comportamiento de forma paralela</w:t>
      </w:r>
      <w:r w:rsidR="002C4AFB" w:rsidRPr="005045BF">
        <w:rPr>
          <w:rFonts w:ascii="Arial" w:hAnsi="Arial" w:cs="Arial"/>
          <w:color w:val="000000"/>
          <w:sz w:val="22"/>
          <w:szCs w:val="22"/>
        </w:rPr>
        <w:t>, tanto para los viáticos como para los pasaje</w:t>
      </w:r>
      <w:r w:rsidR="00061BDC" w:rsidRPr="005045BF">
        <w:rPr>
          <w:rFonts w:ascii="Arial" w:hAnsi="Arial" w:cs="Arial"/>
          <w:color w:val="000000"/>
          <w:sz w:val="22"/>
          <w:szCs w:val="22"/>
        </w:rPr>
        <w:t>s</w:t>
      </w:r>
      <w:r w:rsidR="002C4AFB" w:rsidRPr="005045BF">
        <w:rPr>
          <w:rFonts w:ascii="Arial" w:hAnsi="Arial" w:cs="Arial"/>
          <w:color w:val="000000"/>
          <w:sz w:val="22"/>
          <w:szCs w:val="22"/>
        </w:rPr>
        <w:t xml:space="preserve"> aéreos. </w:t>
      </w:r>
    </w:p>
    <w:p w14:paraId="16C1051A" w14:textId="77777777" w:rsidR="00B2148F" w:rsidRPr="005045BF" w:rsidRDefault="00B2148F" w:rsidP="00A928E8">
      <w:pPr>
        <w:jc w:val="both"/>
        <w:rPr>
          <w:rFonts w:ascii="Arial" w:hAnsi="Arial" w:cs="Arial"/>
          <w:sz w:val="22"/>
          <w:szCs w:val="22"/>
          <w:highlight w:val="yellow"/>
        </w:rPr>
      </w:pPr>
    </w:p>
    <w:p w14:paraId="072163B0" w14:textId="34D65148" w:rsidR="003829CE" w:rsidRPr="005045BF" w:rsidRDefault="003829CE" w:rsidP="004A130B">
      <w:pPr>
        <w:spacing w:before="100" w:beforeAutospacing="1" w:after="100" w:afterAutospacing="1"/>
        <w:rPr>
          <w:highlight w:val="yellow"/>
          <w:lang w:eastAsia="en-US"/>
        </w:rPr>
      </w:pPr>
    </w:p>
    <w:p w14:paraId="11B2AB39" w14:textId="7AA9ADCA" w:rsidR="00C30ACA" w:rsidRPr="005045BF" w:rsidRDefault="00C30ACA" w:rsidP="004A130B">
      <w:pPr>
        <w:spacing w:before="100" w:beforeAutospacing="1" w:after="100" w:afterAutospacing="1"/>
        <w:rPr>
          <w:highlight w:val="yellow"/>
          <w:lang w:eastAsia="en-US"/>
        </w:rPr>
      </w:pPr>
      <w:r w:rsidRPr="005045BF">
        <w:rPr>
          <w:noProof/>
        </w:rPr>
        <w:lastRenderedPageBreak/>
        <w:drawing>
          <wp:inline distT="0" distB="0" distL="0" distR="0" wp14:anchorId="5A7D25B4" wp14:editId="0133B953">
            <wp:extent cx="6120765" cy="1933575"/>
            <wp:effectExtent l="0" t="0" r="0" b="0"/>
            <wp:docPr id="40" name="Gráfico 40">
              <a:extLst xmlns:a="http://schemas.openxmlformats.org/drawingml/2006/main">
                <a:ext uri="{FF2B5EF4-FFF2-40B4-BE49-F238E27FC236}">
                  <a16:creationId xmlns:a16="http://schemas.microsoft.com/office/drawing/2014/main" id="{FEF3B582-E622-4C52-8B64-660A54976A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6F9FAC1" w14:textId="309B37F0" w:rsidR="00084F23" w:rsidRPr="005045BF" w:rsidRDefault="005E6490" w:rsidP="00591AE3">
      <w:pPr>
        <w:jc w:val="both"/>
        <w:rPr>
          <w:rFonts w:ascii="Arial" w:hAnsi="Arial" w:cs="Arial"/>
          <w:sz w:val="22"/>
          <w:szCs w:val="22"/>
        </w:rPr>
      </w:pPr>
      <w:r w:rsidRPr="005045BF">
        <w:rPr>
          <w:rFonts w:ascii="Arial" w:hAnsi="Arial" w:cs="Arial"/>
          <w:sz w:val="22"/>
          <w:szCs w:val="22"/>
        </w:rPr>
        <w:t xml:space="preserve">Por otra parte, se </w:t>
      </w:r>
      <w:r w:rsidR="00A156BE" w:rsidRPr="005045BF">
        <w:rPr>
          <w:rFonts w:ascii="Arial" w:hAnsi="Arial" w:cs="Arial"/>
          <w:sz w:val="22"/>
          <w:szCs w:val="22"/>
        </w:rPr>
        <w:t>realizó un análisis teniendo</w:t>
      </w:r>
      <w:r w:rsidR="00BA0883" w:rsidRPr="005045BF">
        <w:rPr>
          <w:rFonts w:ascii="Arial" w:hAnsi="Arial" w:cs="Arial"/>
          <w:sz w:val="22"/>
          <w:szCs w:val="22"/>
        </w:rPr>
        <w:t xml:space="preserve"> en cuenta</w:t>
      </w:r>
      <w:r w:rsidR="00A156BE" w:rsidRPr="005045BF">
        <w:rPr>
          <w:rFonts w:ascii="Arial" w:hAnsi="Arial" w:cs="Arial"/>
          <w:sz w:val="22"/>
          <w:szCs w:val="22"/>
        </w:rPr>
        <w:t xml:space="preserve"> la </w:t>
      </w:r>
      <w:r w:rsidRPr="005045BF">
        <w:rPr>
          <w:rFonts w:ascii="Arial" w:hAnsi="Arial" w:cs="Arial"/>
          <w:sz w:val="22"/>
          <w:szCs w:val="22"/>
        </w:rPr>
        <w:t xml:space="preserve">cantidad de </w:t>
      </w:r>
      <w:r w:rsidR="00694E63" w:rsidRPr="005045BF">
        <w:rPr>
          <w:rFonts w:ascii="Arial" w:hAnsi="Arial" w:cs="Arial"/>
          <w:sz w:val="22"/>
          <w:szCs w:val="22"/>
        </w:rPr>
        <w:t xml:space="preserve">viáticos y </w:t>
      </w:r>
      <w:r w:rsidRPr="005045BF">
        <w:rPr>
          <w:rFonts w:ascii="Arial" w:hAnsi="Arial" w:cs="Arial"/>
          <w:sz w:val="22"/>
          <w:szCs w:val="22"/>
        </w:rPr>
        <w:t>pasajes</w:t>
      </w:r>
      <w:r w:rsidR="00694E63" w:rsidRPr="005045BF">
        <w:rPr>
          <w:rFonts w:ascii="Arial" w:hAnsi="Arial" w:cs="Arial"/>
          <w:sz w:val="22"/>
          <w:szCs w:val="22"/>
        </w:rPr>
        <w:t xml:space="preserve"> aéreos</w:t>
      </w:r>
      <w:r w:rsidR="00A156BE" w:rsidRPr="005045BF">
        <w:rPr>
          <w:rFonts w:ascii="Arial" w:hAnsi="Arial" w:cs="Arial"/>
          <w:sz w:val="22"/>
          <w:szCs w:val="22"/>
        </w:rPr>
        <w:t xml:space="preserve"> </w:t>
      </w:r>
      <w:r w:rsidR="00BA0883" w:rsidRPr="005045BF">
        <w:rPr>
          <w:rFonts w:ascii="Arial" w:hAnsi="Arial" w:cs="Arial"/>
          <w:sz w:val="22"/>
          <w:szCs w:val="22"/>
        </w:rPr>
        <w:t xml:space="preserve">par </w:t>
      </w:r>
      <w:r w:rsidR="00A156BE" w:rsidRPr="005045BF">
        <w:rPr>
          <w:rFonts w:ascii="Arial" w:hAnsi="Arial" w:cs="Arial"/>
          <w:sz w:val="22"/>
          <w:szCs w:val="22"/>
        </w:rPr>
        <w:t>funcionarios</w:t>
      </w:r>
      <w:r w:rsidR="00591AE3" w:rsidRPr="005045BF">
        <w:rPr>
          <w:rFonts w:ascii="Arial" w:hAnsi="Arial" w:cs="Arial"/>
          <w:sz w:val="22"/>
          <w:szCs w:val="22"/>
        </w:rPr>
        <w:t xml:space="preserve"> y contratistas</w:t>
      </w:r>
      <w:r w:rsidR="00A156BE" w:rsidRPr="005045BF">
        <w:rPr>
          <w:rFonts w:ascii="Arial" w:hAnsi="Arial" w:cs="Arial"/>
          <w:sz w:val="22"/>
          <w:szCs w:val="22"/>
        </w:rPr>
        <w:t xml:space="preserve"> autorizados</w:t>
      </w:r>
      <w:r w:rsidRPr="005045BF">
        <w:rPr>
          <w:rFonts w:ascii="Arial" w:hAnsi="Arial" w:cs="Arial"/>
          <w:sz w:val="22"/>
          <w:szCs w:val="22"/>
        </w:rPr>
        <w:t xml:space="preserve"> para los meses de </w:t>
      </w:r>
      <w:r w:rsidR="00366C7A" w:rsidRPr="005045BF">
        <w:rPr>
          <w:rFonts w:ascii="Arial" w:hAnsi="Arial" w:cs="Arial"/>
          <w:sz w:val="22"/>
          <w:szCs w:val="22"/>
        </w:rPr>
        <w:t xml:space="preserve">enero, febrero </w:t>
      </w:r>
      <w:r w:rsidR="00E7415C" w:rsidRPr="005045BF">
        <w:rPr>
          <w:rFonts w:ascii="Arial" w:hAnsi="Arial" w:cs="Arial"/>
          <w:sz w:val="22"/>
          <w:szCs w:val="22"/>
        </w:rPr>
        <w:t>y</w:t>
      </w:r>
      <w:r w:rsidR="00A156BE" w:rsidRPr="005045BF">
        <w:rPr>
          <w:rFonts w:ascii="Arial" w:hAnsi="Arial" w:cs="Arial"/>
          <w:sz w:val="22"/>
          <w:szCs w:val="22"/>
        </w:rPr>
        <w:t xml:space="preserve"> </w:t>
      </w:r>
      <w:r w:rsidR="00366C7A" w:rsidRPr="005045BF">
        <w:rPr>
          <w:rFonts w:ascii="Arial" w:hAnsi="Arial" w:cs="Arial"/>
          <w:sz w:val="22"/>
          <w:szCs w:val="22"/>
        </w:rPr>
        <w:t xml:space="preserve">marzo </w:t>
      </w:r>
      <w:r w:rsidR="00414C78" w:rsidRPr="005045BF">
        <w:rPr>
          <w:rFonts w:ascii="Arial" w:hAnsi="Arial" w:cs="Arial"/>
          <w:sz w:val="22"/>
          <w:szCs w:val="22"/>
        </w:rPr>
        <w:t>de 20</w:t>
      </w:r>
      <w:r w:rsidR="00366C7A" w:rsidRPr="005045BF">
        <w:rPr>
          <w:rFonts w:ascii="Arial" w:hAnsi="Arial" w:cs="Arial"/>
          <w:sz w:val="22"/>
          <w:szCs w:val="22"/>
        </w:rPr>
        <w:t>20</w:t>
      </w:r>
      <w:r w:rsidR="00414C78" w:rsidRPr="005045BF">
        <w:rPr>
          <w:rFonts w:ascii="Arial" w:hAnsi="Arial" w:cs="Arial"/>
          <w:sz w:val="22"/>
          <w:szCs w:val="22"/>
        </w:rPr>
        <w:t xml:space="preserve"> -</w:t>
      </w:r>
      <w:r w:rsidR="00B51062" w:rsidRPr="005045BF">
        <w:rPr>
          <w:rFonts w:ascii="Arial" w:hAnsi="Arial" w:cs="Arial"/>
          <w:sz w:val="22"/>
          <w:szCs w:val="22"/>
        </w:rPr>
        <w:t xml:space="preserve"> </w:t>
      </w:r>
      <w:r w:rsidR="00414C78" w:rsidRPr="005045BF">
        <w:rPr>
          <w:rFonts w:ascii="Arial" w:hAnsi="Arial" w:cs="Arial"/>
          <w:sz w:val="22"/>
          <w:szCs w:val="22"/>
        </w:rPr>
        <w:t>201</w:t>
      </w:r>
      <w:r w:rsidR="00366C7A" w:rsidRPr="005045BF">
        <w:rPr>
          <w:rFonts w:ascii="Arial" w:hAnsi="Arial" w:cs="Arial"/>
          <w:sz w:val="22"/>
          <w:szCs w:val="22"/>
        </w:rPr>
        <w:t>9</w:t>
      </w:r>
      <w:r w:rsidR="00414C78" w:rsidRPr="005045BF">
        <w:rPr>
          <w:rFonts w:ascii="Arial" w:hAnsi="Arial" w:cs="Arial"/>
          <w:sz w:val="22"/>
          <w:szCs w:val="22"/>
        </w:rPr>
        <w:t xml:space="preserve">, </w:t>
      </w:r>
      <w:r w:rsidRPr="005045BF">
        <w:rPr>
          <w:rFonts w:ascii="Arial" w:hAnsi="Arial" w:cs="Arial"/>
          <w:sz w:val="22"/>
          <w:szCs w:val="22"/>
        </w:rPr>
        <w:t xml:space="preserve">así: </w:t>
      </w:r>
    </w:p>
    <w:p w14:paraId="1A2E9BB9" w14:textId="3B95D3C8" w:rsidR="009863D8" w:rsidRPr="005045BF" w:rsidRDefault="009863D8" w:rsidP="00FF2728">
      <w:pPr>
        <w:rPr>
          <w:rFonts w:ascii="Arial" w:hAnsi="Arial" w:cs="Arial"/>
          <w:sz w:val="22"/>
          <w:szCs w:val="22"/>
          <w:highlight w:val="yellow"/>
        </w:rPr>
      </w:pPr>
    </w:p>
    <w:tbl>
      <w:tblPr>
        <w:tblStyle w:val="Tablaconcuadrcula1clara-nfasis1"/>
        <w:tblW w:w="10201" w:type="dxa"/>
        <w:tblLayout w:type="fixed"/>
        <w:tblLook w:val="04A0" w:firstRow="1" w:lastRow="0" w:firstColumn="1" w:lastColumn="0" w:noHBand="0" w:noVBand="1"/>
      </w:tblPr>
      <w:tblGrid>
        <w:gridCol w:w="1129"/>
        <w:gridCol w:w="1134"/>
        <w:gridCol w:w="1134"/>
        <w:gridCol w:w="1134"/>
        <w:gridCol w:w="567"/>
        <w:gridCol w:w="993"/>
        <w:gridCol w:w="1134"/>
        <w:gridCol w:w="1134"/>
        <w:gridCol w:w="1134"/>
        <w:gridCol w:w="708"/>
      </w:tblGrid>
      <w:tr w:rsidR="003B277C" w:rsidRPr="001C6C9A" w14:paraId="1597A11F" w14:textId="77777777" w:rsidTr="00345E91">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98" w:type="dxa"/>
            <w:gridSpan w:val="5"/>
            <w:shd w:val="clear" w:color="auto" w:fill="4F81BD" w:themeFill="accent1"/>
            <w:vAlign w:val="center"/>
          </w:tcPr>
          <w:p w14:paraId="597088F3" w14:textId="1E9FC538" w:rsidR="003B277C" w:rsidRPr="001C6C9A" w:rsidRDefault="00981485" w:rsidP="00301B8F">
            <w:pPr>
              <w:spacing w:before="40" w:after="60"/>
              <w:ind w:right="-57"/>
              <w:jc w:val="center"/>
              <w:rPr>
                <w:rFonts w:ascii="Arial" w:hAnsi="Arial" w:cs="Arial"/>
                <w:b w:val="0"/>
                <w:bCs w:val="0"/>
                <w:color w:val="FFFFFF" w:themeColor="background1"/>
                <w:sz w:val="18"/>
                <w:szCs w:val="18"/>
              </w:rPr>
            </w:pPr>
            <w:r w:rsidRPr="001C6C9A">
              <w:rPr>
                <w:rFonts w:ascii="Arial" w:hAnsi="Arial" w:cs="Arial"/>
                <w:b w:val="0"/>
                <w:bCs w:val="0"/>
                <w:color w:val="FFFFFF" w:themeColor="background1"/>
                <w:sz w:val="18"/>
                <w:szCs w:val="18"/>
              </w:rPr>
              <w:t xml:space="preserve">Variación </w:t>
            </w:r>
            <w:r w:rsidR="003B277C" w:rsidRPr="001C6C9A">
              <w:rPr>
                <w:rFonts w:ascii="Arial" w:hAnsi="Arial" w:cs="Arial"/>
                <w:b w:val="0"/>
                <w:bCs w:val="0"/>
                <w:color w:val="FFFFFF" w:themeColor="background1"/>
                <w:sz w:val="18"/>
                <w:szCs w:val="18"/>
              </w:rPr>
              <w:t xml:space="preserve">Pasajes </w:t>
            </w:r>
            <w:r w:rsidR="008273EA" w:rsidRPr="001C6C9A">
              <w:rPr>
                <w:rFonts w:ascii="Arial" w:hAnsi="Arial" w:cs="Arial"/>
                <w:b w:val="0"/>
                <w:bCs w:val="0"/>
                <w:color w:val="FFFFFF" w:themeColor="background1"/>
                <w:sz w:val="18"/>
                <w:szCs w:val="18"/>
              </w:rPr>
              <w:t>Aéreos I</w:t>
            </w:r>
            <w:r w:rsidR="003536EB" w:rsidRPr="001C6C9A">
              <w:rPr>
                <w:rFonts w:ascii="Arial" w:hAnsi="Arial" w:cs="Arial"/>
                <w:b w:val="0"/>
                <w:bCs w:val="0"/>
                <w:color w:val="FFFFFF" w:themeColor="background1"/>
                <w:sz w:val="18"/>
                <w:szCs w:val="18"/>
              </w:rPr>
              <w:t xml:space="preserve"> </w:t>
            </w:r>
            <w:r w:rsidRPr="001C6C9A">
              <w:rPr>
                <w:rFonts w:ascii="Arial" w:hAnsi="Arial" w:cs="Arial"/>
                <w:b w:val="0"/>
                <w:bCs w:val="0"/>
                <w:color w:val="FFFFFF" w:themeColor="background1"/>
                <w:sz w:val="18"/>
                <w:szCs w:val="18"/>
              </w:rPr>
              <w:t>Trimestre 20</w:t>
            </w:r>
            <w:r w:rsidR="003536EB" w:rsidRPr="001C6C9A">
              <w:rPr>
                <w:rFonts w:ascii="Arial" w:hAnsi="Arial" w:cs="Arial"/>
                <w:b w:val="0"/>
                <w:bCs w:val="0"/>
                <w:color w:val="FFFFFF" w:themeColor="background1"/>
                <w:sz w:val="18"/>
                <w:szCs w:val="18"/>
              </w:rPr>
              <w:t>20</w:t>
            </w:r>
            <w:r w:rsidRPr="001C6C9A">
              <w:rPr>
                <w:rFonts w:ascii="Arial" w:hAnsi="Arial" w:cs="Arial"/>
                <w:b w:val="0"/>
                <w:bCs w:val="0"/>
                <w:color w:val="FFFFFF" w:themeColor="background1"/>
                <w:sz w:val="18"/>
                <w:szCs w:val="18"/>
              </w:rPr>
              <w:t xml:space="preserve"> - </w:t>
            </w:r>
            <w:r w:rsidR="003B277C" w:rsidRPr="001C6C9A">
              <w:rPr>
                <w:rFonts w:ascii="Arial" w:hAnsi="Arial" w:cs="Arial"/>
                <w:b w:val="0"/>
                <w:bCs w:val="0"/>
                <w:color w:val="FFFFFF" w:themeColor="background1"/>
                <w:sz w:val="18"/>
                <w:szCs w:val="18"/>
              </w:rPr>
              <w:t>201</w:t>
            </w:r>
            <w:r w:rsidR="003536EB" w:rsidRPr="001C6C9A">
              <w:rPr>
                <w:rFonts w:ascii="Arial" w:hAnsi="Arial" w:cs="Arial"/>
                <w:b w:val="0"/>
                <w:bCs w:val="0"/>
                <w:color w:val="FFFFFF" w:themeColor="background1"/>
                <w:sz w:val="18"/>
                <w:szCs w:val="18"/>
              </w:rPr>
              <w:t>9</w:t>
            </w:r>
          </w:p>
        </w:tc>
        <w:tc>
          <w:tcPr>
            <w:tcW w:w="5103" w:type="dxa"/>
            <w:gridSpan w:val="5"/>
            <w:shd w:val="clear" w:color="auto" w:fill="4F81BD" w:themeFill="accent1"/>
            <w:vAlign w:val="center"/>
          </w:tcPr>
          <w:p w14:paraId="4D42C54B" w14:textId="335A0A7B" w:rsidR="003B277C" w:rsidRPr="001C6C9A" w:rsidRDefault="00F709DD" w:rsidP="00301B8F">
            <w:pPr>
              <w:spacing w:before="40" w:after="60"/>
              <w:ind w:left="-57" w:right="-57"/>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1C6C9A">
              <w:rPr>
                <w:rFonts w:ascii="Arial" w:hAnsi="Arial" w:cs="Arial"/>
                <w:b w:val="0"/>
                <w:bCs w:val="0"/>
                <w:color w:val="FFFFFF" w:themeColor="background1"/>
                <w:sz w:val="18"/>
                <w:szCs w:val="18"/>
              </w:rPr>
              <w:t>Variación de Viátic</w:t>
            </w:r>
            <w:r w:rsidR="00981485" w:rsidRPr="001C6C9A">
              <w:rPr>
                <w:rFonts w:ascii="Arial" w:hAnsi="Arial" w:cs="Arial"/>
                <w:b w:val="0"/>
                <w:bCs w:val="0"/>
                <w:color w:val="FFFFFF" w:themeColor="background1"/>
                <w:sz w:val="18"/>
                <w:szCs w:val="18"/>
              </w:rPr>
              <w:t xml:space="preserve">os </w:t>
            </w:r>
            <w:r w:rsidRPr="001C6C9A">
              <w:rPr>
                <w:rFonts w:ascii="Arial" w:hAnsi="Arial" w:cs="Arial"/>
                <w:b w:val="0"/>
                <w:bCs w:val="0"/>
                <w:color w:val="FFFFFF" w:themeColor="background1"/>
                <w:sz w:val="18"/>
                <w:szCs w:val="18"/>
              </w:rPr>
              <w:t>I</w:t>
            </w:r>
            <w:r w:rsidR="00575BAD" w:rsidRPr="001C6C9A">
              <w:rPr>
                <w:rFonts w:ascii="Arial" w:hAnsi="Arial" w:cs="Arial"/>
                <w:b w:val="0"/>
                <w:bCs w:val="0"/>
                <w:color w:val="FFFFFF" w:themeColor="background1"/>
                <w:sz w:val="18"/>
                <w:szCs w:val="18"/>
              </w:rPr>
              <w:t xml:space="preserve"> </w:t>
            </w:r>
            <w:r w:rsidR="003B277C" w:rsidRPr="001C6C9A">
              <w:rPr>
                <w:rFonts w:ascii="Arial" w:hAnsi="Arial" w:cs="Arial"/>
                <w:b w:val="0"/>
                <w:bCs w:val="0"/>
                <w:color w:val="FFFFFF" w:themeColor="background1"/>
                <w:sz w:val="18"/>
                <w:szCs w:val="18"/>
              </w:rPr>
              <w:t>Trimestre 20</w:t>
            </w:r>
            <w:r w:rsidR="003536EB" w:rsidRPr="001C6C9A">
              <w:rPr>
                <w:rFonts w:ascii="Arial" w:hAnsi="Arial" w:cs="Arial"/>
                <w:b w:val="0"/>
                <w:bCs w:val="0"/>
                <w:color w:val="FFFFFF" w:themeColor="background1"/>
                <w:sz w:val="18"/>
                <w:szCs w:val="18"/>
              </w:rPr>
              <w:t>20</w:t>
            </w:r>
            <w:r w:rsidR="003B277C" w:rsidRPr="001C6C9A">
              <w:rPr>
                <w:rFonts w:ascii="Arial" w:hAnsi="Arial" w:cs="Arial"/>
                <w:b w:val="0"/>
                <w:bCs w:val="0"/>
                <w:color w:val="FFFFFF" w:themeColor="background1"/>
                <w:sz w:val="18"/>
                <w:szCs w:val="18"/>
              </w:rPr>
              <w:t xml:space="preserve"> -201</w:t>
            </w:r>
            <w:r w:rsidR="003536EB" w:rsidRPr="001C6C9A">
              <w:rPr>
                <w:rFonts w:ascii="Arial" w:hAnsi="Arial" w:cs="Arial"/>
                <w:b w:val="0"/>
                <w:bCs w:val="0"/>
                <w:color w:val="FFFFFF" w:themeColor="background1"/>
                <w:sz w:val="18"/>
                <w:szCs w:val="18"/>
              </w:rPr>
              <w:t>9</w:t>
            </w:r>
          </w:p>
        </w:tc>
      </w:tr>
      <w:tr w:rsidR="003536EB" w:rsidRPr="001C6C9A" w14:paraId="70DD7F68"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750CD1B0" w14:textId="77777777" w:rsidR="003536EB" w:rsidRPr="001C6C9A" w:rsidRDefault="003536EB" w:rsidP="00301B8F">
            <w:pPr>
              <w:spacing w:before="40" w:after="60"/>
              <w:ind w:right="-57"/>
              <w:jc w:val="center"/>
              <w:rPr>
                <w:rFonts w:ascii="Arial" w:hAnsi="Arial" w:cs="Arial"/>
                <w:color w:val="FFFFFF" w:themeColor="background1"/>
                <w:sz w:val="18"/>
                <w:szCs w:val="18"/>
              </w:rPr>
            </w:pPr>
            <w:r w:rsidRPr="001C6C9A">
              <w:rPr>
                <w:rFonts w:ascii="Arial" w:hAnsi="Arial" w:cs="Arial"/>
                <w:color w:val="FFFFFF" w:themeColor="background1"/>
                <w:sz w:val="18"/>
                <w:szCs w:val="18"/>
              </w:rPr>
              <w:t>Concepto</w:t>
            </w:r>
          </w:p>
        </w:tc>
        <w:tc>
          <w:tcPr>
            <w:tcW w:w="1134" w:type="dxa"/>
            <w:vMerge w:val="restart"/>
            <w:shd w:val="clear" w:color="auto" w:fill="4F81BD" w:themeFill="accent1"/>
            <w:vAlign w:val="center"/>
            <w:hideMark/>
          </w:tcPr>
          <w:p w14:paraId="07D54C52" w14:textId="0E847F66" w:rsidR="003536EB" w:rsidRPr="001C6C9A" w:rsidRDefault="003536E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Ene-20</w:t>
            </w:r>
          </w:p>
        </w:tc>
        <w:tc>
          <w:tcPr>
            <w:tcW w:w="1134" w:type="dxa"/>
            <w:vMerge w:val="restart"/>
            <w:shd w:val="clear" w:color="auto" w:fill="4F81BD" w:themeFill="accent1"/>
            <w:vAlign w:val="center"/>
            <w:hideMark/>
          </w:tcPr>
          <w:p w14:paraId="1CDD912D" w14:textId="4EB33ED7" w:rsidR="003536EB" w:rsidRPr="001C6C9A" w:rsidRDefault="003536E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Ene-19</w:t>
            </w:r>
          </w:p>
        </w:tc>
        <w:tc>
          <w:tcPr>
            <w:tcW w:w="1701" w:type="dxa"/>
            <w:gridSpan w:val="2"/>
            <w:shd w:val="clear" w:color="auto" w:fill="4F81BD" w:themeFill="accent1"/>
            <w:vAlign w:val="center"/>
            <w:hideMark/>
          </w:tcPr>
          <w:p w14:paraId="7B172557" w14:textId="77777777" w:rsidR="003536EB" w:rsidRPr="001C6C9A" w:rsidRDefault="003536E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xml:space="preserve">Variación </w:t>
            </w:r>
          </w:p>
        </w:tc>
        <w:tc>
          <w:tcPr>
            <w:tcW w:w="993" w:type="dxa"/>
            <w:vMerge w:val="restart"/>
            <w:shd w:val="clear" w:color="auto" w:fill="4F81BD" w:themeFill="accent1"/>
            <w:vAlign w:val="center"/>
            <w:hideMark/>
          </w:tcPr>
          <w:p w14:paraId="42006B13" w14:textId="77777777"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2518841B" w14:textId="66AF0C5A" w:rsidR="003536EB" w:rsidRPr="001C6C9A" w:rsidRDefault="003536E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Ene-20</w:t>
            </w:r>
          </w:p>
        </w:tc>
        <w:tc>
          <w:tcPr>
            <w:tcW w:w="1134" w:type="dxa"/>
            <w:vMerge w:val="restart"/>
            <w:shd w:val="clear" w:color="auto" w:fill="4F81BD" w:themeFill="accent1"/>
            <w:vAlign w:val="center"/>
            <w:hideMark/>
          </w:tcPr>
          <w:p w14:paraId="3890CF3C" w14:textId="2E77C446" w:rsidR="003536EB" w:rsidRPr="001C6C9A" w:rsidRDefault="003536E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Ene-19</w:t>
            </w:r>
          </w:p>
        </w:tc>
        <w:tc>
          <w:tcPr>
            <w:tcW w:w="1842" w:type="dxa"/>
            <w:gridSpan w:val="2"/>
            <w:shd w:val="clear" w:color="auto" w:fill="4F81BD" w:themeFill="accent1"/>
            <w:vAlign w:val="center"/>
            <w:hideMark/>
          </w:tcPr>
          <w:p w14:paraId="266AF8F4" w14:textId="77777777"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xml:space="preserve">Variación </w:t>
            </w:r>
          </w:p>
        </w:tc>
      </w:tr>
      <w:tr w:rsidR="00C33C2E" w:rsidRPr="001C6C9A" w14:paraId="004B6C45"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7C6D9FA8" w14:textId="77777777" w:rsidR="00566D8B" w:rsidRPr="001C6C9A" w:rsidRDefault="00566D8B" w:rsidP="00301B8F">
            <w:pPr>
              <w:spacing w:before="40" w:after="60"/>
              <w:ind w:right="-57"/>
              <w:rPr>
                <w:rFonts w:ascii="Arial" w:hAnsi="Arial" w:cs="Arial"/>
                <w:color w:val="FFFFFF" w:themeColor="background1"/>
                <w:sz w:val="18"/>
                <w:szCs w:val="18"/>
              </w:rPr>
            </w:pPr>
          </w:p>
        </w:tc>
        <w:tc>
          <w:tcPr>
            <w:tcW w:w="1134" w:type="dxa"/>
            <w:vMerge/>
            <w:shd w:val="clear" w:color="auto" w:fill="4F81BD" w:themeFill="accent1"/>
            <w:vAlign w:val="center"/>
            <w:hideMark/>
          </w:tcPr>
          <w:p w14:paraId="1492D902" w14:textId="77777777" w:rsidR="00566D8B" w:rsidRPr="001C6C9A" w:rsidRDefault="00566D8B" w:rsidP="00301B8F">
            <w:pPr>
              <w:spacing w:before="40" w:after="60"/>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09BE7A2" w14:textId="77777777" w:rsidR="00566D8B" w:rsidRPr="001C6C9A" w:rsidRDefault="00566D8B" w:rsidP="00301B8F">
            <w:pPr>
              <w:spacing w:before="40" w:after="60"/>
              <w:ind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58121DBF" w14:textId="77777777" w:rsidR="00566D8B" w:rsidRPr="001C6C9A" w:rsidRDefault="00566D8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567" w:type="dxa"/>
            <w:shd w:val="clear" w:color="auto" w:fill="4F81BD" w:themeFill="accent1"/>
            <w:vAlign w:val="center"/>
            <w:hideMark/>
          </w:tcPr>
          <w:p w14:paraId="4A0C17CE" w14:textId="77777777" w:rsidR="00566D8B" w:rsidRPr="001C6C9A" w:rsidRDefault="00566D8B"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c>
          <w:tcPr>
            <w:tcW w:w="993" w:type="dxa"/>
            <w:vMerge/>
            <w:shd w:val="clear" w:color="auto" w:fill="4F81BD" w:themeFill="accent1"/>
            <w:vAlign w:val="center"/>
            <w:hideMark/>
          </w:tcPr>
          <w:p w14:paraId="4CFA177F"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31643EED"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DCED121"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3239C052"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708" w:type="dxa"/>
            <w:shd w:val="clear" w:color="auto" w:fill="4F81BD" w:themeFill="accent1"/>
            <w:vAlign w:val="center"/>
            <w:hideMark/>
          </w:tcPr>
          <w:p w14:paraId="6C93E1D4"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r>
      <w:tr w:rsidR="00345E91" w:rsidRPr="001C6C9A" w14:paraId="15A356E3"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6885360E"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Pasajes $</w:t>
            </w:r>
          </w:p>
        </w:tc>
        <w:tc>
          <w:tcPr>
            <w:tcW w:w="1134" w:type="dxa"/>
            <w:vAlign w:val="center"/>
          </w:tcPr>
          <w:p w14:paraId="5977B09F" w14:textId="23712AF5" w:rsidR="00345E91" w:rsidRPr="001C6C9A" w:rsidRDefault="00345E91" w:rsidP="00301B8F">
            <w:pPr>
              <w:spacing w:before="40" w:after="60"/>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43.972.775 </w:t>
            </w:r>
          </w:p>
        </w:tc>
        <w:tc>
          <w:tcPr>
            <w:tcW w:w="1134" w:type="dxa"/>
            <w:vAlign w:val="center"/>
          </w:tcPr>
          <w:p w14:paraId="5FBF9D73" w14:textId="65511F23" w:rsidR="00345E91" w:rsidRPr="001C6C9A" w:rsidRDefault="00345E91" w:rsidP="00301B8F">
            <w:pPr>
              <w:spacing w:before="40" w:after="60"/>
              <w:ind w:left="-113"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43.540.672</w:t>
            </w:r>
          </w:p>
        </w:tc>
        <w:tc>
          <w:tcPr>
            <w:tcW w:w="1134" w:type="dxa"/>
            <w:vAlign w:val="center"/>
          </w:tcPr>
          <w:p w14:paraId="55082EE0" w14:textId="74245FD2" w:rsidR="00345E91" w:rsidRPr="001C6C9A" w:rsidRDefault="00345E91" w:rsidP="001C6C9A">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432.103</w:t>
            </w:r>
          </w:p>
        </w:tc>
        <w:tc>
          <w:tcPr>
            <w:tcW w:w="567" w:type="dxa"/>
            <w:vAlign w:val="center"/>
          </w:tcPr>
          <w:p w14:paraId="35FB2902" w14:textId="327D00E3" w:rsidR="00345E91" w:rsidRPr="001C6C9A" w:rsidRDefault="00345E91" w:rsidP="001C6C9A">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1%</w:t>
            </w:r>
          </w:p>
        </w:tc>
        <w:tc>
          <w:tcPr>
            <w:tcW w:w="993" w:type="dxa"/>
            <w:vAlign w:val="center"/>
            <w:hideMark/>
          </w:tcPr>
          <w:p w14:paraId="7F60FF33"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Viáticos $</w:t>
            </w:r>
          </w:p>
        </w:tc>
        <w:tc>
          <w:tcPr>
            <w:tcW w:w="1134" w:type="dxa"/>
            <w:vAlign w:val="center"/>
          </w:tcPr>
          <w:p w14:paraId="472B40B0" w14:textId="7537F579" w:rsidR="00345E91" w:rsidRPr="001C6C9A" w:rsidRDefault="00345E91" w:rsidP="00301B8F">
            <w:pPr>
              <w:spacing w:before="40" w:after="60"/>
              <w:ind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38.022.202 </w:t>
            </w:r>
          </w:p>
        </w:tc>
        <w:tc>
          <w:tcPr>
            <w:tcW w:w="1134" w:type="dxa"/>
            <w:vAlign w:val="center"/>
          </w:tcPr>
          <w:p w14:paraId="615D6ED6" w14:textId="39EC17ED" w:rsidR="00345E91" w:rsidRPr="001C6C9A" w:rsidRDefault="00345E91"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40.706.385 </w:t>
            </w:r>
          </w:p>
        </w:tc>
        <w:tc>
          <w:tcPr>
            <w:tcW w:w="1134" w:type="dxa"/>
            <w:vAlign w:val="center"/>
          </w:tcPr>
          <w:p w14:paraId="5871EBD8" w14:textId="01AC3154" w:rsidR="00345E91" w:rsidRPr="001C6C9A" w:rsidRDefault="00345E91" w:rsidP="00301B8F">
            <w:pPr>
              <w:spacing w:before="40" w:after="6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(2.684.182)</w:t>
            </w:r>
          </w:p>
        </w:tc>
        <w:tc>
          <w:tcPr>
            <w:tcW w:w="708" w:type="dxa"/>
            <w:vAlign w:val="center"/>
          </w:tcPr>
          <w:p w14:paraId="2571B116" w14:textId="37052257"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(7%)</w:t>
            </w:r>
          </w:p>
        </w:tc>
      </w:tr>
      <w:tr w:rsidR="00345E91" w:rsidRPr="001C6C9A" w14:paraId="71B82FCB"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48F74A"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Cantidad Pasajeros </w:t>
            </w:r>
          </w:p>
        </w:tc>
        <w:tc>
          <w:tcPr>
            <w:tcW w:w="1134" w:type="dxa"/>
            <w:vAlign w:val="center"/>
          </w:tcPr>
          <w:p w14:paraId="2843ADE6" w14:textId="3C6F7523" w:rsidR="00345E91" w:rsidRPr="001C6C9A" w:rsidRDefault="00345E91"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51</w:t>
            </w:r>
          </w:p>
        </w:tc>
        <w:tc>
          <w:tcPr>
            <w:tcW w:w="1134" w:type="dxa"/>
            <w:vAlign w:val="center"/>
          </w:tcPr>
          <w:p w14:paraId="47730621" w14:textId="5C74B0CD"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41</w:t>
            </w:r>
          </w:p>
        </w:tc>
        <w:tc>
          <w:tcPr>
            <w:tcW w:w="1134" w:type="dxa"/>
            <w:vAlign w:val="center"/>
          </w:tcPr>
          <w:p w14:paraId="22BEF4F6" w14:textId="03AF8D8E" w:rsidR="00345E91" w:rsidRPr="001C6C9A" w:rsidRDefault="00345E91" w:rsidP="001C6C9A">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10</w:t>
            </w:r>
          </w:p>
        </w:tc>
        <w:tc>
          <w:tcPr>
            <w:tcW w:w="567" w:type="dxa"/>
            <w:vAlign w:val="center"/>
          </w:tcPr>
          <w:p w14:paraId="12C83419" w14:textId="00D640CE" w:rsidR="00345E91" w:rsidRPr="001C6C9A" w:rsidRDefault="00345E91" w:rsidP="001C6C9A">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24%</w:t>
            </w:r>
          </w:p>
        </w:tc>
        <w:tc>
          <w:tcPr>
            <w:tcW w:w="993" w:type="dxa"/>
            <w:vAlign w:val="center"/>
            <w:hideMark/>
          </w:tcPr>
          <w:p w14:paraId="25835570"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Cantidad Viáticos</w:t>
            </w:r>
          </w:p>
        </w:tc>
        <w:tc>
          <w:tcPr>
            <w:tcW w:w="1134" w:type="dxa"/>
            <w:vAlign w:val="center"/>
          </w:tcPr>
          <w:p w14:paraId="3A715F90" w14:textId="7DF2681F"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83</w:t>
            </w:r>
          </w:p>
        </w:tc>
        <w:tc>
          <w:tcPr>
            <w:tcW w:w="1134" w:type="dxa"/>
            <w:vAlign w:val="center"/>
          </w:tcPr>
          <w:p w14:paraId="2A6BE1CB" w14:textId="57915FAD"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60</w:t>
            </w:r>
          </w:p>
        </w:tc>
        <w:tc>
          <w:tcPr>
            <w:tcW w:w="1134" w:type="dxa"/>
            <w:vAlign w:val="center"/>
          </w:tcPr>
          <w:p w14:paraId="07C1F15B" w14:textId="7F1057C5"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23</w:t>
            </w:r>
          </w:p>
        </w:tc>
        <w:tc>
          <w:tcPr>
            <w:tcW w:w="708" w:type="dxa"/>
            <w:vAlign w:val="center"/>
          </w:tcPr>
          <w:p w14:paraId="3654E3E9" w14:textId="31041E4C"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38%</w:t>
            </w:r>
          </w:p>
        </w:tc>
      </w:tr>
      <w:tr w:rsidR="003536EB" w:rsidRPr="001C6C9A" w14:paraId="1BE7BFFB"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20E69E5" w14:textId="77777777" w:rsidR="003536EB" w:rsidRPr="001C6C9A" w:rsidRDefault="003536EB" w:rsidP="00301B8F">
            <w:pPr>
              <w:spacing w:before="40" w:after="60"/>
              <w:ind w:left="-113" w:right="-57"/>
              <w:jc w:val="center"/>
              <w:rPr>
                <w:rFonts w:ascii="Arial" w:hAnsi="Arial" w:cs="Arial"/>
                <w:color w:val="FFFFFF" w:themeColor="background1"/>
                <w:sz w:val="18"/>
                <w:szCs w:val="18"/>
              </w:rPr>
            </w:pPr>
            <w:r w:rsidRPr="001C6C9A">
              <w:rPr>
                <w:rFonts w:ascii="Arial" w:hAnsi="Arial" w:cs="Arial"/>
                <w:color w:val="FFFFFF" w:themeColor="background1"/>
                <w:sz w:val="18"/>
                <w:szCs w:val="18"/>
              </w:rPr>
              <w:t>Concepto</w:t>
            </w:r>
          </w:p>
        </w:tc>
        <w:tc>
          <w:tcPr>
            <w:tcW w:w="1134" w:type="dxa"/>
            <w:vMerge w:val="restart"/>
            <w:shd w:val="clear" w:color="auto" w:fill="4F81BD" w:themeFill="accent1"/>
            <w:vAlign w:val="center"/>
            <w:hideMark/>
          </w:tcPr>
          <w:p w14:paraId="3E014671" w14:textId="146E863F"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Feb-20</w:t>
            </w:r>
          </w:p>
        </w:tc>
        <w:tc>
          <w:tcPr>
            <w:tcW w:w="1134" w:type="dxa"/>
            <w:vMerge w:val="restart"/>
            <w:shd w:val="clear" w:color="auto" w:fill="4F81BD" w:themeFill="accent1"/>
            <w:vAlign w:val="center"/>
            <w:hideMark/>
          </w:tcPr>
          <w:p w14:paraId="51F82522" w14:textId="19926688"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Feb-19</w:t>
            </w:r>
          </w:p>
        </w:tc>
        <w:tc>
          <w:tcPr>
            <w:tcW w:w="1701" w:type="dxa"/>
            <w:gridSpan w:val="2"/>
            <w:shd w:val="clear" w:color="auto" w:fill="4F81BD" w:themeFill="accent1"/>
            <w:vAlign w:val="center"/>
            <w:hideMark/>
          </w:tcPr>
          <w:p w14:paraId="37B55927" w14:textId="017EAF9E"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Variación</w:t>
            </w:r>
          </w:p>
        </w:tc>
        <w:tc>
          <w:tcPr>
            <w:tcW w:w="993" w:type="dxa"/>
            <w:vMerge w:val="restart"/>
            <w:shd w:val="clear" w:color="auto" w:fill="4F81BD" w:themeFill="accent1"/>
            <w:vAlign w:val="center"/>
            <w:hideMark/>
          </w:tcPr>
          <w:p w14:paraId="4329F1CD" w14:textId="77777777"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B2E2E00" w14:textId="0A4BD554"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Feb-20</w:t>
            </w:r>
          </w:p>
        </w:tc>
        <w:tc>
          <w:tcPr>
            <w:tcW w:w="1134" w:type="dxa"/>
            <w:vMerge w:val="restart"/>
            <w:shd w:val="clear" w:color="auto" w:fill="4F81BD" w:themeFill="accent1"/>
            <w:vAlign w:val="center"/>
            <w:hideMark/>
          </w:tcPr>
          <w:p w14:paraId="75A77862" w14:textId="32A75111"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Feb-19</w:t>
            </w:r>
          </w:p>
        </w:tc>
        <w:tc>
          <w:tcPr>
            <w:tcW w:w="1842" w:type="dxa"/>
            <w:gridSpan w:val="2"/>
            <w:shd w:val="clear" w:color="auto" w:fill="4F81BD" w:themeFill="accent1"/>
            <w:vAlign w:val="center"/>
            <w:hideMark/>
          </w:tcPr>
          <w:p w14:paraId="34C24542" w14:textId="2D6E1245"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Variación</w:t>
            </w:r>
          </w:p>
        </w:tc>
      </w:tr>
      <w:tr w:rsidR="00C33C2E" w:rsidRPr="001C6C9A" w14:paraId="1580DF54"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24BCD335" w14:textId="77777777" w:rsidR="00566D8B" w:rsidRPr="001C6C9A" w:rsidRDefault="00566D8B" w:rsidP="00301B8F">
            <w:pPr>
              <w:spacing w:before="40" w:after="60"/>
              <w:ind w:left="-113" w:right="-57"/>
              <w:rPr>
                <w:rFonts w:ascii="Arial" w:hAnsi="Arial" w:cs="Arial"/>
                <w:color w:val="FFFFFF" w:themeColor="background1"/>
                <w:sz w:val="18"/>
                <w:szCs w:val="18"/>
              </w:rPr>
            </w:pPr>
          </w:p>
        </w:tc>
        <w:tc>
          <w:tcPr>
            <w:tcW w:w="1134" w:type="dxa"/>
            <w:vMerge/>
            <w:shd w:val="clear" w:color="auto" w:fill="4F81BD" w:themeFill="accent1"/>
            <w:vAlign w:val="center"/>
            <w:hideMark/>
          </w:tcPr>
          <w:p w14:paraId="7AFF559E" w14:textId="77777777" w:rsidR="00566D8B" w:rsidRPr="001C6C9A" w:rsidRDefault="00566D8B" w:rsidP="00301B8F">
            <w:pPr>
              <w:spacing w:before="40" w:after="6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30848589" w14:textId="77777777" w:rsidR="00566D8B" w:rsidRPr="001C6C9A" w:rsidRDefault="00566D8B" w:rsidP="00301B8F">
            <w:pPr>
              <w:spacing w:before="40" w:after="6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6703AB6A" w14:textId="77777777" w:rsidR="00566D8B" w:rsidRPr="001C6C9A" w:rsidRDefault="00566D8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567" w:type="dxa"/>
            <w:shd w:val="clear" w:color="auto" w:fill="4F81BD" w:themeFill="accent1"/>
            <w:vAlign w:val="center"/>
            <w:hideMark/>
          </w:tcPr>
          <w:p w14:paraId="12D3E8C3" w14:textId="77777777" w:rsidR="00566D8B" w:rsidRPr="001C6C9A" w:rsidRDefault="00566D8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c>
          <w:tcPr>
            <w:tcW w:w="993" w:type="dxa"/>
            <w:vMerge/>
            <w:shd w:val="clear" w:color="auto" w:fill="4F81BD" w:themeFill="accent1"/>
            <w:vAlign w:val="center"/>
            <w:hideMark/>
          </w:tcPr>
          <w:p w14:paraId="66953FDA"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6BF852F"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7C6520A1"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4EA1C868"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708" w:type="dxa"/>
            <w:shd w:val="clear" w:color="auto" w:fill="4F81BD" w:themeFill="accent1"/>
            <w:vAlign w:val="center"/>
            <w:hideMark/>
          </w:tcPr>
          <w:p w14:paraId="2F922ACE"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r>
      <w:tr w:rsidR="00345E91" w:rsidRPr="001C6C9A" w14:paraId="4CFDB87B"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045FBA"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Pasajes $</w:t>
            </w:r>
          </w:p>
        </w:tc>
        <w:tc>
          <w:tcPr>
            <w:tcW w:w="1134" w:type="dxa"/>
            <w:vAlign w:val="center"/>
          </w:tcPr>
          <w:p w14:paraId="1ED91D9E" w14:textId="4F976CAE" w:rsidR="00345E91" w:rsidRPr="001C6C9A" w:rsidRDefault="00345E91"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54.312.052</w:t>
            </w:r>
          </w:p>
        </w:tc>
        <w:tc>
          <w:tcPr>
            <w:tcW w:w="1134" w:type="dxa"/>
            <w:vAlign w:val="center"/>
          </w:tcPr>
          <w:p w14:paraId="0A51EEF9" w14:textId="7F31241A"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49.421.224</w:t>
            </w:r>
          </w:p>
        </w:tc>
        <w:tc>
          <w:tcPr>
            <w:tcW w:w="1134" w:type="dxa"/>
            <w:vAlign w:val="center"/>
          </w:tcPr>
          <w:p w14:paraId="04497F42" w14:textId="7DFCC545"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b/>
                <w:bCs/>
                <w:color w:val="0F243E" w:themeColor="text2" w:themeShade="80"/>
                <w:sz w:val="18"/>
                <w:szCs w:val="18"/>
              </w:rPr>
              <w:t>4.890.828</w:t>
            </w:r>
          </w:p>
        </w:tc>
        <w:tc>
          <w:tcPr>
            <w:tcW w:w="567" w:type="dxa"/>
            <w:vAlign w:val="center"/>
          </w:tcPr>
          <w:p w14:paraId="12A3AE51" w14:textId="6528D0BD"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b/>
                <w:bCs/>
                <w:color w:val="0F243E" w:themeColor="text2" w:themeShade="80"/>
                <w:sz w:val="18"/>
                <w:szCs w:val="18"/>
              </w:rPr>
              <w:t>10%</w:t>
            </w:r>
          </w:p>
        </w:tc>
        <w:tc>
          <w:tcPr>
            <w:tcW w:w="993" w:type="dxa"/>
            <w:vAlign w:val="center"/>
            <w:hideMark/>
          </w:tcPr>
          <w:p w14:paraId="2C631AC4"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Viáticos $</w:t>
            </w:r>
          </w:p>
        </w:tc>
        <w:tc>
          <w:tcPr>
            <w:tcW w:w="1134" w:type="dxa"/>
            <w:vAlign w:val="center"/>
          </w:tcPr>
          <w:p w14:paraId="710693A9" w14:textId="2E0B5ED3" w:rsidR="00345E91" w:rsidRPr="001C6C9A" w:rsidRDefault="00345E91"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 xml:space="preserve"> 42.197.050 </w:t>
            </w:r>
          </w:p>
        </w:tc>
        <w:tc>
          <w:tcPr>
            <w:tcW w:w="1134" w:type="dxa"/>
            <w:vAlign w:val="center"/>
          </w:tcPr>
          <w:p w14:paraId="245BBF05" w14:textId="1D843F21" w:rsidR="00345E91" w:rsidRPr="001C6C9A" w:rsidRDefault="00345E91"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 xml:space="preserve">35.154.102 </w:t>
            </w:r>
          </w:p>
        </w:tc>
        <w:tc>
          <w:tcPr>
            <w:tcW w:w="1134" w:type="dxa"/>
            <w:vAlign w:val="center"/>
          </w:tcPr>
          <w:p w14:paraId="6EBBE9C5" w14:textId="7DE2FD03"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7.042.948</w:t>
            </w:r>
          </w:p>
        </w:tc>
        <w:tc>
          <w:tcPr>
            <w:tcW w:w="708" w:type="dxa"/>
            <w:vAlign w:val="center"/>
          </w:tcPr>
          <w:p w14:paraId="3A042B4B" w14:textId="0811697C"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20%</w:t>
            </w:r>
          </w:p>
        </w:tc>
      </w:tr>
      <w:tr w:rsidR="00345E91" w:rsidRPr="001C6C9A" w14:paraId="144C506D"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C9B3787"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Cantidad Pasajeros</w:t>
            </w:r>
          </w:p>
        </w:tc>
        <w:tc>
          <w:tcPr>
            <w:tcW w:w="1134" w:type="dxa"/>
            <w:vAlign w:val="center"/>
          </w:tcPr>
          <w:p w14:paraId="29ADFEA6" w14:textId="5DA3F41F" w:rsidR="00345E91" w:rsidRPr="001C6C9A" w:rsidRDefault="00345E91"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84</w:t>
            </w:r>
          </w:p>
        </w:tc>
        <w:tc>
          <w:tcPr>
            <w:tcW w:w="1134" w:type="dxa"/>
            <w:vAlign w:val="center"/>
          </w:tcPr>
          <w:p w14:paraId="130F0085" w14:textId="588DDA40"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85</w:t>
            </w:r>
          </w:p>
        </w:tc>
        <w:tc>
          <w:tcPr>
            <w:tcW w:w="1134" w:type="dxa"/>
            <w:vAlign w:val="center"/>
          </w:tcPr>
          <w:p w14:paraId="4193BC78" w14:textId="20CFD9B0"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b/>
                <w:bCs/>
                <w:color w:val="0F243E" w:themeColor="text2" w:themeShade="80"/>
                <w:sz w:val="18"/>
                <w:szCs w:val="18"/>
              </w:rPr>
              <w:t>(1)</w:t>
            </w:r>
          </w:p>
        </w:tc>
        <w:tc>
          <w:tcPr>
            <w:tcW w:w="567" w:type="dxa"/>
            <w:vAlign w:val="center"/>
          </w:tcPr>
          <w:p w14:paraId="5BB20C60" w14:textId="23A0C2D0"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b/>
                <w:bCs/>
                <w:color w:val="0F243E" w:themeColor="text2" w:themeShade="80"/>
                <w:sz w:val="18"/>
                <w:szCs w:val="18"/>
              </w:rPr>
              <w:t>(1%)</w:t>
            </w:r>
          </w:p>
        </w:tc>
        <w:tc>
          <w:tcPr>
            <w:tcW w:w="993" w:type="dxa"/>
            <w:vAlign w:val="center"/>
            <w:hideMark/>
          </w:tcPr>
          <w:p w14:paraId="5891B556"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Cantidad Viáticos</w:t>
            </w:r>
          </w:p>
        </w:tc>
        <w:tc>
          <w:tcPr>
            <w:tcW w:w="1134" w:type="dxa"/>
            <w:vAlign w:val="center"/>
          </w:tcPr>
          <w:p w14:paraId="68E684BF" w14:textId="1F08643C"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117</w:t>
            </w:r>
          </w:p>
        </w:tc>
        <w:tc>
          <w:tcPr>
            <w:tcW w:w="1134" w:type="dxa"/>
            <w:vAlign w:val="center"/>
          </w:tcPr>
          <w:p w14:paraId="6E7F91CA" w14:textId="1FFA0F64"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101</w:t>
            </w:r>
          </w:p>
        </w:tc>
        <w:tc>
          <w:tcPr>
            <w:tcW w:w="1134" w:type="dxa"/>
            <w:vAlign w:val="center"/>
          </w:tcPr>
          <w:p w14:paraId="2F08DCA2" w14:textId="572D2EA4"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16</w:t>
            </w:r>
          </w:p>
        </w:tc>
        <w:tc>
          <w:tcPr>
            <w:tcW w:w="708" w:type="dxa"/>
            <w:vAlign w:val="center"/>
          </w:tcPr>
          <w:p w14:paraId="0204FC36" w14:textId="7B633612" w:rsidR="00345E91" w:rsidRPr="001C6C9A" w:rsidRDefault="00345E91" w:rsidP="001C6C9A">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16%</w:t>
            </w:r>
          </w:p>
        </w:tc>
      </w:tr>
      <w:tr w:rsidR="003536EB" w:rsidRPr="001C6C9A" w14:paraId="5F856479"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val="restart"/>
            <w:shd w:val="clear" w:color="auto" w:fill="4F81BD" w:themeFill="accent1"/>
            <w:vAlign w:val="center"/>
            <w:hideMark/>
          </w:tcPr>
          <w:p w14:paraId="4EB630E7" w14:textId="77777777" w:rsidR="003536EB" w:rsidRPr="001C6C9A" w:rsidRDefault="003536EB" w:rsidP="00301B8F">
            <w:pPr>
              <w:spacing w:before="40" w:after="60"/>
              <w:ind w:left="-113" w:right="-57"/>
              <w:jc w:val="center"/>
              <w:rPr>
                <w:rFonts w:ascii="Arial" w:hAnsi="Arial" w:cs="Arial"/>
                <w:color w:val="FFFFFF" w:themeColor="background1"/>
                <w:sz w:val="18"/>
                <w:szCs w:val="18"/>
              </w:rPr>
            </w:pPr>
            <w:r w:rsidRPr="001C6C9A">
              <w:rPr>
                <w:rFonts w:ascii="Arial" w:hAnsi="Arial" w:cs="Arial"/>
                <w:color w:val="FFFFFF" w:themeColor="background1"/>
                <w:sz w:val="18"/>
                <w:szCs w:val="18"/>
              </w:rPr>
              <w:t>Concepto</w:t>
            </w:r>
          </w:p>
        </w:tc>
        <w:tc>
          <w:tcPr>
            <w:tcW w:w="1134" w:type="dxa"/>
            <w:vMerge w:val="restart"/>
            <w:shd w:val="clear" w:color="auto" w:fill="4F81BD" w:themeFill="accent1"/>
            <w:vAlign w:val="center"/>
            <w:hideMark/>
          </w:tcPr>
          <w:p w14:paraId="3E7EED74" w14:textId="5555D60B"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Mar-20</w:t>
            </w:r>
          </w:p>
        </w:tc>
        <w:tc>
          <w:tcPr>
            <w:tcW w:w="1134" w:type="dxa"/>
            <w:vMerge w:val="restart"/>
            <w:shd w:val="clear" w:color="auto" w:fill="4F81BD" w:themeFill="accent1"/>
            <w:vAlign w:val="center"/>
            <w:hideMark/>
          </w:tcPr>
          <w:p w14:paraId="26684552" w14:textId="1A732782"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Mar-19</w:t>
            </w:r>
          </w:p>
        </w:tc>
        <w:tc>
          <w:tcPr>
            <w:tcW w:w="1701" w:type="dxa"/>
            <w:gridSpan w:val="2"/>
            <w:shd w:val="clear" w:color="auto" w:fill="4F81BD" w:themeFill="accent1"/>
            <w:vAlign w:val="center"/>
            <w:hideMark/>
          </w:tcPr>
          <w:p w14:paraId="09382DE3" w14:textId="7423EDBA"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Variación</w:t>
            </w:r>
          </w:p>
        </w:tc>
        <w:tc>
          <w:tcPr>
            <w:tcW w:w="993" w:type="dxa"/>
            <w:vMerge w:val="restart"/>
            <w:shd w:val="clear" w:color="auto" w:fill="4F81BD" w:themeFill="accent1"/>
            <w:vAlign w:val="center"/>
            <w:hideMark/>
          </w:tcPr>
          <w:p w14:paraId="4B4521CD" w14:textId="77777777"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Concepto</w:t>
            </w:r>
          </w:p>
        </w:tc>
        <w:tc>
          <w:tcPr>
            <w:tcW w:w="1134" w:type="dxa"/>
            <w:vMerge w:val="restart"/>
            <w:shd w:val="clear" w:color="auto" w:fill="4F81BD" w:themeFill="accent1"/>
            <w:vAlign w:val="center"/>
            <w:hideMark/>
          </w:tcPr>
          <w:p w14:paraId="362E8220" w14:textId="485E8F68"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Mar-20</w:t>
            </w:r>
          </w:p>
        </w:tc>
        <w:tc>
          <w:tcPr>
            <w:tcW w:w="1134" w:type="dxa"/>
            <w:vMerge w:val="restart"/>
            <w:shd w:val="clear" w:color="auto" w:fill="4F81BD" w:themeFill="accent1"/>
            <w:vAlign w:val="center"/>
            <w:hideMark/>
          </w:tcPr>
          <w:p w14:paraId="3142D87F" w14:textId="020045B4" w:rsidR="003536EB" w:rsidRPr="001C6C9A" w:rsidRDefault="003536E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Mar-19</w:t>
            </w:r>
          </w:p>
        </w:tc>
        <w:tc>
          <w:tcPr>
            <w:tcW w:w="1842" w:type="dxa"/>
            <w:gridSpan w:val="2"/>
            <w:shd w:val="clear" w:color="auto" w:fill="4F81BD" w:themeFill="accent1"/>
            <w:vAlign w:val="center"/>
            <w:hideMark/>
          </w:tcPr>
          <w:p w14:paraId="6C7855ED" w14:textId="72BFBC2D" w:rsidR="003536EB" w:rsidRPr="001C6C9A" w:rsidRDefault="003536E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Variación</w:t>
            </w:r>
          </w:p>
        </w:tc>
      </w:tr>
      <w:tr w:rsidR="00C33C2E" w:rsidRPr="001C6C9A" w14:paraId="7DF72023"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Merge/>
            <w:shd w:val="clear" w:color="auto" w:fill="4F81BD" w:themeFill="accent1"/>
            <w:vAlign w:val="center"/>
            <w:hideMark/>
          </w:tcPr>
          <w:p w14:paraId="1B6C6E12" w14:textId="77777777" w:rsidR="00566D8B" w:rsidRPr="001C6C9A" w:rsidRDefault="00566D8B" w:rsidP="00301B8F">
            <w:pPr>
              <w:spacing w:before="40" w:after="60"/>
              <w:ind w:left="-113" w:right="-57"/>
              <w:rPr>
                <w:rFonts w:ascii="Arial" w:hAnsi="Arial" w:cs="Arial"/>
                <w:color w:val="FFFFFF" w:themeColor="background1"/>
                <w:sz w:val="18"/>
                <w:szCs w:val="18"/>
              </w:rPr>
            </w:pPr>
          </w:p>
        </w:tc>
        <w:tc>
          <w:tcPr>
            <w:tcW w:w="1134" w:type="dxa"/>
            <w:vMerge/>
            <w:shd w:val="clear" w:color="auto" w:fill="4F81BD" w:themeFill="accent1"/>
            <w:vAlign w:val="center"/>
            <w:hideMark/>
          </w:tcPr>
          <w:p w14:paraId="29C76289" w14:textId="77777777" w:rsidR="00566D8B" w:rsidRPr="001C6C9A" w:rsidRDefault="00566D8B" w:rsidP="00301B8F">
            <w:pPr>
              <w:spacing w:before="40" w:after="6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611BEBDF" w14:textId="77777777" w:rsidR="00566D8B" w:rsidRPr="001C6C9A" w:rsidRDefault="00566D8B" w:rsidP="00301B8F">
            <w:pPr>
              <w:spacing w:before="40" w:after="60"/>
              <w:ind w:left="-113"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0734BC82" w14:textId="77777777" w:rsidR="00566D8B" w:rsidRPr="001C6C9A" w:rsidRDefault="00566D8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567" w:type="dxa"/>
            <w:shd w:val="clear" w:color="auto" w:fill="4F81BD" w:themeFill="accent1"/>
            <w:vAlign w:val="center"/>
            <w:hideMark/>
          </w:tcPr>
          <w:p w14:paraId="0D306953" w14:textId="77777777" w:rsidR="00566D8B" w:rsidRPr="001C6C9A" w:rsidRDefault="00566D8B"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c>
          <w:tcPr>
            <w:tcW w:w="993" w:type="dxa"/>
            <w:vMerge/>
            <w:shd w:val="clear" w:color="auto" w:fill="4F81BD" w:themeFill="accent1"/>
            <w:vAlign w:val="center"/>
            <w:hideMark/>
          </w:tcPr>
          <w:p w14:paraId="15453B12"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1BF7D192"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vMerge/>
            <w:shd w:val="clear" w:color="auto" w:fill="4F81BD" w:themeFill="accent1"/>
            <w:vAlign w:val="center"/>
            <w:hideMark/>
          </w:tcPr>
          <w:p w14:paraId="0D2F9214" w14:textId="77777777" w:rsidR="00566D8B" w:rsidRPr="001C6C9A" w:rsidRDefault="00566D8B"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p>
        </w:tc>
        <w:tc>
          <w:tcPr>
            <w:tcW w:w="1134" w:type="dxa"/>
            <w:shd w:val="clear" w:color="auto" w:fill="4F81BD" w:themeFill="accent1"/>
            <w:vAlign w:val="center"/>
            <w:hideMark/>
          </w:tcPr>
          <w:p w14:paraId="7503BA0B"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 /#</w:t>
            </w:r>
          </w:p>
        </w:tc>
        <w:tc>
          <w:tcPr>
            <w:tcW w:w="708" w:type="dxa"/>
            <w:shd w:val="clear" w:color="auto" w:fill="4F81BD" w:themeFill="accent1"/>
            <w:vAlign w:val="center"/>
            <w:hideMark/>
          </w:tcPr>
          <w:p w14:paraId="2B051B5A" w14:textId="77777777" w:rsidR="00566D8B" w:rsidRPr="001C6C9A" w:rsidRDefault="00566D8B"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1C6C9A">
              <w:rPr>
                <w:rFonts w:ascii="Arial" w:hAnsi="Arial" w:cs="Arial"/>
                <w:b/>
                <w:bCs/>
                <w:color w:val="FFFFFF" w:themeColor="background1"/>
                <w:sz w:val="18"/>
                <w:szCs w:val="18"/>
              </w:rPr>
              <w:t>%</w:t>
            </w:r>
          </w:p>
        </w:tc>
      </w:tr>
      <w:tr w:rsidR="00345E91" w:rsidRPr="001C6C9A" w14:paraId="78F04C7F"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C98D3C2"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Pasajes $</w:t>
            </w:r>
          </w:p>
        </w:tc>
        <w:tc>
          <w:tcPr>
            <w:tcW w:w="1134" w:type="dxa"/>
            <w:vAlign w:val="center"/>
          </w:tcPr>
          <w:p w14:paraId="5E006276" w14:textId="00D9A85F" w:rsidR="00345E91" w:rsidRPr="001C6C9A" w:rsidRDefault="00345E91" w:rsidP="00301B8F">
            <w:pPr>
              <w:spacing w:before="40" w:after="60"/>
              <w:ind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39.729.959 </w:t>
            </w:r>
          </w:p>
        </w:tc>
        <w:tc>
          <w:tcPr>
            <w:tcW w:w="1134" w:type="dxa"/>
            <w:vAlign w:val="center"/>
          </w:tcPr>
          <w:p w14:paraId="4FCE306B" w14:textId="679C05E3" w:rsidR="00345E91" w:rsidRPr="001C6C9A" w:rsidRDefault="00345E91" w:rsidP="00301B8F">
            <w:pPr>
              <w:spacing w:before="40" w:after="60"/>
              <w:ind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 xml:space="preserve">70.764.625 </w:t>
            </w:r>
          </w:p>
        </w:tc>
        <w:tc>
          <w:tcPr>
            <w:tcW w:w="1134" w:type="dxa"/>
            <w:vAlign w:val="center"/>
          </w:tcPr>
          <w:p w14:paraId="342453C3" w14:textId="439CC1E1"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(31.034.666)</w:t>
            </w:r>
          </w:p>
        </w:tc>
        <w:tc>
          <w:tcPr>
            <w:tcW w:w="567" w:type="dxa"/>
            <w:vAlign w:val="center"/>
          </w:tcPr>
          <w:p w14:paraId="70AE1FFA" w14:textId="2D1523CD"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(44%)</w:t>
            </w:r>
          </w:p>
        </w:tc>
        <w:tc>
          <w:tcPr>
            <w:tcW w:w="993" w:type="dxa"/>
            <w:vAlign w:val="center"/>
            <w:hideMark/>
          </w:tcPr>
          <w:p w14:paraId="630DA63D"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Viáticos $</w:t>
            </w:r>
          </w:p>
        </w:tc>
        <w:tc>
          <w:tcPr>
            <w:tcW w:w="1134" w:type="dxa"/>
            <w:vAlign w:val="center"/>
          </w:tcPr>
          <w:p w14:paraId="1DAF6C12" w14:textId="442A5130" w:rsidR="00345E91" w:rsidRPr="001C6C9A" w:rsidRDefault="00345E91"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 xml:space="preserve"> 20.803.974 </w:t>
            </w:r>
          </w:p>
        </w:tc>
        <w:tc>
          <w:tcPr>
            <w:tcW w:w="1134" w:type="dxa"/>
            <w:vAlign w:val="center"/>
          </w:tcPr>
          <w:p w14:paraId="6DD1B651" w14:textId="2AD7A341" w:rsidR="00345E91" w:rsidRPr="001C6C9A" w:rsidRDefault="00345E91" w:rsidP="00301B8F">
            <w:pPr>
              <w:spacing w:before="40" w:after="60"/>
              <w:ind w:left="-57" w:right="-57"/>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 xml:space="preserve"> 55.322.306 </w:t>
            </w:r>
          </w:p>
        </w:tc>
        <w:tc>
          <w:tcPr>
            <w:tcW w:w="1134" w:type="dxa"/>
            <w:vAlign w:val="center"/>
          </w:tcPr>
          <w:p w14:paraId="214C4214" w14:textId="34632E04" w:rsidR="00345E91" w:rsidRPr="001C6C9A" w:rsidRDefault="00345E91" w:rsidP="00301B8F">
            <w:pPr>
              <w:spacing w:before="40" w:after="6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(34.518.332)</w:t>
            </w:r>
          </w:p>
        </w:tc>
        <w:tc>
          <w:tcPr>
            <w:tcW w:w="708" w:type="dxa"/>
            <w:vAlign w:val="center"/>
          </w:tcPr>
          <w:p w14:paraId="058FCE77" w14:textId="2E37AF0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(62%)</w:t>
            </w:r>
          </w:p>
        </w:tc>
      </w:tr>
      <w:tr w:rsidR="00345E91" w:rsidRPr="001C6C9A" w14:paraId="475D3621" w14:textId="77777777" w:rsidTr="00345E91">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5B396DA" w14:textId="77777777" w:rsidR="00345E91" w:rsidRPr="001C6C9A" w:rsidRDefault="00345E91" w:rsidP="00301B8F">
            <w:pPr>
              <w:spacing w:before="40" w:after="60"/>
              <w:ind w:left="-113" w:right="-57"/>
              <w:jc w:val="center"/>
              <w:rPr>
                <w:rFonts w:ascii="Arial" w:hAnsi="Arial" w:cs="Arial"/>
                <w:color w:val="0F243E" w:themeColor="text2" w:themeShade="80"/>
                <w:sz w:val="18"/>
                <w:szCs w:val="18"/>
              </w:rPr>
            </w:pPr>
            <w:r w:rsidRPr="001C6C9A">
              <w:rPr>
                <w:rFonts w:ascii="Arial" w:hAnsi="Arial" w:cs="Arial"/>
                <w:color w:val="0F243E" w:themeColor="text2" w:themeShade="80"/>
                <w:sz w:val="18"/>
                <w:szCs w:val="18"/>
              </w:rPr>
              <w:t>Cantidad Pasajeros</w:t>
            </w:r>
          </w:p>
        </w:tc>
        <w:tc>
          <w:tcPr>
            <w:tcW w:w="1134" w:type="dxa"/>
            <w:vAlign w:val="center"/>
          </w:tcPr>
          <w:p w14:paraId="45AF06A2" w14:textId="067AB5A1" w:rsidR="00345E91" w:rsidRPr="001C6C9A" w:rsidRDefault="00345E91" w:rsidP="00301B8F">
            <w:pPr>
              <w:spacing w:before="40" w:after="60"/>
              <w:ind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52</w:t>
            </w:r>
          </w:p>
        </w:tc>
        <w:tc>
          <w:tcPr>
            <w:tcW w:w="1134" w:type="dxa"/>
            <w:vAlign w:val="center"/>
          </w:tcPr>
          <w:p w14:paraId="669E3BBB" w14:textId="65FB693A"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F243E" w:themeColor="text2" w:themeShade="80"/>
                <w:sz w:val="18"/>
                <w:szCs w:val="18"/>
              </w:rPr>
              <w:t>87</w:t>
            </w:r>
          </w:p>
        </w:tc>
        <w:tc>
          <w:tcPr>
            <w:tcW w:w="1134" w:type="dxa"/>
            <w:vAlign w:val="center"/>
          </w:tcPr>
          <w:p w14:paraId="5F666EB1" w14:textId="79691119"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(35)</w:t>
            </w:r>
          </w:p>
        </w:tc>
        <w:tc>
          <w:tcPr>
            <w:tcW w:w="567" w:type="dxa"/>
            <w:vAlign w:val="center"/>
          </w:tcPr>
          <w:p w14:paraId="77B15C81" w14:textId="5947DC64" w:rsidR="00345E91" w:rsidRPr="001C6C9A" w:rsidRDefault="00345E91" w:rsidP="00301B8F">
            <w:pPr>
              <w:spacing w:before="40" w:after="60"/>
              <w:ind w:left="-113"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F243E" w:themeColor="text2" w:themeShade="80"/>
                <w:sz w:val="18"/>
                <w:szCs w:val="18"/>
              </w:rPr>
              <w:t>(40%)</w:t>
            </w:r>
          </w:p>
        </w:tc>
        <w:tc>
          <w:tcPr>
            <w:tcW w:w="993" w:type="dxa"/>
            <w:vAlign w:val="center"/>
            <w:hideMark/>
          </w:tcPr>
          <w:p w14:paraId="6A36C9C1" w14:textId="77777777"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18"/>
                <w:szCs w:val="18"/>
              </w:rPr>
            </w:pPr>
            <w:r w:rsidRPr="001C6C9A">
              <w:rPr>
                <w:rFonts w:ascii="Arial" w:hAnsi="Arial" w:cs="Arial"/>
                <w:b/>
                <w:color w:val="0F243E" w:themeColor="text2" w:themeShade="80"/>
                <w:sz w:val="18"/>
                <w:szCs w:val="18"/>
              </w:rPr>
              <w:t>Cantidad Viáticos</w:t>
            </w:r>
          </w:p>
        </w:tc>
        <w:tc>
          <w:tcPr>
            <w:tcW w:w="1134" w:type="dxa"/>
            <w:vAlign w:val="center"/>
          </w:tcPr>
          <w:p w14:paraId="52E6EBEB" w14:textId="0227EDA5"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47</w:t>
            </w:r>
          </w:p>
        </w:tc>
        <w:tc>
          <w:tcPr>
            <w:tcW w:w="1134" w:type="dxa"/>
            <w:vAlign w:val="center"/>
          </w:tcPr>
          <w:p w14:paraId="7FF58B68" w14:textId="6FF43D5A"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1C6C9A">
              <w:rPr>
                <w:rFonts w:ascii="Arial" w:hAnsi="Arial" w:cs="Arial"/>
                <w:color w:val="000000"/>
                <w:sz w:val="18"/>
                <w:szCs w:val="18"/>
              </w:rPr>
              <w:t>118</w:t>
            </w:r>
          </w:p>
        </w:tc>
        <w:tc>
          <w:tcPr>
            <w:tcW w:w="1134" w:type="dxa"/>
            <w:vAlign w:val="center"/>
          </w:tcPr>
          <w:p w14:paraId="09F20A59" w14:textId="5C80CC19"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(71)</w:t>
            </w:r>
          </w:p>
        </w:tc>
        <w:tc>
          <w:tcPr>
            <w:tcW w:w="708" w:type="dxa"/>
            <w:vAlign w:val="center"/>
          </w:tcPr>
          <w:p w14:paraId="2583ABA9" w14:textId="35F0DF6E" w:rsidR="00345E91" w:rsidRPr="001C6C9A" w:rsidRDefault="00345E91" w:rsidP="00301B8F">
            <w:pPr>
              <w:spacing w:before="40" w:after="60"/>
              <w:ind w:left="-57" w:right="-57"/>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1C6C9A">
              <w:rPr>
                <w:rFonts w:ascii="Arial" w:hAnsi="Arial" w:cs="Arial"/>
                <w:b/>
                <w:bCs/>
                <w:color w:val="000000"/>
                <w:sz w:val="18"/>
                <w:szCs w:val="18"/>
              </w:rPr>
              <w:t>(60%)</w:t>
            </w:r>
          </w:p>
        </w:tc>
      </w:tr>
    </w:tbl>
    <w:tbl>
      <w:tblPr>
        <w:tblW w:w="12936" w:type="dxa"/>
        <w:tblCellMar>
          <w:left w:w="70" w:type="dxa"/>
          <w:right w:w="70" w:type="dxa"/>
        </w:tblCellMar>
        <w:tblLook w:val="04A0" w:firstRow="1" w:lastRow="0" w:firstColumn="1" w:lastColumn="0" w:noHBand="0" w:noVBand="1"/>
      </w:tblPr>
      <w:tblGrid>
        <w:gridCol w:w="1780"/>
        <w:gridCol w:w="1320"/>
        <w:gridCol w:w="1420"/>
        <w:gridCol w:w="1200"/>
        <w:gridCol w:w="1200"/>
        <w:gridCol w:w="1204"/>
        <w:gridCol w:w="1203"/>
        <w:gridCol w:w="1203"/>
        <w:gridCol w:w="1203"/>
        <w:gridCol w:w="1203"/>
      </w:tblGrid>
      <w:tr w:rsidR="005169D7" w:rsidRPr="005045BF" w14:paraId="257C90D0" w14:textId="77777777" w:rsidTr="00090183">
        <w:trPr>
          <w:trHeight w:val="300"/>
        </w:trPr>
        <w:tc>
          <w:tcPr>
            <w:tcW w:w="1780" w:type="dxa"/>
            <w:tcBorders>
              <w:top w:val="nil"/>
              <w:left w:val="nil"/>
              <w:bottom w:val="nil"/>
              <w:right w:val="nil"/>
            </w:tcBorders>
            <w:shd w:val="clear" w:color="auto" w:fill="auto"/>
            <w:noWrap/>
            <w:vAlign w:val="bottom"/>
            <w:hideMark/>
          </w:tcPr>
          <w:p w14:paraId="55F77DAF" w14:textId="6AC5433F" w:rsidR="005169D7" w:rsidRPr="005045BF" w:rsidRDefault="005169D7" w:rsidP="005169D7">
            <w:pPr>
              <w:rPr>
                <w:color w:val="0F243E" w:themeColor="text2" w:themeShade="80"/>
                <w:sz w:val="20"/>
                <w:szCs w:val="20"/>
                <w:highlight w:val="yellow"/>
              </w:rPr>
            </w:pPr>
          </w:p>
        </w:tc>
        <w:tc>
          <w:tcPr>
            <w:tcW w:w="1320" w:type="dxa"/>
            <w:tcBorders>
              <w:top w:val="nil"/>
              <w:left w:val="nil"/>
              <w:bottom w:val="nil"/>
              <w:right w:val="nil"/>
            </w:tcBorders>
            <w:shd w:val="clear" w:color="auto" w:fill="auto"/>
            <w:noWrap/>
            <w:vAlign w:val="bottom"/>
            <w:hideMark/>
          </w:tcPr>
          <w:p w14:paraId="129D73A6" w14:textId="2CB1BFA9" w:rsidR="005169D7" w:rsidRPr="005045BF" w:rsidRDefault="00301B8F" w:rsidP="005169D7">
            <w:pPr>
              <w:rPr>
                <w:sz w:val="20"/>
                <w:szCs w:val="20"/>
                <w:highlight w:val="yellow"/>
              </w:rPr>
            </w:pPr>
            <w:r w:rsidRPr="005045BF">
              <w:rPr>
                <w:rFonts w:ascii="Arial" w:hAnsi="Arial" w:cs="Arial"/>
                <w:noProof/>
                <w:color w:val="000000"/>
                <w:sz w:val="18"/>
                <w:szCs w:val="18"/>
              </w:rPr>
              <w:drawing>
                <wp:anchor distT="0" distB="0" distL="114300" distR="114300" simplePos="0" relativeHeight="252219392" behindDoc="0" locked="0" layoutInCell="1" allowOverlap="1" wp14:anchorId="4A0D85AD" wp14:editId="40E79BF0">
                  <wp:simplePos x="0" y="0"/>
                  <wp:positionH relativeFrom="margin">
                    <wp:posOffset>-1206500</wp:posOffset>
                  </wp:positionH>
                  <wp:positionV relativeFrom="paragraph">
                    <wp:posOffset>106680</wp:posOffset>
                  </wp:positionV>
                  <wp:extent cx="3219450" cy="2552700"/>
                  <wp:effectExtent l="0" t="0" r="0" b="0"/>
                  <wp:wrapNone/>
                  <wp:docPr id="42" name="Gráfico 42">
                    <a:extLst xmlns:a="http://schemas.openxmlformats.org/drawingml/2006/main">
                      <a:ext uri="{FF2B5EF4-FFF2-40B4-BE49-F238E27FC236}">
                        <a16:creationId xmlns:a16="http://schemas.microsoft.com/office/drawing/2014/main" id="{EE403B34-DE36-46C3-AF1C-E2FC1CF1EFFC}"/>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tc>
        <w:tc>
          <w:tcPr>
            <w:tcW w:w="1420" w:type="dxa"/>
            <w:tcBorders>
              <w:top w:val="nil"/>
              <w:left w:val="nil"/>
              <w:bottom w:val="nil"/>
              <w:right w:val="nil"/>
            </w:tcBorders>
            <w:shd w:val="clear" w:color="auto" w:fill="auto"/>
            <w:noWrap/>
            <w:vAlign w:val="bottom"/>
            <w:hideMark/>
          </w:tcPr>
          <w:p w14:paraId="3D6A6F50" w14:textId="77777777" w:rsidR="005169D7" w:rsidRPr="005045BF" w:rsidRDefault="005169D7" w:rsidP="005169D7">
            <w:pPr>
              <w:rPr>
                <w:sz w:val="20"/>
                <w:szCs w:val="20"/>
                <w:highlight w:val="yellow"/>
              </w:rPr>
            </w:pPr>
          </w:p>
        </w:tc>
        <w:tc>
          <w:tcPr>
            <w:tcW w:w="1200" w:type="dxa"/>
            <w:tcBorders>
              <w:top w:val="nil"/>
              <w:left w:val="nil"/>
              <w:bottom w:val="nil"/>
              <w:right w:val="nil"/>
            </w:tcBorders>
            <w:shd w:val="clear" w:color="auto" w:fill="auto"/>
            <w:noWrap/>
            <w:vAlign w:val="bottom"/>
            <w:hideMark/>
          </w:tcPr>
          <w:p w14:paraId="373D18E5" w14:textId="77777777" w:rsidR="005169D7" w:rsidRPr="005045BF" w:rsidRDefault="005169D7" w:rsidP="005169D7">
            <w:pPr>
              <w:rPr>
                <w:sz w:val="20"/>
                <w:szCs w:val="20"/>
                <w:highlight w:val="yellow"/>
              </w:rPr>
            </w:pPr>
          </w:p>
        </w:tc>
        <w:tc>
          <w:tcPr>
            <w:tcW w:w="1200" w:type="dxa"/>
            <w:tcBorders>
              <w:top w:val="nil"/>
              <w:left w:val="nil"/>
              <w:bottom w:val="nil"/>
              <w:right w:val="nil"/>
            </w:tcBorders>
            <w:shd w:val="clear" w:color="auto" w:fill="auto"/>
            <w:noWrap/>
            <w:vAlign w:val="bottom"/>
            <w:hideMark/>
          </w:tcPr>
          <w:p w14:paraId="3DF0D1F2" w14:textId="422991FD" w:rsidR="005169D7" w:rsidRPr="005045BF" w:rsidRDefault="005169D7" w:rsidP="005169D7">
            <w:pPr>
              <w:rPr>
                <w:sz w:val="20"/>
                <w:szCs w:val="20"/>
                <w:highlight w:val="yellow"/>
              </w:rPr>
            </w:pPr>
          </w:p>
        </w:tc>
        <w:tc>
          <w:tcPr>
            <w:tcW w:w="1204" w:type="dxa"/>
            <w:tcBorders>
              <w:top w:val="nil"/>
              <w:left w:val="nil"/>
              <w:bottom w:val="nil"/>
              <w:right w:val="nil"/>
            </w:tcBorders>
            <w:shd w:val="clear" w:color="auto" w:fill="auto"/>
            <w:noWrap/>
            <w:vAlign w:val="bottom"/>
            <w:hideMark/>
          </w:tcPr>
          <w:p w14:paraId="5AB31910" w14:textId="07E2A54D" w:rsidR="005169D7" w:rsidRPr="005045BF" w:rsidRDefault="00301B8F" w:rsidP="005169D7">
            <w:pPr>
              <w:rPr>
                <w:sz w:val="20"/>
                <w:szCs w:val="20"/>
                <w:highlight w:val="yellow"/>
              </w:rPr>
            </w:pPr>
            <w:r w:rsidRPr="005045BF">
              <w:rPr>
                <w:rFonts w:ascii="Calibri" w:hAnsi="Calibri"/>
                <w:noProof/>
                <w:color w:val="000000"/>
                <w:sz w:val="22"/>
                <w:szCs w:val="22"/>
              </w:rPr>
              <w:drawing>
                <wp:anchor distT="0" distB="0" distL="114300" distR="114300" simplePos="0" relativeHeight="252220416" behindDoc="0" locked="0" layoutInCell="1" allowOverlap="1" wp14:anchorId="03CE2D92" wp14:editId="2ED204A7">
                  <wp:simplePos x="0" y="0"/>
                  <wp:positionH relativeFrom="column">
                    <wp:posOffset>-1116330</wp:posOffset>
                  </wp:positionH>
                  <wp:positionV relativeFrom="paragraph">
                    <wp:posOffset>49530</wp:posOffset>
                  </wp:positionV>
                  <wp:extent cx="3133725" cy="2486025"/>
                  <wp:effectExtent l="0" t="0" r="0" b="0"/>
                  <wp:wrapNone/>
                  <wp:docPr id="41" name="Gráfico 41">
                    <a:extLst xmlns:a="http://schemas.openxmlformats.org/drawingml/2006/main">
                      <a:ext uri="{FF2B5EF4-FFF2-40B4-BE49-F238E27FC236}">
                        <a16:creationId xmlns:a16="http://schemas.microsoft.com/office/drawing/2014/main" id="{CC14D31F-C9C7-4D94-93C0-5EC6381F4947}"/>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tc>
        <w:tc>
          <w:tcPr>
            <w:tcW w:w="1203" w:type="dxa"/>
            <w:tcBorders>
              <w:top w:val="nil"/>
              <w:left w:val="nil"/>
              <w:bottom w:val="nil"/>
              <w:right w:val="nil"/>
            </w:tcBorders>
            <w:shd w:val="clear" w:color="auto" w:fill="auto"/>
            <w:noWrap/>
            <w:vAlign w:val="bottom"/>
            <w:hideMark/>
          </w:tcPr>
          <w:p w14:paraId="23D56716" w14:textId="77777777" w:rsidR="005169D7" w:rsidRPr="005045BF" w:rsidRDefault="005169D7" w:rsidP="005169D7">
            <w:pPr>
              <w:rPr>
                <w:sz w:val="20"/>
                <w:szCs w:val="20"/>
                <w:highlight w:val="yellow"/>
              </w:rPr>
            </w:pPr>
          </w:p>
        </w:tc>
        <w:tc>
          <w:tcPr>
            <w:tcW w:w="1203" w:type="dxa"/>
            <w:tcBorders>
              <w:top w:val="nil"/>
              <w:left w:val="nil"/>
              <w:bottom w:val="nil"/>
              <w:right w:val="nil"/>
            </w:tcBorders>
            <w:shd w:val="clear" w:color="auto" w:fill="auto"/>
            <w:noWrap/>
            <w:vAlign w:val="bottom"/>
            <w:hideMark/>
          </w:tcPr>
          <w:p w14:paraId="4CE07C86" w14:textId="77777777" w:rsidR="005169D7" w:rsidRPr="005045BF" w:rsidRDefault="005169D7" w:rsidP="005169D7">
            <w:pPr>
              <w:rPr>
                <w:sz w:val="20"/>
                <w:szCs w:val="20"/>
                <w:highlight w:val="yellow"/>
              </w:rPr>
            </w:pPr>
          </w:p>
        </w:tc>
        <w:tc>
          <w:tcPr>
            <w:tcW w:w="1203" w:type="dxa"/>
            <w:tcBorders>
              <w:top w:val="nil"/>
              <w:left w:val="nil"/>
              <w:bottom w:val="nil"/>
              <w:right w:val="nil"/>
            </w:tcBorders>
            <w:shd w:val="clear" w:color="auto" w:fill="auto"/>
            <w:noWrap/>
            <w:vAlign w:val="bottom"/>
            <w:hideMark/>
          </w:tcPr>
          <w:p w14:paraId="5B161019" w14:textId="77777777" w:rsidR="005169D7" w:rsidRPr="005045BF" w:rsidRDefault="005169D7" w:rsidP="005169D7">
            <w:pPr>
              <w:rPr>
                <w:sz w:val="20"/>
                <w:szCs w:val="20"/>
                <w:highlight w:val="yellow"/>
              </w:rPr>
            </w:pPr>
          </w:p>
        </w:tc>
        <w:tc>
          <w:tcPr>
            <w:tcW w:w="1203" w:type="dxa"/>
            <w:tcBorders>
              <w:top w:val="nil"/>
              <w:left w:val="nil"/>
              <w:bottom w:val="nil"/>
              <w:right w:val="nil"/>
            </w:tcBorders>
            <w:shd w:val="clear" w:color="auto" w:fill="auto"/>
            <w:noWrap/>
            <w:vAlign w:val="bottom"/>
            <w:hideMark/>
          </w:tcPr>
          <w:p w14:paraId="78746CBD" w14:textId="77777777" w:rsidR="005169D7" w:rsidRPr="005045BF" w:rsidRDefault="005169D7" w:rsidP="005169D7">
            <w:pPr>
              <w:rPr>
                <w:sz w:val="20"/>
                <w:szCs w:val="20"/>
                <w:highlight w:val="yellow"/>
              </w:rPr>
            </w:pPr>
          </w:p>
        </w:tc>
      </w:tr>
      <w:tr w:rsidR="005169D7" w:rsidRPr="005045BF" w14:paraId="5409F340" w14:textId="77777777" w:rsidTr="00090183">
        <w:trPr>
          <w:trHeight w:val="300"/>
        </w:trPr>
        <w:tc>
          <w:tcPr>
            <w:tcW w:w="1780" w:type="dxa"/>
            <w:tcBorders>
              <w:top w:val="nil"/>
              <w:left w:val="nil"/>
              <w:bottom w:val="nil"/>
              <w:right w:val="nil"/>
            </w:tcBorders>
            <w:shd w:val="clear" w:color="auto" w:fill="auto"/>
            <w:noWrap/>
            <w:vAlign w:val="bottom"/>
            <w:hideMark/>
          </w:tcPr>
          <w:p w14:paraId="745295AC" w14:textId="7D19B011" w:rsidR="005169D7" w:rsidRPr="005045BF" w:rsidRDefault="005169D7" w:rsidP="005169D7">
            <w:pPr>
              <w:rPr>
                <w:sz w:val="20"/>
                <w:szCs w:val="20"/>
                <w:highlight w:val="yellow"/>
              </w:rPr>
            </w:pPr>
          </w:p>
        </w:tc>
        <w:tc>
          <w:tcPr>
            <w:tcW w:w="1320" w:type="dxa"/>
            <w:tcBorders>
              <w:top w:val="nil"/>
              <w:left w:val="nil"/>
              <w:bottom w:val="nil"/>
              <w:right w:val="nil"/>
            </w:tcBorders>
            <w:shd w:val="clear" w:color="auto" w:fill="auto"/>
            <w:noWrap/>
            <w:vAlign w:val="bottom"/>
            <w:hideMark/>
          </w:tcPr>
          <w:p w14:paraId="1F44E0B8" w14:textId="320B6748" w:rsidR="005169D7" w:rsidRPr="005045BF" w:rsidRDefault="005169D7" w:rsidP="005169D7">
            <w:pPr>
              <w:rPr>
                <w:sz w:val="20"/>
                <w:szCs w:val="20"/>
                <w:highlight w:val="yellow"/>
              </w:rPr>
            </w:pPr>
          </w:p>
        </w:tc>
        <w:tc>
          <w:tcPr>
            <w:tcW w:w="1420" w:type="dxa"/>
            <w:tcBorders>
              <w:top w:val="nil"/>
              <w:left w:val="nil"/>
              <w:bottom w:val="nil"/>
              <w:right w:val="nil"/>
            </w:tcBorders>
            <w:shd w:val="clear" w:color="auto" w:fill="auto"/>
            <w:noWrap/>
            <w:vAlign w:val="bottom"/>
            <w:hideMark/>
          </w:tcPr>
          <w:p w14:paraId="306DC8CA" w14:textId="77777777" w:rsidR="005169D7" w:rsidRPr="005045BF" w:rsidRDefault="005169D7" w:rsidP="005169D7">
            <w:pPr>
              <w:rPr>
                <w:sz w:val="20"/>
                <w:szCs w:val="20"/>
                <w:highlight w:val="yellow"/>
              </w:rPr>
            </w:pPr>
          </w:p>
        </w:tc>
        <w:tc>
          <w:tcPr>
            <w:tcW w:w="1200" w:type="dxa"/>
            <w:tcBorders>
              <w:top w:val="nil"/>
              <w:left w:val="nil"/>
              <w:bottom w:val="nil"/>
              <w:right w:val="nil"/>
            </w:tcBorders>
            <w:shd w:val="clear" w:color="auto" w:fill="auto"/>
            <w:noWrap/>
            <w:vAlign w:val="bottom"/>
            <w:hideMark/>
          </w:tcPr>
          <w:p w14:paraId="7EBCADF8" w14:textId="77777777" w:rsidR="005169D7" w:rsidRPr="005045BF" w:rsidRDefault="005169D7" w:rsidP="005169D7">
            <w:pPr>
              <w:rPr>
                <w:sz w:val="20"/>
                <w:szCs w:val="20"/>
                <w:highlight w:val="yellow"/>
              </w:rPr>
            </w:pPr>
          </w:p>
        </w:tc>
        <w:tc>
          <w:tcPr>
            <w:tcW w:w="1200" w:type="dxa"/>
            <w:tcBorders>
              <w:top w:val="nil"/>
              <w:left w:val="nil"/>
              <w:bottom w:val="nil"/>
              <w:right w:val="nil"/>
            </w:tcBorders>
            <w:shd w:val="clear" w:color="auto" w:fill="auto"/>
            <w:noWrap/>
            <w:vAlign w:val="bottom"/>
            <w:hideMark/>
          </w:tcPr>
          <w:p w14:paraId="276AF2F7" w14:textId="77777777" w:rsidR="005169D7" w:rsidRPr="005045BF" w:rsidRDefault="005169D7" w:rsidP="005169D7">
            <w:pPr>
              <w:rPr>
                <w:sz w:val="20"/>
                <w:szCs w:val="20"/>
                <w:highlight w:val="yellow"/>
              </w:rPr>
            </w:pPr>
          </w:p>
        </w:tc>
        <w:tc>
          <w:tcPr>
            <w:tcW w:w="6016" w:type="dxa"/>
            <w:gridSpan w:val="5"/>
            <w:tcBorders>
              <w:top w:val="nil"/>
              <w:left w:val="nil"/>
              <w:bottom w:val="nil"/>
              <w:right w:val="nil"/>
            </w:tcBorders>
            <w:vAlign w:val="center"/>
            <w:hideMark/>
          </w:tcPr>
          <w:p w14:paraId="4CF7A88C" w14:textId="254FB7FA" w:rsidR="005169D7" w:rsidRPr="005045BF" w:rsidRDefault="005169D7" w:rsidP="005169D7">
            <w:pPr>
              <w:rPr>
                <w:rFonts w:ascii="Calibri" w:hAnsi="Calibri" w:cs="Calibri"/>
                <w:color w:val="000000"/>
                <w:sz w:val="22"/>
                <w:szCs w:val="22"/>
                <w:highlight w:val="yellow"/>
              </w:rPr>
            </w:pPr>
          </w:p>
        </w:tc>
      </w:tr>
    </w:tbl>
    <w:p w14:paraId="614189CD" w14:textId="4C6D71CD" w:rsidR="00A928E8" w:rsidRPr="005045BF" w:rsidRDefault="00A928E8" w:rsidP="0011574E">
      <w:pPr>
        <w:tabs>
          <w:tab w:val="left" w:pos="567"/>
        </w:tabs>
        <w:jc w:val="both"/>
        <w:rPr>
          <w:rFonts w:ascii="Arial" w:hAnsi="Arial" w:cs="Arial"/>
          <w:color w:val="000000" w:themeColor="text1"/>
          <w:sz w:val="22"/>
          <w:szCs w:val="22"/>
          <w:highlight w:val="yellow"/>
        </w:rPr>
      </w:pPr>
    </w:p>
    <w:p w14:paraId="26809C31" w14:textId="4432B278" w:rsidR="000F2475" w:rsidRPr="005045BF" w:rsidRDefault="000F2475" w:rsidP="0011574E">
      <w:pPr>
        <w:tabs>
          <w:tab w:val="left" w:pos="567"/>
        </w:tabs>
        <w:jc w:val="both"/>
        <w:rPr>
          <w:rFonts w:ascii="Arial" w:hAnsi="Arial" w:cs="Arial"/>
          <w:color w:val="000000" w:themeColor="text1"/>
          <w:sz w:val="22"/>
          <w:szCs w:val="22"/>
          <w:highlight w:val="yellow"/>
        </w:rPr>
      </w:pPr>
    </w:p>
    <w:p w14:paraId="7DDA2871" w14:textId="34CEAE29" w:rsidR="000F2475" w:rsidRPr="005045BF" w:rsidRDefault="000F2475" w:rsidP="0011574E">
      <w:pPr>
        <w:tabs>
          <w:tab w:val="left" w:pos="567"/>
        </w:tabs>
        <w:jc w:val="both"/>
        <w:rPr>
          <w:rFonts w:ascii="Arial" w:hAnsi="Arial" w:cs="Arial"/>
          <w:color w:val="000000" w:themeColor="text1"/>
          <w:sz w:val="22"/>
          <w:szCs w:val="22"/>
          <w:highlight w:val="yellow"/>
        </w:rPr>
      </w:pPr>
    </w:p>
    <w:p w14:paraId="1CCE63D4" w14:textId="7E302B42" w:rsidR="000F2475" w:rsidRPr="005045BF" w:rsidRDefault="000F2475" w:rsidP="0011574E">
      <w:pPr>
        <w:tabs>
          <w:tab w:val="left" w:pos="567"/>
        </w:tabs>
        <w:jc w:val="both"/>
        <w:rPr>
          <w:rFonts w:ascii="Arial" w:hAnsi="Arial" w:cs="Arial"/>
          <w:color w:val="000000" w:themeColor="text1"/>
          <w:sz w:val="22"/>
          <w:szCs w:val="22"/>
          <w:highlight w:val="yellow"/>
        </w:rPr>
      </w:pPr>
    </w:p>
    <w:p w14:paraId="6C62C33F" w14:textId="4BC64996" w:rsidR="000F2475" w:rsidRPr="005045BF" w:rsidRDefault="000F2475" w:rsidP="0011574E">
      <w:pPr>
        <w:tabs>
          <w:tab w:val="left" w:pos="567"/>
        </w:tabs>
        <w:jc w:val="both"/>
        <w:rPr>
          <w:rFonts w:ascii="Arial" w:hAnsi="Arial" w:cs="Arial"/>
          <w:color w:val="000000" w:themeColor="text1"/>
          <w:sz w:val="22"/>
          <w:szCs w:val="22"/>
          <w:highlight w:val="yellow"/>
        </w:rPr>
      </w:pPr>
    </w:p>
    <w:p w14:paraId="466E5850" w14:textId="4A4D2535" w:rsidR="000F2475" w:rsidRPr="005045BF" w:rsidRDefault="000F2475" w:rsidP="0011574E">
      <w:pPr>
        <w:tabs>
          <w:tab w:val="left" w:pos="567"/>
        </w:tabs>
        <w:jc w:val="both"/>
        <w:rPr>
          <w:rFonts w:ascii="Arial" w:hAnsi="Arial" w:cs="Arial"/>
          <w:color w:val="000000" w:themeColor="text1"/>
          <w:sz w:val="22"/>
          <w:szCs w:val="22"/>
          <w:highlight w:val="yellow"/>
        </w:rPr>
      </w:pPr>
    </w:p>
    <w:p w14:paraId="0FB0D8CA" w14:textId="0E797E6D" w:rsidR="000F2475" w:rsidRPr="005045BF" w:rsidRDefault="000F2475" w:rsidP="0011574E">
      <w:pPr>
        <w:tabs>
          <w:tab w:val="left" w:pos="567"/>
        </w:tabs>
        <w:jc w:val="both"/>
        <w:rPr>
          <w:rFonts w:ascii="Arial" w:hAnsi="Arial" w:cs="Arial"/>
          <w:color w:val="000000" w:themeColor="text1"/>
          <w:sz w:val="22"/>
          <w:szCs w:val="22"/>
          <w:highlight w:val="yellow"/>
        </w:rPr>
      </w:pPr>
    </w:p>
    <w:p w14:paraId="65F3C22F" w14:textId="536D73D1" w:rsidR="000F2475" w:rsidRPr="005045BF" w:rsidRDefault="000F2475" w:rsidP="0011574E">
      <w:pPr>
        <w:tabs>
          <w:tab w:val="left" w:pos="567"/>
        </w:tabs>
        <w:jc w:val="both"/>
        <w:rPr>
          <w:rFonts w:ascii="Arial" w:hAnsi="Arial" w:cs="Arial"/>
          <w:color w:val="000000" w:themeColor="text1"/>
          <w:sz w:val="22"/>
          <w:szCs w:val="22"/>
          <w:highlight w:val="yellow"/>
        </w:rPr>
      </w:pPr>
    </w:p>
    <w:p w14:paraId="29010499" w14:textId="6097DC16" w:rsidR="000F2475" w:rsidRPr="005045BF" w:rsidRDefault="000F2475" w:rsidP="0011574E">
      <w:pPr>
        <w:tabs>
          <w:tab w:val="left" w:pos="567"/>
        </w:tabs>
        <w:jc w:val="both"/>
        <w:rPr>
          <w:rFonts w:ascii="Arial" w:hAnsi="Arial" w:cs="Arial"/>
          <w:color w:val="000000" w:themeColor="text1"/>
          <w:sz w:val="22"/>
          <w:szCs w:val="22"/>
          <w:highlight w:val="yellow"/>
        </w:rPr>
      </w:pPr>
    </w:p>
    <w:p w14:paraId="34804EBE" w14:textId="6C1C4B7B" w:rsidR="000F2475" w:rsidRPr="005045BF" w:rsidRDefault="000F2475" w:rsidP="0011574E">
      <w:pPr>
        <w:tabs>
          <w:tab w:val="left" w:pos="567"/>
        </w:tabs>
        <w:jc w:val="both"/>
        <w:rPr>
          <w:rFonts w:ascii="Arial" w:hAnsi="Arial" w:cs="Arial"/>
          <w:color w:val="000000" w:themeColor="text1"/>
          <w:sz w:val="22"/>
          <w:szCs w:val="22"/>
          <w:highlight w:val="yellow"/>
        </w:rPr>
      </w:pPr>
    </w:p>
    <w:p w14:paraId="3FCF9689" w14:textId="19CED831" w:rsidR="000F2475" w:rsidRPr="005045BF" w:rsidRDefault="000F2475" w:rsidP="0011574E">
      <w:pPr>
        <w:tabs>
          <w:tab w:val="left" w:pos="567"/>
        </w:tabs>
        <w:jc w:val="both"/>
        <w:rPr>
          <w:rFonts w:ascii="Arial" w:hAnsi="Arial" w:cs="Arial"/>
          <w:color w:val="000000" w:themeColor="text1"/>
          <w:sz w:val="22"/>
          <w:szCs w:val="22"/>
          <w:highlight w:val="yellow"/>
        </w:rPr>
      </w:pPr>
    </w:p>
    <w:p w14:paraId="2F48A226" w14:textId="17F37EC3" w:rsidR="000F2475" w:rsidRPr="005045BF" w:rsidRDefault="000F2475" w:rsidP="0011574E">
      <w:pPr>
        <w:tabs>
          <w:tab w:val="left" w:pos="567"/>
        </w:tabs>
        <w:jc w:val="both"/>
        <w:rPr>
          <w:rFonts w:ascii="Arial" w:hAnsi="Arial" w:cs="Arial"/>
          <w:color w:val="000000" w:themeColor="text1"/>
          <w:sz w:val="22"/>
          <w:szCs w:val="22"/>
          <w:highlight w:val="yellow"/>
        </w:rPr>
      </w:pPr>
    </w:p>
    <w:p w14:paraId="4CFA7593" w14:textId="5CFD2C05" w:rsidR="000F2475" w:rsidRPr="005045BF" w:rsidRDefault="000F2475" w:rsidP="0011574E">
      <w:pPr>
        <w:tabs>
          <w:tab w:val="left" w:pos="567"/>
        </w:tabs>
        <w:jc w:val="both"/>
        <w:rPr>
          <w:rFonts w:ascii="Arial" w:hAnsi="Arial" w:cs="Arial"/>
          <w:color w:val="000000" w:themeColor="text1"/>
          <w:sz w:val="22"/>
          <w:szCs w:val="22"/>
          <w:highlight w:val="yellow"/>
        </w:rPr>
      </w:pPr>
    </w:p>
    <w:p w14:paraId="436A0BDE" w14:textId="54513A62" w:rsidR="005325A9" w:rsidRPr="005045BF" w:rsidRDefault="00090183" w:rsidP="0011574E">
      <w:pPr>
        <w:tabs>
          <w:tab w:val="left" w:pos="567"/>
        </w:tabs>
        <w:jc w:val="both"/>
        <w:rPr>
          <w:rFonts w:ascii="Arial" w:hAnsi="Arial" w:cs="Arial"/>
          <w:color w:val="000000" w:themeColor="text1"/>
          <w:sz w:val="22"/>
          <w:szCs w:val="22"/>
        </w:rPr>
      </w:pPr>
      <w:r w:rsidRPr="005045BF">
        <w:rPr>
          <w:rFonts w:ascii="Arial" w:hAnsi="Arial" w:cs="Arial"/>
          <w:color w:val="000000" w:themeColor="text1"/>
          <w:sz w:val="22"/>
          <w:szCs w:val="22"/>
        </w:rPr>
        <w:lastRenderedPageBreak/>
        <w:t xml:space="preserve">A continuación, se expone el </w:t>
      </w:r>
      <w:r w:rsidR="003641AA" w:rsidRPr="005045BF">
        <w:rPr>
          <w:rFonts w:ascii="Arial" w:hAnsi="Arial" w:cs="Arial"/>
          <w:color w:val="000000" w:themeColor="text1"/>
          <w:sz w:val="22"/>
          <w:szCs w:val="22"/>
        </w:rPr>
        <w:t xml:space="preserve">comportamiento </w:t>
      </w:r>
      <w:r w:rsidR="00502097" w:rsidRPr="005045BF">
        <w:rPr>
          <w:rFonts w:ascii="Arial" w:hAnsi="Arial" w:cs="Arial"/>
          <w:color w:val="000000" w:themeColor="text1"/>
          <w:sz w:val="22"/>
          <w:szCs w:val="22"/>
        </w:rPr>
        <w:t xml:space="preserve">del valor total del gasto de los </w:t>
      </w:r>
      <w:r w:rsidR="003641AA" w:rsidRPr="005045BF">
        <w:rPr>
          <w:rFonts w:ascii="Arial" w:hAnsi="Arial" w:cs="Arial"/>
          <w:color w:val="000000" w:themeColor="text1"/>
          <w:sz w:val="22"/>
          <w:szCs w:val="22"/>
        </w:rPr>
        <w:t>pasajes aéreos</w:t>
      </w:r>
      <w:r w:rsidR="007A5FDF" w:rsidRPr="005045BF">
        <w:rPr>
          <w:rFonts w:ascii="Arial" w:hAnsi="Arial" w:cs="Arial"/>
          <w:color w:val="000000" w:themeColor="text1"/>
          <w:sz w:val="22"/>
          <w:szCs w:val="22"/>
        </w:rPr>
        <w:t xml:space="preserve"> y viáticos, así como, </w:t>
      </w:r>
      <w:r w:rsidR="00502097" w:rsidRPr="005045BF">
        <w:rPr>
          <w:rFonts w:ascii="Arial" w:hAnsi="Arial" w:cs="Arial"/>
          <w:color w:val="000000" w:themeColor="text1"/>
          <w:sz w:val="22"/>
          <w:szCs w:val="22"/>
        </w:rPr>
        <w:t xml:space="preserve">la cantidad de </w:t>
      </w:r>
      <w:r w:rsidRPr="005045BF">
        <w:rPr>
          <w:rFonts w:ascii="Arial" w:hAnsi="Arial" w:cs="Arial"/>
          <w:color w:val="000000" w:themeColor="text1"/>
          <w:sz w:val="22"/>
          <w:szCs w:val="22"/>
        </w:rPr>
        <w:t xml:space="preserve">dichos </w:t>
      </w:r>
      <w:r w:rsidR="00E353E0" w:rsidRPr="005045BF">
        <w:rPr>
          <w:rFonts w:ascii="Arial" w:hAnsi="Arial" w:cs="Arial"/>
          <w:color w:val="000000" w:themeColor="text1"/>
          <w:sz w:val="22"/>
          <w:szCs w:val="22"/>
        </w:rPr>
        <w:t>conceptos:</w:t>
      </w:r>
      <w:r w:rsidR="005325A9" w:rsidRPr="005045BF">
        <w:rPr>
          <w:rFonts w:ascii="Arial" w:hAnsi="Arial" w:cs="Arial"/>
          <w:color w:val="000000" w:themeColor="text1"/>
          <w:sz w:val="22"/>
          <w:szCs w:val="22"/>
        </w:rPr>
        <w:t xml:space="preserve"> </w:t>
      </w:r>
    </w:p>
    <w:p w14:paraId="56562F3F" w14:textId="77777777" w:rsidR="005325A9" w:rsidRPr="005045BF" w:rsidRDefault="005325A9" w:rsidP="0011574E">
      <w:pPr>
        <w:tabs>
          <w:tab w:val="left" w:pos="567"/>
        </w:tabs>
        <w:jc w:val="both"/>
        <w:rPr>
          <w:rFonts w:ascii="Arial" w:hAnsi="Arial" w:cs="Arial"/>
          <w:color w:val="000000" w:themeColor="text1"/>
          <w:sz w:val="22"/>
          <w:szCs w:val="22"/>
          <w:highlight w:val="yellow"/>
        </w:rPr>
      </w:pPr>
    </w:p>
    <w:p w14:paraId="435F576F" w14:textId="746F381C" w:rsidR="005325A9" w:rsidRPr="005045BF" w:rsidRDefault="00AB5705" w:rsidP="0045629B">
      <w:pPr>
        <w:pStyle w:val="Prrafodelista"/>
        <w:numPr>
          <w:ilvl w:val="0"/>
          <w:numId w:val="18"/>
        </w:numPr>
        <w:tabs>
          <w:tab w:val="left" w:pos="567"/>
        </w:tabs>
        <w:rPr>
          <w:rFonts w:ascii="Arial" w:hAnsi="Arial" w:cs="Arial"/>
          <w:b/>
          <w:color w:val="000000" w:themeColor="text1"/>
          <w:sz w:val="22"/>
          <w:szCs w:val="22"/>
        </w:rPr>
      </w:pPr>
      <w:r w:rsidRPr="005045BF">
        <w:rPr>
          <w:rFonts w:ascii="Arial" w:hAnsi="Arial" w:cs="Arial"/>
          <w:b/>
          <w:color w:val="000000" w:themeColor="text1"/>
          <w:sz w:val="22"/>
          <w:szCs w:val="22"/>
        </w:rPr>
        <w:t xml:space="preserve">Enero </w:t>
      </w:r>
      <w:r w:rsidR="005325A9" w:rsidRPr="005045BF">
        <w:rPr>
          <w:rFonts w:ascii="Arial" w:hAnsi="Arial" w:cs="Arial"/>
          <w:b/>
          <w:color w:val="000000" w:themeColor="text1"/>
          <w:sz w:val="22"/>
          <w:szCs w:val="22"/>
        </w:rPr>
        <w:t>20</w:t>
      </w:r>
      <w:r w:rsidRPr="005045BF">
        <w:rPr>
          <w:rFonts w:ascii="Arial" w:hAnsi="Arial" w:cs="Arial"/>
          <w:b/>
          <w:color w:val="000000" w:themeColor="text1"/>
          <w:sz w:val="22"/>
          <w:szCs w:val="22"/>
        </w:rPr>
        <w:t>20</w:t>
      </w:r>
      <w:r w:rsidR="005325A9" w:rsidRPr="005045BF">
        <w:rPr>
          <w:rFonts w:ascii="Arial" w:hAnsi="Arial" w:cs="Arial"/>
          <w:b/>
          <w:color w:val="000000" w:themeColor="text1"/>
          <w:sz w:val="22"/>
          <w:szCs w:val="22"/>
        </w:rPr>
        <w:t>-201</w:t>
      </w:r>
      <w:r w:rsidRPr="005045BF">
        <w:rPr>
          <w:rFonts w:ascii="Arial" w:hAnsi="Arial" w:cs="Arial"/>
          <w:b/>
          <w:color w:val="000000" w:themeColor="text1"/>
          <w:sz w:val="22"/>
          <w:szCs w:val="22"/>
        </w:rPr>
        <w:t>9</w:t>
      </w:r>
    </w:p>
    <w:p w14:paraId="3BAA051B" w14:textId="231BBD11" w:rsidR="005325A9" w:rsidRPr="005045BF" w:rsidRDefault="005325A9" w:rsidP="00353D5B">
      <w:pPr>
        <w:tabs>
          <w:tab w:val="left" w:pos="567"/>
        </w:tabs>
        <w:spacing w:line="168" w:lineRule="auto"/>
        <w:jc w:val="both"/>
        <w:rPr>
          <w:rFonts w:ascii="Arial" w:hAnsi="Arial" w:cs="Arial"/>
          <w:color w:val="000000" w:themeColor="text1"/>
          <w:sz w:val="22"/>
          <w:szCs w:val="22"/>
        </w:rPr>
      </w:pPr>
    </w:p>
    <w:p w14:paraId="5E6870C8" w14:textId="47D16B3D" w:rsidR="00877F0B" w:rsidRPr="005045BF" w:rsidRDefault="005325A9" w:rsidP="00877F0B">
      <w:pPr>
        <w:tabs>
          <w:tab w:val="left" w:pos="567"/>
        </w:tabs>
        <w:ind w:left="360"/>
        <w:jc w:val="both"/>
        <w:rPr>
          <w:rFonts w:ascii="Arial" w:hAnsi="Arial" w:cs="Arial"/>
          <w:color w:val="000000" w:themeColor="text1"/>
          <w:sz w:val="22"/>
          <w:szCs w:val="22"/>
        </w:rPr>
      </w:pPr>
      <w:r w:rsidRPr="005045BF">
        <w:rPr>
          <w:rFonts w:ascii="Arial" w:hAnsi="Arial" w:cs="Arial"/>
          <w:color w:val="000000" w:themeColor="text1"/>
          <w:sz w:val="22"/>
          <w:szCs w:val="22"/>
        </w:rPr>
        <w:t xml:space="preserve">Para </w:t>
      </w:r>
      <w:r w:rsidR="008C29CF" w:rsidRPr="005045BF">
        <w:rPr>
          <w:rFonts w:ascii="Arial" w:hAnsi="Arial" w:cs="Arial"/>
          <w:color w:val="000000" w:themeColor="text1"/>
          <w:sz w:val="22"/>
          <w:szCs w:val="22"/>
        </w:rPr>
        <w:t xml:space="preserve">los </w:t>
      </w:r>
      <w:r w:rsidRPr="005045BF">
        <w:rPr>
          <w:rFonts w:ascii="Arial" w:hAnsi="Arial" w:cs="Arial"/>
          <w:color w:val="000000" w:themeColor="text1"/>
          <w:sz w:val="22"/>
          <w:szCs w:val="22"/>
        </w:rPr>
        <w:t>concepto</w:t>
      </w:r>
      <w:r w:rsidR="008C29CF" w:rsidRPr="005045BF">
        <w:rPr>
          <w:rFonts w:ascii="Arial" w:hAnsi="Arial" w:cs="Arial"/>
          <w:color w:val="000000" w:themeColor="text1"/>
          <w:sz w:val="22"/>
          <w:szCs w:val="22"/>
        </w:rPr>
        <w:t>s</w:t>
      </w:r>
      <w:r w:rsidRPr="005045BF">
        <w:rPr>
          <w:rFonts w:ascii="Arial" w:hAnsi="Arial" w:cs="Arial"/>
          <w:color w:val="000000" w:themeColor="text1"/>
          <w:sz w:val="22"/>
          <w:szCs w:val="22"/>
        </w:rPr>
        <w:t xml:space="preserve"> de pasajes </w:t>
      </w:r>
      <w:r w:rsidR="00022166" w:rsidRPr="005045BF">
        <w:rPr>
          <w:rFonts w:ascii="Arial" w:hAnsi="Arial" w:cs="Arial"/>
          <w:color w:val="000000" w:themeColor="text1"/>
          <w:sz w:val="22"/>
          <w:szCs w:val="22"/>
        </w:rPr>
        <w:t>aéreos y</w:t>
      </w:r>
      <w:r w:rsidR="003B715E" w:rsidRPr="005045BF">
        <w:rPr>
          <w:rFonts w:ascii="Arial" w:hAnsi="Arial" w:cs="Arial"/>
          <w:color w:val="000000" w:themeColor="text1"/>
          <w:sz w:val="22"/>
          <w:szCs w:val="22"/>
        </w:rPr>
        <w:t xml:space="preserve"> </w:t>
      </w:r>
      <w:r w:rsidR="00022166" w:rsidRPr="005045BF">
        <w:rPr>
          <w:rFonts w:ascii="Arial" w:hAnsi="Arial" w:cs="Arial"/>
          <w:color w:val="000000" w:themeColor="text1"/>
          <w:sz w:val="22"/>
          <w:szCs w:val="22"/>
        </w:rPr>
        <w:t>viáticos</w:t>
      </w:r>
      <w:r w:rsidR="003B715E" w:rsidRPr="005045BF">
        <w:rPr>
          <w:rFonts w:ascii="Arial" w:hAnsi="Arial" w:cs="Arial"/>
          <w:color w:val="000000" w:themeColor="text1"/>
          <w:sz w:val="22"/>
          <w:szCs w:val="22"/>
        </w:rPr>
        <w:t xml:space="preserve">, </w:t>
      </w:r>
      <w:r w:rsidR="00502097" w:rsidRPr="005045BF">
        <w:rPr>
          <w:rFonts w:ascii="Arial" w:hAnsi="Arial" w:cs="Arial"/>
          <w:color w:val="000000" w:themeColor="text1"/>
          <w:sz w:val="22"/>
          <w:szCs w:val="22"/>
        </w:rPr>
        <w:t xml:space="preserve">presentaron </w:t>
      </w:r>
      <w:r w:rsidR="00574C5C" w:rsidRPr="005045BF">
        <w:rPr>
          <w:rFonts w:ascii="Arial" w:hAnsi="Arial" w:cs="Arial"/>
          <w:color w:val="000000" w:themeColor="text1"/>
          <w:sz w:val="22"/>
          <w:szCs w:val="22"/>
        </w:rPr>
        <w:t>variaciones positivas en lo referente a la cantidad</w:t>
      </w:r>
      <w:r w:rsidR="008C29CF" w:rsidRPr="005045BF">
        <w:rPr>
          <w:rFonts w:ascii="Arial" w:hAnsi="Arial" w:cs="Arial"/>
          <w:color w:val="000000" w:themeColor="text1"/>
          <w:sz w:val="22"/>
          <w:szCs w:val="22"/>
        </w:rPr>
        <w:t xml:space="preserve">. </w:t>
      </w:r>
      <w:r w:rsidR="00574C5C" w:rsidRPr="005045BF">
        <w:rPr>
          <w:rFonts w:ascii="Arial" w:hAnsi="Arial" w:cs="Arial"/>
          <w:color w:val="000000" w:themeColor="text1"/>
          <w:sz w:val="22"/>
          <w:szCs w:val="22"/>
        </w:rPr>
        <w:t>En lo que respecta al valor del gasto</w:t>
      </w:r>
      <w:r w:rsidR="008C29CF" w:rsidRPr="005045BF">
        <w:rPr>
          <w:rFonts w:ascii="Arial" w:hAnsi="Arial" w:cs="Arial"/>
          <w:color w:val="000000" w:themeColor="text1"/>
          <w:sz w:val="22"/>
          <w:szCs w:val="22"/>
        </w:rPr>
        <w:t xml:space="preserve">, se observó </w:t>
      </w:r>
      <w:r w:rsidR="0083272E" w:rsidRPr="005045BF">
        <w:rPr>
          <w:rFonts w:ascii="Arial" w:hAnsi="Arial" w:cs="Arial"/>
          <w:color w:val="000000" w:themeColor="text1"/>
          <w:sz w:val="22"/>
          <w:szCs w:val="22"/>
        </w:rPr>
        <w:t>un incremento del 1% de los</w:t>
      </w:r>
      <w:r w:rsidR="008C29CF" w:rsidRPr="005045BF">
        <w:rPr>
          <w:rFonts w:ascii="Arial" w:hAnsi="Arial" w:cs="Arial"/>
          <w:color w:val="000000" w:themeColor="text1"/>
          <w:sz w:val="22"/>
          <w:szCs w:val="22"/>
        </w:rPr>
        <w:t xml:space="preserve"> pasajes aéreos</w:t>
      </w:r>
      <w:r w:rsidR="0083272E" w:rsidRPr="005045BF">
        <w:rPr>
          <w:rFonts w:ascii="Arial" w:hAnsi="Arial" w:cs="Arial"/>
          <w:color w:val="000000" w:themeColor="text1"/>
          <w:sz w:val="22"/>
          <w:szCs w:val="22"/>
        </w:rPr>
        <w:t xml:space="preserve">. Para los viáticos, se </w:t>
      </w:r>
      <w:r w:rsidR="001C6C9A">
        <w:rPr>
          <w:rFonts w:ascii="Arial" w:hAnsi="Arial" w:cs="Arial"/>
          <w:color w:val="000000" w:themeColor="text1"/>
          <w:sz w:val="22"/>
          <w:szCs w:val="22"/>
        </w:rPr>
        <w:t xml:space="preserve">evidenció </w:t>
      </w:r>
      <w:r w:rsidR="0083272E" w:rsidRPr="005045BF">
        <w:rPr>
          <w:rFonts w:ascii="Arial" w:hAnsi="Arial" w:cs="Arial"/>
          <w:color w:val="000000" w:themeColor="text1"/>
          <w:sz w:val="22"/>
          <w:szCs w:val="22"/>
        </w:rPr>
        <w:t xml:space="preserve">una disminución del 7%.  </w:t>
      </w:r>
    </w:p>
    <w:p w14:paraId="6CDE64A0" w14:textId="77777777" w:rsidR="00877F0B" w:rsidRPr="005045BF" w:rsidRDefault="00877F0B" w:rsidP="00877F0B">
      <w:pPr>
        <w:tabs>
          <w:tab w:val="left" w:pos="567"/>
        </w:tabs>
        <w:ind w:left="360"/>
        <w:jc w:val="both"/>
        <w:rPr>
          <w:rFonts w:ascii="Arial" w:hAnsi="Arial" w:cs="Arial"/>
          <w:color w:val="000000" w:themeColor="text1"/>
          <w:sz w:val="22"/>
          <w:szCs w:val="22"/>
        </w:rPr>
      </w:pPr>
    </w:p>
    <w:p w14:paraId="575EFE8D" w14:textId="47B6AD7E" w:rsidR="007932FB" w:rsidRPr="005045BF" w:rsidRDefault="0083272E" w:rsidP="00E21AF8">
      <w:pPr>
        <w:pStyle w:val="Prrafodelista"/>
        <w:numPr>
          <w:ilvl w:val="0"/>
          <w:numId w:val="18"/>
        </w:numPr>
        <w:tabs>
          <w:tab w:val="left" w:pos="567"/>
        </w:tabs>
        <w:rPr>
          <w:rFonts w:ascii="Arial" w:hAnsi="Arial" w:cs="Arial"/>
          <w:b/>
          <w:color w:val="000000" w:themeColor="text1"/>
          <w:sz w:val="22"/>
          <w:szCs w:val="22"/>
        </w:rPr>
      </w:pPr>
      <w:r w:rsidRPr="005045BF">
        <w:rPr>
          <w:rFonts w:ascii="Arial" w:hAnsi="Arial" w:cs="Arial"/>
          <w:b/>
          <w:color w:val="000000" w:themeColor="text1"/>
          <w:sz w:val="22"/>
          <w:szCs w:val="22"/>
        </w:rPr>
        <w:t xml:space="preserve">Febrero </w:t>
      </w:r>
      <w:r w:rsidR="0003108C" w:rsidRPr="005045BF">
        <w:rPr>
          <w:rFonts w:ascii="Arial" w:hAnsi="Arial" w:cs="Arial"/>
          <w:b/>
          <w:color w:val="000000" w:themeColor="text1"/>
          <w:sz w:val="22"/>
          <w:szCs w:val="22"/>
        </w:rPr>
        <w:t>20</w:t>
      </w:r>
      <w:r w:rsidRPr="005045BF">
        <w:rPr>
          <w:rFonts w:ascii="Arial" w:hAnsi="Arial" w:cs="Arial"/>
          <w:b/>
          <w:color w:val="000000" w:themeColor="text1"/>
          <w:sz w:val="22"/>
          <w:szCs w:val="22"/>
        </w:rPr>
        <w:t>20</w:t>
      </w:r>
      <w:r w:rsidR="007932FB" w:rsidRPr="005045BF">
        <w:rPr>
          <w:rFonts w:ascii="Arial" w:hAnsi="Arial" w:cs="Arial"/>
          <w:b/>
          <w:color w:val="000000" w:themeColor="text1"/>
          <w:sz w:val="22"/>
          <w:szCs w:val="22"/>
        </w:rPr>
        <w:t>-201</w:t>
      </w:r>
      <w:r w:rsidRPr="005045BF">
        <w:rPr>
          <w:rFonts w:ascii="Arial" w:hAnsi="Arial" w:cs="Arial"/>
          <w:b/>
          <w:color w:val="000000" w:themeColor="text1"/>
          <w:sz w:val="22"/>
          <w:szCs w:val="22"/>
        </w:rPr>
        <w:t>9</w:t>
      </w:r>
    </w:p>
    <w:p w14:paraId="72585E0E" w14:textId="77777777" w:rsidR="005325A9" w:rsidRPr="005045BF" w:rsidRDefault="005325A9" w:rsidP="0011574E">
      <w:pPr>
        <w:tabs>
          <w:tab w:val="left" w:pos="567"/>
        </w:tabs>
        <w:jc w:val="both"/>
        <w:rPr>
          <w:rFonts w:ascii="Arial" w:hAnsi="Arial" w:cs="Arial"/>
          <w:color w:val="000000" w:themeColor="text1"/>
          <w:sz w:val="22"/>
          <w:szCs w:val="22"/>
        </w:rPr>
      </w:pPr>
    </w:p>
    <w:p w14:paraId="431D426F" w14:textId="7C60D1F8" w:rsidR="005B7CEF" w:rsidRPr="005045BF" w:rsidRDefault="00D959B3" w:rsidP="0086793C">
      <w:pPr>
        <w:tabs>
          <w:tab w:val="left" w:pos="567"/>
        </w:tabs>
        <w:ind w:left="360"/>
        <w:jc w:val="both"/>
        <w:rPr>
          <w:rFonts w:ascii="Arial" w:hAnsi="Arial" w:cs="Arial"/>
          <w:color w:val="000000" w:themeColor="text1"/>
          <w:sz w:val="22"/>
          <w:szCs w:val="22"/>
        </w:rPr>
      </w:pPr>
      <w:r w:rsidRPr="005045BF">
        <w:rPr>
          <w:rFonts w:ascii="Arial" w:hAnsi="Arial" w:cs="Arial"/>
          <w:color w:val="000000" w:themeColor="text1"/>
          <w:sz w:val="22"/>
          <w:szCs w:val="22"/>
        </w:rPr>
        <w:t>Respecto al gasto de pasajes aéreos, s</w:t>
      </w:r>
      <w:r w:rsidR="00631FFE" w:rsidRPr="005045BF">
        <w:rPr>
          <w:rFonts w:ascii="Arial" w:hAnsi="Arial" w:cs="Arial"/>
          <w:color w:val="000000" w:themeColor="text1"/>
          <w:sz w:val="22"/>
          <w:szCs w:val="22"/>
        </w:rPr>
        <w:t>e presentó una disminuci</w:t>
      </w:r>
      <w:r w:rsidR="002B5DB4" w:rsidRPr="005045BF">
        <w:rPr>
          <w:rFonts w:ascii="Arial" w:hAnsi="Arial" w:cs="Arial"/>
          <w:color w:val="000000" w:themeColor="text1"/>
          <w:sz w:val="22"/>
          <w:szCs w:val="22"/>
        </w:rPr>
        <w:t>ón</w:t>
      </w:r>
      <w:r w:rsidR="0086793C" w:rsidRPr="005045BF">
        <w:rPr>
          <w:rFonts w:ascii="Arial" w:hAnsi="Arial" w:cs="Arial"/>
          <w:color w:val="000000" w:themeColor="text1"/>
          <w:sz w:val="22"/>
          <w:szCs w:val="22"/>
        </w:rPr>
        <w:t xml:space="preserve"> del 1%</w:t>
      </w:r>
      <w:r w:rsidR="001F2C4B" w:rsidRPr="005045BF">
        <w:rPr>
          <w:rFonts w:ascii="Arial" w:hAnsi="Arial" w:cs="Arial"/>
          <w:color w:val="000000" w:themeColor="text1"/>
          <w:sz w:val="22"/>
          <w:szCs w:val="22"/>
        </w:rPr>
        <w:t xml:space="preserve"> </w:t>
      </w:r>
      <w:r w:rsidR="003B715E" w:rsidRPr="005045BF">
        <w:rPr>
          <w:rFonts w:ascii="Arial" w:hAnsi="Arial" w:cs="Arial"/>
          <w:color w:val="000000" w:themeColor="text1"/>
          <w:sz w:val="22"/>
          <w:szCs w:val="22"/>
        </w:rPr>
        <w:t>concerniente a la cantidad.</w:t>
      </w:r>
      <w:r w:rsidR="00332210" w:rsidRPr="005045BF">
        <w:rPr>
          <w:rFonts w:ascii="Arial" w:hAnsi="Arial" w:cs="Arial"/>
          <w:color w:val="000000" w:themeColor="text1"/>
          <w:sz w:val="22"/>
          <w:szCs w:val="22"/>
        </w:rPr>
        <w:t xml:space="preserve"> </w:t>
      </w:r>
      <w:r w:rsidR="0086793C" w:rsidRPr="005045BF">
        <w:rPr>
          <w:rFonts w:ascii="Arial" w:hAnsi="Arial" w:cs="Arial"/>
          <w:color w:val="000000" w:themeColor="text1"/>
          <w:sz w:val="22"/>
          <w:szCs w:val="22"/>
        </w:rPr>
        <w:t>Caso</w:t>
      </w:r>
      <w:r w:rsidR="00B64C82" w:rsidRPr="005045BF">
        <w:rPr>
          <w:rFonts w:ascii="Arial" w:hAnsi="Arial" w:cs="Arial"/>
          <w:color w:val="000000" w:themeColor="text1"/>
          <w:sz w:val="22"/>
          <w:szCs w:val="22"/>
        </w:rPr>
        <w:t xml:space="preserve"> contrario</w:t>
      </w:r>
      <w:r w:rsidR="005B7CEF" w:rsidRPr="005045BF">
        <w:rPr>
          <w:rFonts w:ascii="Arial" w:hAnsi="Arial" w:cs="Arial"/>
          <w:color w:val="000000" w:themeColor="text1"/>
          <w:sz w:val="22"/>
          <w:szCs w:val="22"/>
        </w:rPr>
        <w:t>,</w:t>
      </w:r>
      <w:r w:rsidR="00B64C82" w:rsidRPr="005045BF">
        <w:rPr>
          <w:rFonts w:ascii="Arial" w:hAnsi="Arial" w:cs="Arial"/>
          <w:color w:val="000000" w:themeColor="text1"/>
          <w:sz w:val="22"/>
          <w:szCs w:val="22"/>
        </w:rPr>
        <w:t xml:space="preserve"> se observó para el </w:t>
      </w:r>
      <w:r w:rsidR="0086793C" w:rsidRPr="005045BF">
        <w:rPr>
          <w:rFonts w:ascii="Arial" w:hAnsi="Arial" w:cs="Arial"/>
          <w:color w:val="000000" w:themeColor="text1"/>
          <w:sz w:val="22"/>
          <w:szCs w:val="22"/>
        </w:rPr>
        <w:t xml:space="preserve">valor de los gastos, el cual aumentó el 10%. </w:t>
      </w:r>
      <w:r w:rsidR="0036527B" w:rsidRPr="005045BF">
        <w:rPr>
          <w:rFonts w:ascii="Arial" w:hAnsi="Arial" w:cs="Arial"/>
          <w:color w:val="000000" w:themeColor="text1"/>
          <w:sz w:val="22"/>
          <w:szCs w:val="22"/>
        </w:rPr>
        <w:t xml:space="preserve">Si bien, se obtuvo una disminución en el número de pasajes aéreos, el valor total del gasto por dicho concepto se incrementó en un porcentaje mayor. </w:t>
      </w:r>
      <w:r w:rsidR="0086793C" w:rsidRPr="005045BF">
        <w:rPr>
          <w:rFonts w:ascii="Arial" w:hAnsi="Arial" w:cs="Arial"/>
          <w:color w:val="000000" w:themeColor="text1"/>
          <w:sz w:val="22"/>
          <w:szCs w:val="22"/>
        </w:rPr>
        <w:t>Concerniente al concepto de viáticos, se evidenció que las dos variables analizadas [</w:t>
      </w:r>
      <w:r w:rsidR="00E91685" w:rsidRPr="005045BF">
        <w:rPr>
          <w:rFonts w:ascii="Arial" w:hAnsi="Arial" w:cs="Arial"/>
          <w:color w:val="000000" w:themeColor="text1"/>
          <w:sz w:val="22"/>
          <w:szCs w:val="22"/>
        </w:rPr>
        <w:t>gasto y</w:t>
      </w:r>
      <w:r w:rsidR="0086793C" w:rsidRPr="005045BF">
        <w:rPr>
          <w:rFonts w:ascii="Arial" w:hAnsi="Arial" w:cs="Arial"/>
          <w:color w:val="000000" w:themeColor="text1"/>
          <w:sz w:val="22"/>
          <w:szCs w:val="22"/>
        </w:rPr>
        <w:t xml:space="preserve"> cantidad], </w:t>
      </w:r>
      <w:r w:rsidR="00B852CB" w:rsidRPr="005045BF">
        <w:rPr>
          <w:rFonts w:ascii="Arial" w:hAnsi="Arial" w:cs="Arial"/>
          <w:color w:val="000000" w:themeColor="text1"/>
          <w:sz w:val="22"/>
          <w:szCs w:val="22"/>
        </w:rPr>
        <w:t>presentaron incrementos</w:t>
      </w:r>
      <w:r w:rsidR="0086793C" w:rsidRPr="005045BF">
        <w:rPr>
          <w:rFonts w:ascii="Arial" w:hAnsi="Arial" w:cs="Arial"/>
          <w:color w:val="000000" w:themeColor="text1"/>
          <w:sz w:val="22"/>
          <w:szCs w:val="22"/>
        </w:rPr>
        <w:t xml:space="preserve"> </w:t>
      </w:r>
      <w:r w:rsidR="004062AF" w:rsidRPr="005045BF">
        <w:rPr>
          <w:rFonts w:ascii="Arial" w:hAnsi="Arial" w:cs="Arial"/>
          <w:color w:val="000000" w:themeColor="text1"/>
          <w:sz w:val="22"/>
          <w:szCs w:val="22"/>
        </w:rPr>
        <w:t>de forma paralela</w:t>
      </w:r>
      <w:r w:rsidR="0086793C" w:rsidRPr="005045BF">
        <w:rPr>
          <w:rFonts w:ascii="Arial" w:hAnsi="Arial" w:cs="Arial"/>
          <w:color w:val="000000" w:themeColor="text1"/>
          <w:sz w:val="22"/>
          <w:szCs w:val="22"/>
        </w:rPr>
        <w:t xml:space="preserve">. </w:t>
      </w:r>
    </w:p>
    <w:p w14:paraId="548A8632" w14:textId="5E8EC7E5" w:rsidR="005B7CEF" w:rsidRPr="005045BF" w:rsidRDefault="005B7CEF" w:rsidP="00353D5B">
      <w:pPr>
        <w:tabs>
          <w:tab w:val="left" w:pos="567"/>
        </w:tabs>
        <w:spacing w:line="168" w:lineRule="auto"/>
        <w:jc w:val="both"/>
        <w:rPr>
          <w:rFonts w:ascii="Arial" w:hAnsi="Arial" w:cs="Arial"/>
          <w:color w:val="000000" w:themeColor="text1"/>
          <w:sz w:val="22"/>
          <w:szCs w:val="22"/>
        </w:rPr>
      </w:pPr>
    </w:p>
    <w:p w14:paraId="2697852B" w14:textId="77777777" w:rsidR="00C4421C" w:rsidRPr="005045BF" w:rsidRDefault="00C4421C" w:rsidP="00353D5B">
      <w:pPr>
        <w:tabs>
          <w:tab w:val="left" w:pos="567"/>
        </w:tabs>
        <w:spacing w:line="168" w:lineRule="auto"/>
        <w:jc w:val="both"/>
        <w:rPr>
          <w:rFonts w:ascii="Arial" w:hAnsi="Arial" w:cs="Arial"/>
          <w:color w:val="000000" w:themeColor="text1"/>
          <w:sz w:val="22"/>
          <w:szCs w:val="22"/>
        </w:rPr>
      </w:pPr>
    </w:p>
    <w:p w14:paraId="614B1F41" w14:textId="5E8BA21B" w:rsidR="005B7CEF" w:rsidRPr="005045BF" w:rsidRDefault="00B852CB" w:rsidP="0045629B">
      <w:pPr>
        <w:pStyle w:val="Prrafodelista"/>
        <w:numPr>
          <w:ilvl w:val="0"/>
          <w:numId w:val="18"/>
        </w:numPr>
        <w:tabs>
          <w:tab w:val="left" w:pos="567"/>
        </w:tabs>
        <w:rPr>
          <w:rFonts w:ascii="Arial" w:hAnsi="Arial" w:cs="Arial"/>
          <w:b/>
          <w:color w:val="000000" w:themeColor="text1"/>
          <w:sz w:val="22"/>
          <w:szCs w:val="22"/>
        </w:rPr>
      </w:pPr>
      <w:r w:rsidRPr="005045BF">
        <w:rPr>
          <w:rFonts w:ascii="Arial" w:hAnsi="Arial" w:cs="Arial"/>
          <w:b/>
          <w:color w:val="000000" w:themeColor="text1"/>
          <w:sz w:val="22"/>
          <w:szCs w:val="22"/>
        </w:rPr>
        <w:t xml:space="preserve">Marzo </w:t>
      </w:r>
      <w:r w:rsidR="005B7CEF" w:rsidRPr="005045BF">
        <w:rPr>
          <w:rFonts w:ascii="Arial" w:hAnsi="Arial" w:cs="Arial"/>
          <w:b/>
          <w:color w:val="000000" w:themeColor="text1"/>
          <w:sz w:val="22"/>
          <w:szCs w:val="22"/>
        </w:rPr>
        <w:t>20</w:t>
      </w:r>
      <w:r w:rsidRPr="005045BF">
        <w:rPr>
          <w:rFonts w:ascii="Arial" w:hAnsi="Arial" w:cs="Arial"/>
          <w:b/>
          <w:color w:val="000000" w:themeColor="text1"/>
          <w:sz w:val="22"/>
          <w:szCs w:val="22"/>
        </w:rPr>
        <w:t xml:space="preserve">20 </w:t>
      </w:r>
      <w:r w:rsidR="005B7CEF" w:rsidRPr="005045BF">
        <w:rPr>
          <w:rFonts w:ascii="Arial" w:hAnsi="Arial" w:cs="Arial"/>
          <w:b/>
          <w:color w:val="000000" w:themeColor="text1"/>
          <w:sz w:val="22"/>
          <w:szCs w:val="22"/>
        </w:rPr>
        <w:t>-201</w:t>
      </w:r>
      <w:r w:rsidRPr="005045BF">
        <w:rPr>
          <w:rFonts w:ascii="Arial" w:hAnsi="Arial" w:cs="Arial"/>
          <w:b/>
          <w:color w:val="000000" w:themeColor="text1"/>
          <w:sz w:val="22"/>
          <w:szCs w:val="22"/>
        </w:rPr>
        <w:t>9</w:t>
      </w:r>
    </w:p>
    <w:p w14:paraId="19FADA74" w14:textId="77777777" w:rsidR="005B7CEF" w:rsidRPr="005045BF" w:rsidRDefault="005B7CEF" w:rsidP="00D959B3">
      <w:pPr>
        <w:tabs>
          <w:tab w:val="left" w:pos="567"/>
        </w:tabs>
        <w:ind w:left="360"/>
        <w:jc w:val="both"/>
        <w:rPr>
          <w:rFonts w:ascii="Arial" w:hAnsi="Arial" w:cs="Arial"/>
          <w:color w:val="000000" w:themeColor="text1"/>
          <w:sz w:val="22"/>
          <w:szCs w:val="22"/>
        </w:rPr>
      </w:pPr>
    </w:p>
    <w:p w14:paraId="645E2F51" w14:textId="7E68343D" w:rsidR="00501718" w:rsidRPr="005045BF" w:rsidRDefault="00501718" w:rsidP="00501718">
      <w:pPr>
        <w:tabs>
          <w:tab w:val="left" w:pos="567"/>
        </w:tabs>
        <w:ind w:left="360"/>
        <w:jc w:val="both"/>
        <w:rPr>
          <w:rFonts w:ascii="Arial" w:hAnsi="Arial" w:cs="Arial"/>
          <w:color w:val="000000" w:themeColor="text1"/>
          <w:sz w:val="22"/>
          <w:szCs w:val="22"/>
        </w:rPr>
      </w:pPr>
      <w:r w:rsidRPr="005045BF">
        <w:rPr>
          <w:rFonts w:ascii="Arial" w:hAnsi="Arial" w:cs="Arial"/>
          <w:color w:val="000000" w:themeColor="text1"/>
          <w:sz w:val="22"/>
          <w:szCs w:val="22"/>
        </w:rPr>
        <w:t>En cuanto al valor total del gasto y cantidad de los pasajes aéreos, se observ</w:t>
      </w:r>
      <w:r w:rsidR="008A4332" w:rsidRPr="005045BF">
        <w:rPr>
          <w:rFonts w:ascii="Arial" w:hAnsi="Arial" w:cs="Arial"/>
          <w:color w:val="000000" w:themeColor="text1"/>
          <w:sz w:val="22"/>
          <w:szCs w:val="22"/>
        </w:rPr>
        <w:t xml:space="preserve">aron </w:t>
      </w:r>
      <w:r w:rsidRPr="005045BF">
        <w:rPr>
          <w:rFonts w:ascii="Arial" w:hAnsi="Arial" w:cs="Arial"/>
          <w:color w:val="000000" w:themeColor="text1"/>
          <w:sz w:val="22"/>
          <w:szCs w:val="22"/>
        </w:rPr>
        <w:t>disminuci</w:t>
      </w:r>
      <w:r w:rsidR="008A4332" w:rsidRPr="005045BF">
        <w:rPr>
          <w:rFonts w:ascii="Arial" w:hAnsi="Arial" w:cs="Arial"/>
          <w:color w:val="000000" w:themeColor="text1"/>
          <w:sz w:val="22"/>
          <w:szCs w:val="22"/>
        </w:rPr>
        <w:t>ones</w:t>
      </w:r>
      <w:r w:rsidRPr="005045BF">
        <w:rPr>
          <w:rFonts w:ascii="Arial" w:hAnsi="Arial" w:cs="Arial"/>
          <w:color w:val="000000" w:themeColor="text1"/>
          <w:sz w:val="22"/>
          <w:szCs w:val="22"/>
        </w:rPr>
        <w:t xml:space="preserve"> del </w:t>
      </w:r>
      <w:r w:rsidR="008A4332" w:rsidRPr="005045BF">
        <w:rPr>
          <w:rFonts w:ascii="Arial" w:hAnsi="Arial" w:cs="Arial"/>
          <w:color w:val="000000" w:themeColor="text1"/>
          <w:sz w:val="22"/>
          <w:szCs w:val="22"/>
        </w:rPr>
        <w:t>44</w:t>
      </w:r>
      <w:r w:rsidRPr="005045BF">
        <w:rPr>
          <w:rFonts w:ascii="Arial" w:hAnsi="Arial" w:cs="Arial"/>
          <w:color w:val="000000" w:themeColor="text1"/>
          <w:sz w:val="22"/>
          <w:szCs w:val="22"/>
        </w:rPr>
        <w:t xml:space="preserve">% y </w:t>
      </w:r>
      <w:r w:rsidR="008A4332" w:rsidRPr="005045BF">
        <w:rPr>
          <w:rFonts w:ascii="Arial" w:hAnsi="Arial" w:cs="Arial"/>
          <w:color w:val="000000" w:themeColor="text1"/>
          <w:sz w:val="22"/>
          <w:szCs w:val="22"/>
        </w:rPr>
        <w:t>40</w:t>
      </w:r>
      <w:r w:rsidRPr="005045BF">
        <w:rPr>
          <w:rFonts w:ascii="Arial" w:hAnsi="Arial" w:cs="Arial"/>
          <w:color w:val="000000" w:themeColor="text1"/>
          <w:sz w:val="22"/>
          <w:szCs w:val="22"/>
        </w:rPr>
        <w:t>%, respectivamente.</w:t>
      </w:r>
      <w:r w:rsidR="00047766" w:rsidRPr="005045BF">
        <w:rPr>
          <w:rFonts w:ascii="Arial" w:hAnsi="Arial" w:cs="Arial"/>
          <w:color w:val="000000" w:themeColor="text1"/>
          <w:sz w:val="22"/>
          <w:szCs w:val="22"/>
        </w:rPr>
        <w:t xml:space="preserve"> De igual forma, se presentaron reducciones para los viáticos. </w:t>
      </w:r>
      <w:r w:rsidRPr="005045BF">
        <w:rPr>
          <w:rFonts w:ascii="Arial" w:hAnsi="Arial" w:cs="Arial"/>
          <w:color w:val="000000" w:themeColor="text1"/>
          <w:sz w:val="22"/>
          <w:szCs w:val="22"/>
        </w:rPr>
        <w:t xml:space="preserve">Con base en los resultados </w:t>
      </w:r>
      <w:r w:rsidR="00FB4503" w:rsidRPr="005045BF">
        <w:rPr>
          <w:rFonts w:ascii="Arial" w:hAnsi="Arial" w:cs="Arial"/>
          <w:color w:val="000000" w:themeColor="text1"/>
          <w:sz w:val="22"/>
          <w:szCs w:val="22"/>
        </w:rPr>
        <w:t>obtenidos,</w:t>
      </w:r>
      <w:r w:rsidRPr="005045BF">
        <w:rPr>
          <w:rFonts w:ascii="Arial" w:hAnsi="Arial" w:cs="Arial"/>
          <w:color w:val="000000" w:themeColor="text1"/>
          <w:sz w:val="22"/>
          <w:szCs w:val="22"/>
        </w:rPr>
        <w:t xml:space="preserve"> se deduce </w:t>
      </w:r>
      <w:r w:rsidR="00FB4503" w:rsidRPr="005045BF">
        <w:rPr>
          <w:rFonts w:ascii="Arial" w:hAnsi="Arial" w:cs="Arial"/>
          <w:color w:val="000000" w:themeColor="text1"/>
          <w:sz w:val="22"/>
          <w:szCs w:val="22"/>
        </w:rPr>
        <w:t>de las variaciones negativas obtenidas para las</w:t>
      </w:r>
      <w:r w:rsidRPr="005045BF">
        <w:rPr>
          <w:rFonts w:ascii="Arial" w:hAnsi="Arial" w:cs="Arial"/>
          <w:color w:val="000000" w:themeColor="text1"/>
          <w:sz w:val="22"/>
          <w:szCs w:val="22"/>
        </w:rPr>
        <w:t xml:space="preserve"> variables analizadas están directamente relacionadas. </w:t>
      </w:r>
    </w:p>
    <w:p w14:paraId="211C7D15" w14:textId="77777777" w:rsidR="00F20F48" w:rsidRPr="005045BF" w:rsidRDefault="00F20F48" w:rsidP="0029545C">
      <w:pPr>
        <w:tabs>
          <w:tab w:val="left" w:pos="567"/>
        </w:tabs>
        <w:ind w:left="360"/>
        <w:jc w:val="both"/>
        <w:rPr>
          <w:rFonts w:ascii="Arial" w:hAnsi="Arial" w:cs="Arial"/>
          <w:color w:val="000000" w:themeColor="text1"/>
          <w:sz w:val="22"/>
          <w:szCs w:val="22"/>
          <w:highlight w:val="yellow"/>
        </w:rPr>
      </w:pPr>
    </w:p>
    <w:p w14:paraId="505A1FDD" w14:textId="53A1C10B" w:rsidR="000921B8" w:rsidRPr="005045BF" w:rsidRDefault="000921B8" w:rsidP="0011574E">
      <w:pPr>
        <w:tabs>
          <w:tab w:val="left" w:pos="567"/>
        </w:tabs>
        <w:jc w:val="both"/>
        <w:rPr>
          <w:rFonts w:ascii="Arial" w:hAnsi="Arial" w:cs="Arial"/>
          <w:color w:val="000000" w:themeColor="text1"/>
          <w:sz w:val="22"/>
          <w:szCs w:val="22"/>
        </w:rPr>
      </w:pPr>
      <w:r w:rsidRPr="005045BF">
        <w:rPr>
          <w:rFonts w:ascii="Arial" w:hAnsi="Arial" w:cs="Arial"/>
          <w:color w:val="000000" w:themeColor="text1"/>
          <w:sz w:val="22"/>
          <w:szCs w:val="22"/>
        </w:rPr>
        <w:t>En resumen, se presenta</w:t>
      </w:r>
      <w:r w:rsidR="004043FF" w:rsidRPr="005045BF">
        <w:rPr>
          <w:rFonts w:ascii="Arial" w:hAnsi="Arial" w:cs="Arial"/>
          <w:color w:val="000000" w:themeColor="text1"/>
          <w:sz w:val="22"/>
          <w:szCs w:val="22"/>
        </w:rPr>
        <w:t>n</w:t>
      </w:r>
      <w:r w:rsidRPr="005045BF">
        <w:rPr>
          <w:rFonts w:ascii="Arial" w:hAnsi="Arial" w:cs="Arial"/>
          <w:color w:val="000000" w:themeColor="text1"/>
          <w:sz w:val="22"/>
          <w:szCs w:val="22"/>
        </w:rPr>
        <w:t xml:space="preserve"> la</w:t>
      </w:r>
      <w:r w:rsidR="00A277E8" w:rsidRPr="005045BF">
        <w:rPr>
          <w:rFonts w:ascii="Arial" w:hAnsi="Arial" w:cs="Arial"/>
          <w:color w:val="000000" w:themeColor="text1"/>
          <w:sz w:val="22"/>
          <w:szCs w:val="22"/>
        </w:rPr>
        <w:t xml:space="preserve">s variaciones obtenidas para los </w:t>
      </w:r>
      <w:r w:rsidRPr="005045BF">
        <w:rPr>
          <w:rFonts w:ascii="Arial" w:hAnsi="Arial" w:cs="Arial"/>
          <w:color w:val="000000" w:themeColor="text1"/>
          <w:sz w:val="22"/>
          <w:szCs w:val="22"/>
        </w:rPr>
        <w:t>concepto</w:t>
      </w:r>
      <w:r w:rsidR="00A277E8" w:rsidRPr="005045BF">
        <w:rPr>
          <w:rFonts w:ascii="Arial" w:hAnsi="Arial" w:cs="Arial"/>
          <w:color w:val="000000" w:themeColor="text1"/>
          <w:sz w:val="22"/>
          <w:szCs w:val="22"/>
        </w:rPr>
        <w:t>s</w:t>
      </w:r>
      <w:r w:rsidRPr="005045BF">
        <w:rPr>
          <w:rFonts w:ascii="Arial" w:hAnsi="Arial" w:cs="Arial"/>
          <w:color w:val="000000" w:themeColor="text1"/>
          <w:sz w:val="22"/>
          <w:szCs w:val="22"/>
        </w:rPr>
        <w:t xml:space="preserve"> </w:t>
      </w:r>
      <w:r w:rsidR="00E702AC" w:rsidRPr="005045BF">
        <w:rPr>
          <w:rFonts w:ascii="Arial" w:hAnsi="Arial" w:cs="Arial"/>
          <w:color w:val="000000" w:themeColor="text1"/>
          <w:sz w:val="22"/>
          <w:szCs w:val="22"/>
        </w:rPr>
        <w:t>de viáticos y pasajes</w:t>
      </w:r>
      <w:r w:rsidR="004043FF" w:rsidRPr="005045BF">
        <w:rPr>
          <w:rFonts w:ascii="Arial" w:hAnsi="Arial" w:cs="Arial"/>
          <w:color w:val="000000" w:themeColor="text1"/>
          <w:sz w:val="22"/>
          <w:szCs w:val="22"/>
        </w:rPr>
        <w:t xml:space="preserve"> durante el </w:t>
      </w:r>
      <w:r w:rsidR="00F20F48" w:rsidRPr="005045BF">
        <w:rPr>
          <w:rFonts w:ascii="Arial" w:hAnsi="Arial" w:cs="Arial"/>
          <w:color w:val="000000" w:themeColor="text1"/>
          <w:sz w:val="22"/>
          <w:szCs w:val="22"/>
        </w:rPr>
        <w:t xml:space="preserve">primer </w:t>
      </w:r>
      <w:r w:rsidR="004043FF" w:rsidRPr="005045BF">
        <w:rPr>
          <w:rFonts w:ascii="Arial" w:hAnsi="Arial" w:cs="Arial"/>
          <w:color w:val="000000" w:themeColor="text1"/>
          <w:sz w:val="22"/>
          <w:szCs w:val="22"/>
        </w:rPr>
        <w:t>trimestre de 20</w:t>
      </w:r>
      <w:r w:rsidR="00F20F48" w:rsidRPr="005045BF">
        <w:rPr>
          <w:rFonts w:ascii="Arial" w:hAnsi="Arial" w:cs="Arial"/>
          <w:color w:val="000000" w:themeColor="text1"/>
          <w:sz w:val="22"/>
          <w:szCs w:val="22"/>
        </w:rPr>
        <w:t>20</w:t>
      </w:r>
      <w:r w:rsidR="004043FF" w:rsidRPr="005045BF">
        <w:rPr>
          <w:rFonts w:ascii="Arial" w:hAnsi="Arial" w:cs="Arial"/>
          <w:color w:val="000000" w:themeColor="text1"/>
          <w:sz w:val="22"/>
          <w:szCs w:val="22"/>
        </w:rPr>
        <w:t xml:space="preserve"> -201</w:t>
      </w:r>
      <w:r w:rsidR="00F20F48" w:rsidRPr="005045BF">
        <w:rPr>
          <w:rFonts w:ascii="Arial" w:hAnsi="Arial" w:cs="Arial"/>
          <w:color w:val="000000" w:themeColor="text1"/>
          <w:sz w:val="22"/>
          <w:szCs w:val="22"/>
        </w:rPr>
        <w:t>9</w:t>
      </w:r>
      <w:r w:rsidR="004043FF" w:rsidRPr="005045BF">
        <w:rPr>
          <w:rFonts w:ascii="Arial" w:hAnsi="Arial" w:cs="Arial"/>
          <w:color w:val="000000" w:themeColor="text1"/>
          <w:sz w:val="22"/>
          <w:szCs w:val="22"/>
        </w:rPr>
        <w:t>:</w:t>
      </w:r>
    </w:p>
    <w:p w14:paraId="2C855367" w14:textId="77777777" w:rsidR="00CD1C6E" w:rsidRPr="005045BF" w:rsidRDefault="00CD1C6E" w:rsidP="0011574E">
      <w:pPr>
        <w:tabs>
          <w:tab w:val="left" w:pos="567"/>
        </w:tabs>
        <w:jc w:val="both"/>
        <w:rPr>
          <w:rFonts w:ascii="Arial" w:hAnsi="Arial" w:cs="Arial"/>
          <w:color w:val="000000" w:themeColor="text1"/>
          <w:sz w:val="22"/>
          <w:szCs w:val="22"/>
        </w:rPr>
      </w:pPr>
    </w:p>
    <w:tbl>
      <w:tblPr>
        <w:tblStyle w:val="Tablaconcuadrcula1clara-nfasis1"/>
        <w:tblW w:w="9678" w:type="dxa"/>
        <w:jc w:val="center"/>
        <w:tblLayout w:type="fixed"/>
        <w:tblLook w:val="04A0" w:firstRow="1" w:lastRow="0" w:firstColumn="1" w:lastColumn="0" w:noHBand="0" w:noVBand="1"/>
      </w:tblPr>
      <w:tblGrid>
        <w:gridCol w:w="2238"/>
        <w:gridCol w:w="1159"/>
        <w:gridCol w:w="993"/>
        <w:gridCol w:w="283"/>
        <w:gridCol w:w="2268"/>
        <w:gridCol w:w="1370"/>
        <w:gridCol w:w="1367"/>
      </w:tblGrid>
      <w:tr w:rsidR="0029474E" w:rsidRPr="005045BF" w14:paraId="6B740760" w14:textId="77777777" w:rsidTr="00DB7B37">
        <w:trPr>
          <w:cnfStyle w:val="100000000000" w:firstRow="1" w:lastRow="0" w:firstColumn="0" w:lastColumn="0" w:oddVBand="0" w:evenVBand="0" w:oddHBand="0" w:evenHBand="0" w:firstRowFirstColumn="0" w:firstRowLastColumn="0" w:lastRowFirstColumn="0" w:lastRowLastColumn="0"/>
          <w:cantSplit/>
          <w:trHeight w:val="521"/>
          <w:jc w:val="center"/>
        </w:trPr>
        <w:tc>
          <w:tcPr>
            <w:cnfStyle w:val="001000000000" w:firstRow="0" w:lastRow="0" w:firstColumn="1" w:lastColumn="0" w:oddVBand="0" w:evenVBand="0" w:oddHBand="0" w:evenHBand="0" w:firstRowFirstColumn="0" w:firstRowLastColumn="0" w:lastRowFirstColumn="0" w:lastRowLastColumn="0"/>
            <w:tcW w:w="4390"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11DD6266" w14:textId="3DCE2362" w:rsidR="0029474E" w:rsidRPr="005045BF" w:rsidRDefault="00C5042F" w:rsidP="00A928E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Variable de Cantidad Viáticos y Pasajes </w:t>
            </w:r>
            <w:r w:rsidR="001E3120" w:rsidRPr="005045BF">
              <w:rPr>
                <w:rFonts w:ascii="Arial" w:hAnsi="Arial" w:cs="Arial"/>
                <w:color w:val="FFFFFF" w:themeColor="background1"/>
                <w:sz w:val="20"/>
                <w:szCs w:val="20"/>
              </w:rPr>
              <w:t>Aéreos 20</w:t>
            </w:r>
            <w:r w:rsidR="00B9632F" w:rsidRPr="005045BF">
              <w:rPr>
                <w:rFonts w:ascii="Arial" w:hAnsi="Arial" w:cs="Arial"/>
                <w:color w:val="FFFFFF" w:themeColor="background1"/>
                <w:sz w:val="20"/>
                <w:szCs w:val="20"/>
              </w:rPr>
              <w:t>20</w:t>
            </w:r>
            <w:r w:rsidR="0029474E" w:rsidRPr="005045BF">
              <w:rPr>
                <w:rFonts w:ascii="Arial" w:hAnsi="Arial" w:cs="Arial"/>
                <w:color w:val="FFFFFF" w:themeColor="background1"/>
                <w:sz w:val="20"/>
                <w:szCs w:val="20"/>
              </w:rPr>
              <w:t>-201</w:t>
            </w:r>
            <w:r w:rsidR="00B9632F" w:rsidRPr="005045BF">
              <w:rPr>
                <w:rFonts w:ascii="Arial" w:hAnsi="Arial" w:cs="Arial"/>
                <w:color w:val="FFFFFF" w:themeColor="background1"/>
                <w:sz w:val="20"/>
                <w:szCs w:val="20"/>
              </w:rPr>
              <w:t>9</w:t>
            </w:r>
          </w:p>
        </w:tc>
        <w:tc>
          <w:tcPr>
            <w:tcW w:w="283" w:type="dxa"/>
            <w:tcBorders>
              <w:top w:val="nil"/>
              <w:left w:val="single" w:sz="4" w:space="0" w:color="4F81BD" w:themeColor="accent1"/>
              <w:bottom w:val="nil"/>
              <w:right w:val="single" w:sz="4" w:space="0" w:color="4F81BD" w:themeColor="accent1"/>
            </w:tcBorders>
            <w:noWrap/>
            <w:vAlign w:val="center"/>
            <w:hideMark/>
          </w:tcPr>
          <w:p w14:paraId="75149D92" w14:textId="77777777" w:rsidR="0029474E" w:rsidRPr="005045BF" w:rsidRDefault="0029474E" w:rsidP="00A928E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5005" w:type="dxa"/>
            <w:gridSpan w:val="3"/>
            <w:tcBorders>
              <w:top w:val="single" w:sz="4" w:space="0" w:color="4F81BD" w:themeColor="accent1"/>
              <w:left w:val="single" w:sz="4" w:space="0" w:color="4F81BD" w:themeColor="accent1"/>
              <w:right w:val="single" w:sz="4" w:space="0" w:color="4F81BD" w:themeColor="accent1"/>
            </w:tcBorders>
            <w:shd w:val="clear" w:color="auto" w:fill="4F81BD" w:themeFill="accent1"/>
            <w:noWrap/>
            <w:vAlign w:val="center"/>
            <w:hideMark/>
          </w:tcPr>
          <w:p w14:paraId="32EDE4EC" w14:textId="058CC833" w:rsidR="0029474E" w:rsidRPr="005045BF" w:rsidRDefault="00C5042F" w:rsidP="00A928E8">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Variable: Total de Gasto Viáticos y Pasajes </w:t>
            </w:r>
            <w:r w:rsidR="001E3120" w:rsidRPr="005045BF">
              <w:rPr>
                <w:rFonts w:ascii="Arial" w:hAnsi="Arial" w:cs="Arial"/>
                <w:color w:val="FFFFFF" w:themeColor="background1"/>
                <w:sz w:val="20"/>
                <w:szCs w:val="20"/>
              </w:rPr>
              <w:t>Aéreos 20</w:t>
            </w:r>
            <w:r w:rsidR="00B9632F" w:rsidRPr="005045BF">
              <w:rPr>
                <w:rFonts w:ascii="Arial" w:hAnsi="Arial" w:cs="Arial"/>
                <w:color w:val="FFFFFF" w:themeColor="background1"/>
                <w:sz w:val="20"/>
                <w:szCs w:val="20"/>
              </w:rPr>
              <w:t>20</w:t>
            </w:r>
            <w:r w:rsidRPr="005045BF">
              <w:rPr>
                <w:rFonts w:ascii="Arial" w:hAnsi="Arial" w:cs="Arial"/>
                <w:color w:val="FFFFFF" w:themeColor="background1"/>
                <w:sz w:val="20"/>
                <w:szCs w:val="20"/>
              </w:rPr>
              <w:t>-201</w:t>
            </w:r>
            <w:r w:rsidR="00B9632F" w:rsidRPr="005045BF">
              <w:rPr>
                <w:rFonts w:ascii="Arial" w:hAnsi="Arial" w:cs="Arial"/>
                <w:color w:val="FFFFFF" w:themeColor="background1"/>
                <w:sz w:val="20"/>
                <w:szCs w:val="20"/>
              </w:rPr>
              <w:t>9</w:t>
            </w:r>
          </w:p>
        </w:tc>
      </w:tr>
      <w:tr w:rsidR="00623B09" w:rsidRPr="005045BF" w14:paraId="60BF2F5F"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shd w:val="clear" w:color="auto" w:fill="4F81BD" w:themeFill="accent1"/>
            <w:noWrap/>
            <w:vAlign w:val="center"/>
            <w:hideMark/>
          </w:tcPr>
          <w:p w14:paraId="5D4BDF51" w14:textId="77777777" w:rsidR="0029474E" w:rsidRPr="005045BF" w:rsidRDefault="0029474E" w:rsidP="00A928E8">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Concepto</w:t>
            </w:r>
          </w:p>
        </w:tc>
        <w:tc>
          <w:tcPr>
            <w:tcW w:w="1159" w:type="dxa"/>
            <w:shd w:val="clear" w:color="auto" w:fill="4F81BD" w:themeFill="accent1"/>
            <w:noWrap/>
            <w:vAlign w:val="center"/>
            <w:hideMark/>
          </w:tcPr>
          <w:p w14:paraId="42C30091"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Viáticos</w:t>
            </w:r>
            <w:r w:rsidR="004C32C6" w:rsidRPr="005045BF">
              <w:rPr>
                <w:rFonts w:ascii="Arial" w:hAnsi="Arial" w:cs="Arial"/>
                <w:b/>
                <w:bCs/>
                <w:color w:val="FFFFFF" w:themeColor="background1"/>
                <w:sz w:val="20"/>
                <w:szCs w:val="20"/>
              </w:rPr>
              <w:t xml:space="preserve"> (#)</w:t>
            </w:r>
          </w:p>
        </w:tc>
        <w:tc>
          <w:tcPr>
            <w:tcW w:w="993" w:type="dxa"/>
            <w:tcBorders>
              <w:right w:val="single" w:sz="4" w:space="0" w:color="4F81BD" w:themeColor="accent1"/>
            </w:tcBorders>
            <w:shd w:val="clear" w:color="auto" w:fill="4F81BD" w:themeFill="accent1"/>
            <w:noWrap/>
            <w:vAlign w:val="center"/>
            <w:hideMark/>
          </w:tcPr>
          <w:p w14:paraId="4DF981DB"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Pasajes</w:t>
            </w:r>
            <w:r w:rsidR="004C32C6" w:rsidRPr="005045BF">
              <w:rPr>
                <w:rFonts w:ascii="Arial" w:hAnsi="Arial" w:cs="Arial"/>
                <w:b/>
                <w:bCs/>
                <w:color w:val="FFFFFF" w:themeColor="background1"/>
                <w:sz w:val="20"/>
                <w:szCs w:val="20"/>
              </w:rPr>
              <w:t xml:space="preserve"> (#)</w:t>
            </w:r>
          </w:p>
        </w:tc>
        <w:tc>
          <w:tcPr>
            <w:tcW w:w="283" w:type="dxa"/>
            <w:tcBorders>
              <w:top w:val="nil"/>
              <w:left w:val="single" w:sz="4" w:space="0" w:color="4F81BD" w:themeColor="accent1"/>
              <w:bottom w:val="nil"/>
              <w:right w:val="single" w:sz="4" w:space="0" w:color="4F81BD" w:themeColor="accent1"/>
            </w:tcBorders>
            <w:noWrap/>
            <w:vAlign w:val="center"/>
            <w:hideMark/>
          </w:tcPr>
          <w:p w14:paraId="77F79DD3"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p>
        </w:tc>
        <w:tc>
          <w:tcPr>
            <w:tcW w:w="2268" w:type="dxa"/>
            <w:tcBorders>
              <w:left w:val="single" w:sz="4" w:space="0" w:color="4F81BD" w:themeColor="accent1"/>
            </w:tcBorders>
            <w:shd w:val="clear" w:color="auto" w:fill="4F81BD" w:themeFill="accent1"/>
            <w:noWrap/>
            <w:vAlign w:val="center"/>
            <w:hideMark/>
          </w:tcPr>
          <w:p w14:paraId="716E9DBD"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Concepto</w:t>
            </w:r>
          </w:p>
        </w:tc>
        <w:tc>
          <w:tcPr>
            <w:tcW w:w="1370" w:type="dxa"/>
            <w:shd w:val="clear" w:color="auto" w:fill="4F81BD" w:themeFill="accent1"/>
            <w:noWrap/>
            <w:vAlign w:val="center"/>
            <w:hideMark/>
          </w:tcPr>
          <w:p w14:paraId="3BA63FB1"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Viáticos</w:t>
            </w:r>
            <w:r w:rsidR="004C32C6" w:rsidRPr="005045BF">
              <w:rPr>
                <w:rFonts w:ascii="Arial" w:hAnsi="Arial" w:cs="Arial"/>
                <w:b/>
                <w:bCs/>
                <w:color w:val="FFFFFF" w:themeColor="background1"/>
                <w:sz w:val="20"/>
                <w:szCs w:val="20"/>
              </w:rPr>
              <w:t xml:space="preserve"> ($)</w:t>
            </w:r>
          </w:p>
        </w:tc>
        <w:tc>
          <w:tcPr>
            <w:tcW w:w="1367" w:type="dxa"/>
            <w:tcBorders>
              <w:right w:val="single" w:sz="4" w:space="0" w:color="4F81BD" w:themeColor="accent1"/>
            </w:tcBorders>
            <w:shd w:val="clear" w:color="auto" w:fill="4F81BD" w:themeFill="accent1"/>
            <w:noWrap/>
            <w:vAlign w:val="center"/>
            <w:hideMark/>
          </w:tcPr>
          <w:p w14:paraId="73E62FA8" w14:textId="77777777" w:rsidR="0029474E" w:rsidRPr="005045BF" w:rsidRDefault="0029474E" w:rsidP="00A928E8">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Pasajes</w:t>
            </w:r>
            <w:r w:rsidR="004C32C6" w:rsidRPr="005045BF">
              <w:rPr>
                <w:rFonts w:ascii="Arial" w:hAnsi="Arial" w:cs="Arial"/>
                <w:b/>
                <w:bCs/>
                <w:color w:val="FFFFFF" w:themeColor="background1"/>
                <w:sz w:val="20"/>
                <w:szCs w:val="20"/>
              </w:rPr>
              <w:t xml:space="preserve"> ($)</w:t>
            </w:r>
          </w:p>
        </w:tc>
      </w:tr>
      <w:tr w:rsidR="007A11FB" w:rsidRPr="005045BF" w14:paraId="69DA2B7E"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21894CB8" w14:textId="01D3C8F4" w:rsidR="007A11FB" w:rsidRPr="005045BF" w:rsidRDefault="007A11FB" w:rsidP="007A11FB">
            <w:pPr>
              <w:spacing w:before="40" w:after="4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I Trimestre de 2020</w:t>
            </w:r>
          </w:p>
        </w:tc>
        <w:tc>
          <w:tcPr>
            <w:tcW w:w="1159" w:type="dxa"/>
            <w:noWrap/>
            <w:vAlign w:val="center"/>
          </w:tcPr>
          <w:p w14:paraId="2B50F654" w14:textId="4F5DBCCB"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247</w:t>
            </w:r>
          </w:p>
        </w:tc>
        <w:tc>
          <w:tcPr>
            <w:tcW w:w="993" w:type="dxa"/>
            <w:tcBorders>
              <w:right w:val="single" w:sz="4" w:space="0" w:color="4F81BD" w:themeColor="accent1"/>
            </w:tcBorders>
            <w:noWrap/>
            <w:vAlign w:val="center"/>
          </w:tcPr>
          <w:p w14:paraId="5C06B2EE" w14:textId="3143F939"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187</w:t>
            </w:r>
          </w:p>
        </w:tc>
        <w:tc>
          <w:tcPr>
            <w:tcW w:w="283" w:type="dxa"/>
            <w:tcBorders>
              <w:top w:val="nil"/>
              <w:left w:val="single" w:sz="4" w:space="0" w:color="4F81BD" w:themeColor="accent1"/>
              <w:bottom w:val="nil"/>
              <w:right w:val="single" w:sz="4" w:space="0" w:color="4F81BD" w:themeColor="accent1"/>
            </w:tcBorders>
            <w:noWrap/>
            <w:vAlign w:val="center"/>
            <w:hideMark/>
          </w:tcPr>
          <w:p w14:paraId="080B3A11" w14:textId="77777777" w:rsidR="007A11FB" w:rsidRPr="005045BF" w:rsidRDefault="007A11FB" w:rsidP="007A11FB">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hideMark/>
          </w:tcPr>
          <w:p w14:paraId="31BF5D57" w14:textId="397F39DC"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de 2020</w:t>
            </w:r>
          </w:p>
        </w:tc>
        <w:tc>
          <w:tcPr>
            <w:tcW w:w="1370" w:type="dxa"/>
            <w:noWrap/>
            <w:vAlign w:val="center"/>
          </w:tcPr>
          <w:p w14:paraId="156CB12B" w14:textId="5DDDAE5B"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101.023.226</w:t>
            </w:r>
          </w:p>
        </w:tc>
        <w:tc>
          <w:tcPr>
            <w:tcW w:w="1367" w:type="dxa"/>
            <w:tcBorders>
              <w:right w:val="single" w:sz="4" w:space="0" w:color="4F81BD" w:themeColor="accent1"/>
            </w:tcBorders>
            <w:noWrap/>
            <w:vAlign w:val="center"/>
          </w:tcPr>
          <w:p w14:paraId="05D57AF1" w14:textId="11638B99"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138.014.786</w:t>
            </w:r>
          </w:p>
        </w:tc>
      </w:tr>
      <w:tr w:rsidR="007A11FB" w:rsidRPr="005045BF" w14:paraId="6FF8901B"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hideMark/>
          </w:tcPr>
          <w:p w14:paraId="71C36699" w14:textId="3FD0A59D" w:rsidR="007A11FB" w:rsidRPr="005045BF" w:rsidRDefault="007A11FB" w:rsidP="007A11FB">
            <w:pPr>
              <w:spacing w:before="40" w:after="4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I Trimestre de 2019</w:t>
            </w:r>
          </w:p>
        </w:tc>
        <w:tc>
          <w:tcPr>
            <w:tcW w:w="1159" w:type="dxa"/>
            <w:noWrap/>
            <w:vAlign w:val="center"/>
          </w:tcPr>
          <w:p w14:paraId="7043F603" w14:textId="1D0B72C4"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279</w:t>
            </w:r>
          </w:p>
        </w:tc>
        <w:tc>
          <w:tcPr>
            <w:tcW w:w="993" w:type="dxa"/>
            <w:tcBorders>
              <w:right w:val="single" w:sz="4" w:space="0" w:color="4F81BD" w:themeColor="accent1"/>
            </w:tcBorders>
            <w:noWrap/>
            <w:vAlign w:val="center"/>
          </w:tcPr>
          <w:p w14:paraId="7A41C9CC" w14:textId="08A940B9"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213</w:t>
            </w:r>
          </w:p>
        </w:tc>
        <w:tc>
          <w:tcPr>
            <w:tcW w:w="283" w:type="dxa"/>
            <w:tcBorders>
              <w:top w:val="nil"/>
              <w:left w:val="single" w:sz="4" w:space="0" w:color="4F81BD" w:themeColor="accent1"/>
              <w:bottom w:val="nil"/>
              <w:right w:val="single" w:sz="4" w:space="0" w:color="4F81BD" w:themeColor="accent1"/>
            </w:tcBorders>
            <w:noWrap/>
            <w:vAlign w:val="center"/>
            <w:hideMark/>
          </w:tcPr>
          <w:p w14:paraId="48E788ED" w14:textId="77777777" w:rsidR="007A11FB" w:rsidRPr="005045BF" w:rsidRDefault="007A11FB" w:rsidP="007A11FB">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hideMark/>
          </w:tcPr>
          <w:p w14:paraId="757CC2A3" w14:textId="1E6AE60F"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de 2019</w:t>
            </w:r>
          </w:p>
        </w:tc>
        <w:tc>
          <w:tcPr>
            <w:tcW w:w="1370" w:type="dxa"/>
            <w:noWrap/>
            <w:vAlign w:val="center"/>
          </w:tcPr>
          <w:p w14:paraId="4E43DF8D" w14:textId="1085E76B"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131.182.792</w:t>
            </w:r>
          </w:p>
        </w:tc>
        <w:tc>
          <w:tcPr>
            <w:tcW w:w="1367" w:type="dxa"/>
            <w:tcBorders>
              <w:right w:val="single" w:sz="4" w:space="0" w:color="4F81BD" w:themeColor="accent1"/>
            </w:tcBorders>
            <w:noWrap/>
            <w:vAlign w:val="center"/>
          </w:tcPr>
          <w:p w14:paraId="1CE3F346" w14:textId="667EAEBC"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163.726.521</w:t>
            </w:r>
          </w:p>
        </w:tc>
      </w:tr>
      <w:tr w:rsidR="007A11FB" w:rsidRPr="005045BF" w14:paraId="54C8517F"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tcBorders>
            <w:noWrap/>
            <w:vAlign w:val="center"/>
          </w:tcPr>
          <w:p w14:paraId="2DBD472F" w14:textId="77777777" w:rsidR="007A11FB" w:rsidRPr="005045BF" w:rsidRDefault="007A11FB" w:rsidP="007A11FB">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Variación Absoluta</w:t>
            </w:r>
          </w:p>
        </w:tc>
        <w:tc>
          <w:tcPr>
            <w:tcW w:w="1159" w:type="dxa"/>
            <w:noWrap/>
            <w:vAlign w:val="center"/>
          </w:tcPr>
          <w:p w14:paraId="516094CA" w14:textId="14EE3E6C"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(32)</w:t>
            </w:r>
          </w:p>
        </w:tc>
        <w:tc>
          <w:tcPr>
            <w:tcW w:w="993" w:type="dxa"/>
            <w:tcBorders>
              <w:right w:val="single" w:sz="4" w:space="0" w:color="4F81BD" w:themeColor="accent1"/>
            </w:tcBorders>
            <w:noWrap/>
            <w:vAlign w:val="center"/>
          </w:tcPr>
          <w:p w14:paraId="0138E480" w14:textId="1620EC31"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(26)</w:t>
            </w:r>
          </w:p>
        </w:tc>
        <w:tc>
          <w:tcPr>
            <w:tcW w:w="283" w:type="dxa"/>
            <w:tcBorders>
              <w:top w:val="nil"/>
              <w:left w:val="single" w:sz="4" w:space="0" w:color="4F81BD" w:themeColor="accent1"/>
              <w:bottom w:val="nil"/>
              <w:right w:val="single" w:sz="4" w:space="0" w:color="4F81BD" w:themeColor="accent1"/>
            </w:tcBorders>
            <w:noWrap/>
            <w:vAlign w:val="center"/>
          </w:tcPr>
          <w:p w14:paraId="7EA2B12D" w14:textId="77777777" w:rsidR="007A11FB" w:rsidRPr="005045BF" w:rsidRDefault="007A11FB" w:rsidP="007A11FB">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tcBorders>
            <w:noWrap/>
            <w:vAlign w:val="center"/>
          </w:tcPr>
          <w:p w14:paraId="427411C5" w14:textId="77777777"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Variación Absoluta</w:t>
            </w:r>
          </w:p>
        </w:tc>
        <w:tc>
          <w:tcPr>
            <w:tcW w:w="1370" w:type="dxa"/>
            <w:noWrap/>
            <w:vAlign w:val="center"/>
          </w:tcPr>
          <w:p w14:paraId="79DA92B2" w14:textId="112D0E63"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(30.159.566)</w:t>
            </w:r>
          </w:p>
        </w:tc>
        <w:tc>
          <w:tcPr>
            <w:tcW w:w="1367" w:type="dxa"/>
            <w:tcBorders>
              <w:right w:val="single" w:sz="4" w:space="0" w:color="4F81BD" w:themeColor="accent1"/>
            </w:tcBorders>
            <w:noWrap/>
            <w:vAlign w:val="center"/>
          </w:tcPr>
          <w:p w14:paraId="513AB897" w14:textId="02B55F14"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(25.711.735)</w:t>
            </w:r>
          </w:p>
        </w:tc>
      </w:tr>
      <w:tr w:rsidR="007A11FB" w:rsidRPr="005045BF" w14:paraId="0DE0999C" w14:textId="77777777" w:rsidTr="00E42DFA">
        <w:trPr>
          <w:cantSplit/>
          <w:jc w:val="center"/>
        </w:trPr>
        <w:tc>
          <w:tcPr>
            <w:cnfStyle w:val="001000000000" w:firstRow="0" w:lastRow="0" w:firstColumn="1" w:lastColumn="0" w:oddVBand="0" w:evenVBand="0" w:oddHBand="0" w:evenHBand="0" w:firstRowFirstColumn="0" w:firstRowLastColumn="0" w:lastRowFirstColumn="0" w:lastRowLastColumn="0"/>
            <w:tcW w:w="2238" w:type="dxa"/>
            <w:tcBorders>
              <w:left w:val="single" w:sz="4" w:space="0" w:color="4F81BD" w:themeColor="accent1"/>
              <w:bottom w:val="single" w:sz="4" w:space="0" w:color="4F81BD" w:themeColor="accent1"/>
            </w:tcBorders>
            <w:noWrap/>
            <w:vAlign w:val="center"/>
          </w:tcPr>
          <w:p w14:paraId="23EB4A68" w14:textId="77777777" w:rsidR="007A11FB" w:rsidRPr="005045BF" w:rsidRDefault="007A11FB" w:rsidP="007A11FB">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Variación Relativa </w:t>
            </w:r>
          </w:p>
        </w:tc>
        <w:tc>
          <w:tcPr>
            <w:tcW w:w="1159" w:type="dxa"/>
            <w:tcBorders>
              <w:bottom w:val="single" w:sz="4" w:space="0" w:color="4F81BD" w:themeColor="accent1"/>
            </w:tcBorders>
            <w:noWrap/>
            <w:vAlign w:val="center"/>
          </w:tcPr>
          <w:p w14:paraId="14924662" w14:textId="7C68B59A"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(11%)</w:t>
            </w:r>
          </w:p>
        </w:tc>
        <w:tc>
          <w:tcPr>
            <w:tcW w:w="993" w:type="dxa"/>
            <w:tcBorders>
              <w:bottom w:val="single" w:sz="4" w:space="0" w:color="4F81BD" w:themeColor="accent1"/>
              <w:right w:val="single" w:sz="4" w:space="0" w:color="4F81BD" w:themeColor="accent1"/>
            </w:tcBorders>
            <w:noWrap/>
            <w:vAlign w:val="center"/>
          </w:tcPr>
          <w:p w14:paraId="4AA2E5D5" w14:textId="6223AB20"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(12%)</w:t>
            </w:r>
          </w:p>
        </w:tc>
        <w:tc>
          <w:tcPr>
            <w:tcW w:w="283" w:type="dxa"/>
            <w:tcBorders>
              <w:top w:val="nil"/>
              <w:left w:val="single" w:sz="4" w:space="0" w:color="4F81BD" w:themeColor="accent1"/>
              <w:bottom w:val="nil"/>
              <w:right w:val="single" w:sz="4" w:space="0" w:color="4F81BD" w:themeColor="accent1"/>
            </w:tcBorders>
            <w:noWrap/>
            <w:vAlign w:val="center"/>
          </w:tcPr>
          <w:p w14:paraId="6657FA1D" w14:textId="77777777" w:rsidR="007A11FB" w:rsidRPr="005045BF" w:rsidRDefault="007A11FB" w:rsidP="007A11FB">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68" w:type="dxa"/>
            <w:tcBorders>
              <w:left w:val="single" w:sz="4" w:space="0" w:color="4F81BD" w:themeColor="accent1"/>
              <w:bottom w:val="single" w:sz="4" w:space="0" w:color="4F81BD" w:themeColor="accent1"/>
            </w:tcBorders>
            <w:noWrap/>
            <w:vAlign w:val="center"/>
          </w:tcPr>
          <w:p w14:paraId="58230D4A" w14:textId="77777777" w:rsidR="007A11FB" w:rsidRPr="005045BF" w:rsidRDefault="007A11FB" w:rsidP="007A11FB">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 xml:space="preserve">Variación Relativa </w:t>
            </w:r>
          </w:p>
        </w:tc>
        <w:tc>
          <w:tcPr>
            <w:tcW w:w="1370" w:type="dxa"/>
            <w:tcBorders>
              <w:bottom w:val="single" w:sz="4" w:space="0" w:color="4F81BD" w:themeColor="accent1"/>
            </w:tcBorders>
            <w:noWrap/>
            <w:vAlign w:val="center"/>
          </w:tcPr>
          <w:p w14:paraId="53C1B928" w14:textId="1BA77A58"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(23%)</w:t>
            </w:r>
          </w:p>
        </w:tc>
        <w:tc>
          <w:tcPr>
            <w:tcW w:w="1367" w:type="dxa"/>
            <w:tcBorders>
              <w:bottom w:val="single" w:sz="4" w:space="0" w:color="4F81BD" w:themeColor="accent1"/>
              <w:right w:val="single" w:sz="4" w:space="0" w:color="4F81BD" w:themeColor="accent1"/>
            </w:tcBorders>
            <w:noWrap/>
            <w:vAlign w:val="center"/>
          </w:tcPr>
          <w:p w14:paraId="49E9153D" w14:textId="7D4F8239" w:rsidR="007A11FB" w:rsidRPr="005045BF" w:rsidRDefault="007A11FB" w:rsidP="007A11FB">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bCs/>
                <w:color w:val="0F243E" w:themeColor="text2" w:themeShade="80"/>
                <w:sz w:val="20"/>
                <w:szCs w:val="20"/>
              </w:rPr>
              <w:t>(16%)</w:t>
            </w:r>
          </w:p>
        </w:tc>
      </w:tr>
    </w:tbl>
    <w:p w14:paraId="20781815" w14:textId="1FDBDB1E" w:rsidR="009C2B3F" w:rsidRPr="005045BF" w:rsidRDefault="009C2B3F" w:rsidP="00BF5A6D">
      <w:pPr>
        <w:tabs>
          <w:tab w:val="left" w:pos="567"/>
        </w:tabs>
        <w:jc w:val="both"/>
        <w:rPr>
          <w:rFonts w:ascii="Arial" w:hAnsi="Arial" w:cs="Arial"/>
          <w:sz w:val="22"/>
          <w:szCs w:val="22"/>
          <w:highlight w:val="yellow"/>
        </w:rPr>
      </w:pPr>
    </w:p>
    <w:p w14:paraId="3F9434A7" w14:textId="3B84A88F" w:rsidR="0037201D" w:rsidRPr="005045BF" w:rsidRDefault="0037201D" w:rsidP="005944C1">
      <w:pPr>
        <w:tabs>
          <w:tab w:val="left" w:pos="567"/>
        </w:tabs>
        <w:jc w:val="both"/>
        <w:rPr>
          <w:rFonts w:ascii="Arial" w:hAnsi="Arial" w:cs="Arial"/>
          <w:color w:val="000000" w:themeColor="text1"/>
          <w:sz w:val="22"/>
          <w:szCs w:val="22"/>
        </w:rPr>
      </w:pPr>
      <w:r w:rsidRPr="005045BF">
        <w:rPr>
          <w:rFonts w:ascii="Arial" w:hAnsi="Arial" w:cs="Arial"/>
          <w:color w:val="000000" w:themeColor="text1"/>
          <w:sz w:val="22"/>
          <w:szCs w:val="22"/>
        </w:rPr>
        <w:t xml:space="preserve">De forma global, la cantidad </w:t>
      </w:r>
      <w:r w:rsidR="007064C6" w:rsidRPr="005045BF">
        <w:rPr>
          <w:rFonts w:ascii="Arial" w:hAnsi="Arial" w:cs="Arial"/>
          <w:color w:val="000000" w:themeColor="text1"/>
          <w:sz w:val="22"/>
          <w:szCs w:val="22"/>
        </w:rPr>
        <w:t xml:space="preserve">y el gasto para los conceptos de pasajes aéreos y viáticos presentaron disminuciones </w:t>
      </w:r>
      <w:r w:rsidRPr="005045BF">
        <w:rPr>
          <w:rFonts w:ascii="Arial" w:hAnsi="Arial" w:cs="Arial"/>
          <w:color w:val="000000" w:themeColor="text1"/>
          <w:sz w:val="22"/>
          <w:szCs w:val="22"/>
        </w:rPr>
        <w:t>durante el periodo analizado</w:t>
      </w:r>
      <w:r w:rsidR="00B23035"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Lo que permite deducir que, si bien este Ministerio ha venido autorizando viáticos </w:t>
      </w:r>
      <w:r w:rsidR="00B23035" w:rsidRPr="005045BF">
        <w:rPr>
          <w:rFonts w:ascii="Arial" w:hAnsi="Arial" w:cs="Arial"/>
          <w:color w:val="000000" w:themeColor="text1"/>
          <w:sz w:val="22"/>
          <w:szCs w:val="22"/>
        </w:rPr>
        <w:t xml:space="preserve">y pasaje aéreos </w:t>
      </w:r>
      <w:r w:rsidRPr="005045BF">
        <w:rPr>
          <w:rFonts w:ascii="Arial" w:hAnsi="Arial" w:cs="Arial"/>
          <w:color w:val="000000" w:themeColor="text1"/>
          <w:sz w:val="22"/>
          <w:szCs w:val="22"/>
        </w:rPr>
        <w:t>en cumplimiento de las funciones asignada</w:t>
      </w:r>
      <w:r w:rsidR="0031516B" w:rsidRPr="005045BF">
        <w:rPr>
          <w:rFonts w:ascii="Arial" w:hAnsi="Arial" w:cs="Arial"/>
          <w:color w:val="000000" w:themeColor="text1"/>
          <w:sz w:val="22"/>
          <w:szCs w:val="22"/>
        </w:rPr>
        <w:t>s y debidamente justificadas por la necesidad del servicio, se han aplicado los controles pertinentes para lograr di</w:t>
      </w:r>
      <w:r w:rsidR="0081653C" w:rsidRPr="005045BF">
        <w:rPr>
          <w:rFonts w:ascii="Arial" w:hAnsi="Arial" w:cs="Arial"/>
          <w:color w:val="000000" w:themeColor="text1"/>
          <w:sz w:val="22"/>
          <w:szCs w:val="22"/>
        </w:rPr>
        <w:t>s</w:t>
      </w:r>
      <w:r w:rsidR="0031516B" w:rsidRPr="005045BF">
        <w:rPr>
          <w:rFonts w:ascii="Arial" w:hAnsi="Arial" w:cs="Arial"/>
          <w:color w:val="000000" w:themeColor="text1"/>
          <w:sz w:val="22"/>
          <w:szCs w:val="22"/>
        </w:rPr>
        <w:t>minuci</w:t>
      </w:r>
      <w:r w:rsidR="0081653C" w:rsidRPr="005045BF">
        <w:rPr>
          <w:rFonts w:ascii="Arial" w:hAnsi="Arial" w:cs="Arial"/>
          <w:color w:val="000000" w:themeColor="text1"/>
          <w:sz w:val="22"/>
          <w:szCs w:val="22"/>
        </w:rPr>
        <w:t>ones</w:t>
      </w:r>
      <w:r w:rsidR="00B23035" w:rsidRPr="005045BF">
        <w:rPr>
          <w:rFonts w:ascii="Arial" w:hAnsi="Arial" w:cs="Arial"/>
          <w:color w:val="000000" w:themeColor="text1"/>
          <w:sz w:val="22"/>
          <w:szCs w:val="22"/>
        </w:rPr>
        <w:t xml:space="preserve">, </w:t>
      </w:r>
      <w:r w:rsidR="0031516B" w:rsidRPr="005045BF">
        <w:rPr>
          <w:rFonts w:ascii="Arial" w:hAnsi="Arial" w:cs="Arial"/>
          <w:color w:val="000000" w:themeColor="text1"/>
          <w:sz w:val="22"/>
          <w:szCs w:val="22"/>
        </w:rPr>
        <w:t xml:space="preserve">contribuyendo así al Plan de Austeridad. </w:t>
      </w:r>
    </w:p>
    <w:p w14:paraId="3AA57DE9" w14:textId="46389A83" w:rsidR="00A41056" w:rsidRPr="005045BF" w:rsidRDefault="00A41056" w:rsidP="005944C1">
      <w:pPr>
        <w:tabs>
          <w:tab w:val="left" w:pos="567"/>
        </w:tabs>
        <w:jc w:val="both"/>
        <w:rPr>
          <w:rFonts w:ascii="Arial" w:hAnsi="Arial" w:cs="Arial"/>
          <w:color w:val="000000" w:themeColor="text1"/>
          <w:sz w:val="22"/>
          <w:szCs w:val="22"/>
        </w:rPr>
      </w:pPr>
    </w:p>
    <w:p w14:paraId="57756B00" w14:textId="6635DE3D" w:rsidR="005E6490" w:rsidRPr="005045BF" w:rsidRDefault="009C1085" w:rsidP="005944C1">
      <w:pPr>
        <w:tabs>
          <w:tab w:val="left" w:pos="567"/>
        </w:tabs>
        <w:jc w:val="both"/>
        <w:rPr>
          <w:rFonts w:ascii="Arial" w:hAnsi="Arial" w:cs="Arial"/>
          <w:color w:val="000000" w:themeColor="text1"/>
          <w:sz w:val="22"/>
          <w:szCs w:val="22"/>
        </w:rPr>
      </w:pPr>
      <w:r w:rsidRPr="005045BF">
        <w:rPr>
          <w:rFonts w:ascii="Arial" w:hAnsi="Arial" w:cs="Arial"/>
          <w:color w:val="000000" w:themeColor="text1"/>
          <w:sz w:val="22"/>
          <w:szCs w:val="22"/>
        </w:rPr>
        <w:t xml:space="preserve">Adicionalmente, </w:t>
      </w:r>
      <w:r w:rsidR="008853D9" w:rsidRPr="005045BF">
        <w:rPr>
          <w:rFonts w:ascii="Arial" w:hAnsi="Arial" w:cs="Arial"/>
          <w:color w:val="000000" w:themeColor="text1"/>
          <w:sz w:val="22"/>
          <w:szCs w:val="22"/>
        </w:rPr>
        <w:t xml:space="preserve">la Subdirección de Gestión del Talento Humano informó </w:t>
      </w:r>
      <w:r w:rsidR="005E6490" w:rsidRPr="005045BF">
        <w:rPr>
          <w:rFonts w:ascii="Arial" w:hAnsi="Arial" w:cs="Arial"/>
          <w:color w:val="000000" w:themeColor="text1"/>
          <w:sz w:val="22"/>
          <w:szCs w:val="22"/>
        </w:rPr>
        <w:t xml:space="preserve">que se </w:t>
      </w:r>
      <w:r w:rsidR="008853D9" w:rsidRPr="005045BF">
        <w:rPr>
          <w:rFonts w:ascii="Arial" w:hAnsi="Arial" w:cs="Arial"/>
          <w:color w:val="000000" w:themeColor="text1"/>
          <w:sz w:val="22"/>
          <w:szCs w:val="22"/>
        </w:rPr>
        <w:t>aplicaron los</w:t>
      </w:r>
      <w:r w:rsidR="005E6490" w:rsidRPr="005045BF">
        <w:rPr>
          <w:rFonts w:ascii="Arial" w:hAnsi="Arial" w:cs="Arial"/>
          <w:color w:val="000000" w:themeColor="text1"/>
          <w:sz w:val="22"/>
          <w:szCs w:val="22"/>
        </w:rPr>
        <w:t xml:space="preserve"> siguientes controles en aras de contribuir a las medidas de eficiencia del gasto, así:</w:t>
      </w:r>
    </w:p>
    <w:p w14:paraId="4E96C0A2" w14:textId="77777777" w:rsidR="005E6490" w:rsidRPr="005045BF" w:rsidRDefault="005E6490" w:rsidP="005944C1">
      <w:pPr>
        <w:rPr>
          <w:rFonts w:ascii="Arial" w:hAnsi="Arial" w:cs="Arial"/>
          <w:color w:val="000000" w:themeColor="text1"/>
          <w:sz w:val="18"/>
          <w:szCs w:val="22"/>
        </w:rPr>
      </w:pPr>
    </w:p>
    <w:p w14:paraId="0868D455" w14:textId="6A2B028E" w:rsidR="005E2DDF" w:rsidRPr="005045BF" w:rsidRDefault="005E2DDF" w:rsidP="005944C1">
      <w:pPr>
        <w:pStyle w:val="Prrafodelista"/>
        <w:numPr>
          <w:ilvl w:val="0"/>
          <w:numId w:val="42"/>
        </w:numPr>
        <w:spacing w:after="120"/>
        <w:ind w:left="357" w:hanging="357"/>
        <w:contextualSpacing w:val="0"/>
        <w:rPr>
          <w:rFonts w:ascii="Arial" w:hAnsi="Arial" w:cs="Arial"/>
          <w:color w:val="000000" w:themeColor="text1"/>
          <w:sz w:val="22"/>
          <w:szCs w:val="22"/>
        </w:rPr>
      </w:pPr>
      <w:r w:rsidRPr="005045BF">
        <w:rPr>
          <w:rFonts w:ascii="Arial" w:hAnsi="Arial" w:cs="Arial"/>
          <w:color w:val="000000" w:themeColor="text1"/>
          <w:sz w:val="22"/>
          <w:szCs w:val="22"/>
        </w:rPr>
        <w:t>Se establecieron topes de asignación de viáticos</w:t>
      </w:r>
      <w:r w:rsidR="00BF5D0B" w:rsidRPr="005045BF">
        <w:rPr>
          <w:rFonts w:ascii="Arial" w:hAnsi="Arial" w:cs="Arial"/>
          <w:color w:val="000000" w:themeColor="text1"/>
          <w:sz w:val="22"/>
          <w:szCs w:val="22"/>
        </w:rPr>
        <w:t xml:space="preserve"> y pasajes</w:t>
      </w:r>
      <w:r w:rsidRPr="005045BF">
        <w:rPr>
          <w:rFonts w:ascii="Arial" w:hAnsi="Arial" w:cs="Arial"/>
          <w:color w:val="000000" w:themeColor="text1"/>
          <w:sz w:val="22"/>
          <w:szCs w:val="22"/>
        </w:rPr>
        <w:t xml:space="preserve"> para cada Dirección</w:t>
      </w:r>
      <w:r w:rsidR="0053644F" w:rsidRPr="005045BF">
        <w:rPr>
          <w:rFonts w:ascii="Arial" w:hAnsi="Arial" w:cs="Arial"/>
          <w:color w:val="000000" w:themeColor="text1"/>
          <w:sz w:val="22"/>
          <w:szCs w:val="22"/>
        </w:rPr>
        <w:t>,</w:t>
      </w:r>
      <w:r w:rsidRPr="005045BF">
        <w:rPr>
          <w:rFonts w:ascii="Arial" w:hAnsi="Arial" w:cs="Arial"/>
          <w:color w:val="000000" w:themeColor="text1"/>
          <w:sz w:val="22"/>
          <w:szCs w:val="22"/>
        </w:rPr>
        <w:t xml:space="preserve"> de acuerdo con la ejecución de la vigencia anterior, con el fin de priorizar los recursos asignados</w:t>
      </w:r>
      <w:r w:rsidR="0053644F" w:rsidRPr="005045BF">
        <w:rPr>
          <w:rFonts w:ascii="Arial" w:hAnsi="Arial" w:cs="Arial"/>
          <w:color w:val="000000" w:themeColor="text1"/>
          <w:sz w:val="22"/>
          <w:szCs w:val="22"/>
        </w:rPr>
        <w:t>. L</w:t>
      </w:r>
      <w:r w:rsidR="002D7390" w:rsidRPr="005045BF">
        <w:rPr>
          <w:rFonts w:ascii="Arial" w:hAnsi="Arial" w:cs="Arial"/>
          <w:color w:val="000000" w:themeColor="text1"/>
          <w:sz w:val="22"/>
          <w:szCs w:val="22"/>
        </w:rPr>
        <w:t xml:space="preserve">os </w:t>
      </w:r>
      <w:r w:rsidR="0058336B" w:rsidRPr="005045BF">
        <w:rPr>
          <w:rFonts w:ascii="Arial" w:hAnsi="Arial" w:cs="Arial"/>
          <w:color w:val="000000" w:themeColor="text1"/>
          <w:sz w:val="22"/>
          <w:szCs w:val="22"/>
        </w:rPr>
        <w:t>respectivos topes</w:t>
      </w:r>
      <w:r w:rsidRPr="005045BF">
        <w:rPr>
          <w:rFonts w:ascii="Arial" w:hAnsi="Arial" w:cs="Arial"/>
          <w:color w:val="000000" w:themeColor="text1"/>
          <w:sz w:val="22"/>
          <w:szCs w:val="22"/>
        </w:rPr>
        <w:t xml:space="preserve"> fueron informados a cada Dirección. </w:t>
      </w:r>
    </w:p>
    <w:p w14:paraId="5C2D42C0" w14:textId="22B3DA84" w:rsidR="0058336B" w:rsidRPr="005045BF" w:rsidRDefault="0058336B" w:rsidP="005944C1">
      <w:pPr>
        <w:pStyle w:val="Prrafodelista"/>
        <w:numPr>
          <w:ilvl w:val="0"/>
          <w:numId w:val="42"/>
        </w:numPr>
        <w:spacing w:after="120"/>
        <w:ind w:left="357" w:hanging="357"/>
        <w:contextualSpacing w:val="0"/>
        <w:rPr>
          <w:rFonts w:ascii="Arial" w:hAnsi="Arial" w:cs="Arial"/>
          <w:b/>
          <w:color w:val="000000" w:themeColor="text1"/>
        </w:rPr>
      </w:pPr>
      <w:r w:rsidRPr="005045BF">
        <w:rPr>
          <w:rFonts w:ascii="Arial" w:hAnsi="Arial" w:cs="Arial"/>
          <w:color w:val="000000"/>
          <w:sz w:val="22"/>
          <w:szCs w:val="22"/>
        </w:rPr>
        <w:lastRenderedPageBreak/>
        <w:t xml:space="preserve">Periódicamente se informa a la Dirección Administrativa el estado de ejecución en viáticos y pasajes aéreos. </w:t>
      </w:r>
    </w:p>
    <w:p w14:paraId="4D77359A" w14:textId="59D1CD21" w:rsidR="005E2DDF" w:rsidRPr="005045BF" w:rsidRDefault="005E2DDF" w:rsidP="005944C1">
      <w:pPr>
        <w:pStyle w:val="Prrafodelista"/>
        <w:numPr>
          <w:ilvl w:val="0"/>
          <w:numId w:val="42"/>
        </w:numPr>
        <w:contextualSpacing w:val="0"/>
        <w:rPr>
          <w:rFonts w:ascii="Arial" w:hAnsi="Arial" w:cs="Arial"/>
          <w:color w:val="000000" w:themeColor="text1"/>
          <w:sz w:val="22"/>
          <w:szCs w:val="22"/>
        </w:rPr>
      </w:pPr>
      <w:r w:rsidRPr="005045BF">
        <w:rPr>
          <w:rFonts w:ascii="Arial" w:hAnsi="Arial" w:cs="Arial"/>
          <w:color w:val="000000" w:themeColor="text1"/>
          <w:sz w:val="22"/>
          <w:szCs w:val="22"/>
        </w:rPr>
        <w:t>Antes de autorizar la expedición de un tiquete se verifica que el mismo se expida en tarifa económica excepto los señalados en el artículo 2.2.5.5.28 del Decreto 1083 de 2015.</w:t>
      </w:r>
    </w:p>
    <w:p w14:paraId="71502651" w14:textId="5FECC0A2" w:rsidR="005E2DDF" w:rsidRPr="005045BF" w:rsidRDefault="005E2DDF" w:rsidP="005944C1">
      <w:pPr>
        <w:rPr>
          <w:rFonts w:ascii="Arial" w:hAnsi="Arial" w:cs="Arial"/>
          <w:b/>
          <w:color w:val="000000" w:themeColor="text1"/>
          <w:sz w:val="22"/>
          <w:szCs w:val="22"/>
        </w:rPr>
      </w:pPr>
    </w:p>
    <w:p w14:paraId="7D6335DC" w14:textId="7AF64B3B" w:rsidR="00047367" w:rsidRPr="005045BF" w:rsidRDefault="006A3C47" w:rsidP="00F7440E">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En conclusión, </w:t>
      </w:r>
      <w:r w:rsidR="0037201D" w:rsidRPr="005045BF">
        <w:rPr>
          <w:rFonts w:ascii="Arial" w:hAnsi="Arial" w:cs="Arial"/>
          <w:color w:val="000000" w:themeColor="text1"/>
          <w:sz w:val="22"/>
          <w:szCs w:val="22"/>
        </w:rPr>
        <w:t>las medidas y controles aplicados por este Ministerio</w:t>
      </w:r>
      <w:r w:rsidR="00981FCB" w:rsidRPr="005045BF">
        <w:rPr>
          <w:rFonts w:ascii="Arial" w:hAnsi="Arial" w:cs="Arial"/>
          <w:color w:val="000000" w:themeColor="text1"/>
          <w:sz w:val="22"/>
          <w:szCs w:val="22"/>
        </w:rPr>
        <w:t xml:space="preserve"> contribuyeron </w:t>
      </w:r>
      <w:r w:rsidR="0037201D" w:rsidRPr="005045BF">
        <w:rPr>
          <w:rFonts w:ascii="Arial" w:hAnsi="Arial" w:cs="Arial"/>
          <w:color w:val="000000" w:themeColor="text1"/>
          <w:sz w:val="22"/>
          <w:szCs w:val="22"/>
        </w:rPr>
        <w:t xml:space="preserve">a la austeridad del gasto para el concepto de viáticos y pasajes </w:t>
      </w:r>
      <w:r w:rsidR="00951530" w:rsidRPr="005045BF">
        <w:rPr>
          <w:rFonts w:ascii="Arial" w:hAnsi="Arial" w:cs="Arial"/>
          <w:color w:val="000000" w:themeColor="text1"/>
          <w:sz w:val="22"/>
          <w:szCs w:val="22"/>
        </w:rPr>
        <w:t>aéreos</w:t>
      </w:r>
      <w:r w:rsidR="00981FCB" w:rsidRPr="005045BF">
        <w:rPr>
          <w:rFonts w:ascii="Arial" w:hAnsi="Arial" w:cs="Arial"/>
          <w:color w:val="000000" w:themeColor="text1"/>
          <w:sz w:val="22"/>
          <w:szCs w:val="22"/>
        </w:rPr>
        <w:t>, permitiendo con ello lograr un ahorro de</w:t>
      </w:r>
      <w:r w:rsidR="008D6564" w:rsidRPr="005045BF">
        <w:rPr>
          <w:rFonts w:ascii="Arial" w:hAnsi="Arial" w:cs="Arial"/>
          <w:color w:val="000000" w:themeColor="text1"/>
          <w:sz w:val="22"/>
          <w:szCs w:val="22"/>
        </w:rPr>
        <w:t xml:space="preserve">l </w:t>
      </w:r>
      <w:r w:rsidR="00981FCB" w:rsidRPr="005045BF">
        <w:rPr>
          <w:rFonts w:ascii="Arial" w:hAnsi="Arial" w:cs="Arial"/>
          <w:color w:val="000000" w:themeColor="text1"/>
          <w:sz w:val="22"/>
          <w:szCs w:val="22"/>
        </w:rPr>
        <w:t>19% en</w:t>
      </w:r>
      <w:r w:rsidR="009B76A2" w:rsidRPr="005045BF">
        <w:rPr>
          <w:rFonts w:ascii="Arial" w:hAnsi="Arial" w:cs="Arial"/>
          <w:color w:val="000000" w:themeColor="text1"/>
          <w:sz w:val="22"/>
          <w:szCs w:val="22"/>
        </w:rPr>
        <w:t xml:space="preserve"> el</w:t>
      </w:r>
      <w:r w:rsidR="00981FCB" w:rsidRPr="005045BF">
        <w:rPr>
          <w:rFonts w:ascii="Arial" w:hAnsi="Arial" w:cs="Arial"/>
          <w:color w:val="000000" w:themeColor="text1"/>
          <w:sz w:val="22"/>
          <w:szCs w:val="22"/>
        </w:rPr>
        <w:t xml:space="preserve"> </w:t>
      </w:r>
      <w:r w:rsidR="008D6564" w:rsidRPr="005045BF">
        <w:rPr>
          <w:rFonts w:ascii="Arial" w:hAnsi="Arial" w:cs="Arial"/>
          <w:color w:val="000000" w:themeColor="text1"/>
          <w:sz w:val="22"/>
          <w:szCs w:val="22"/>
        </w:rPr>
        <w:t xml:space="preserve">primer trimestre de 2020 </w:t>
      </w:r>
      <w:r w:rsidR="00981FCB" w:rsidRPr="005045BF">
        <w:rPr>
          <w:rFonts w:ascii="Arial" w:hAnsi="Arial" w:cs="Arial"/>
          <w:color w:val="000000" w:themeColor="text1"/>
          <w:sz w:val="22"/>
          <w:szCs w:val="22"/>
        </w:rPr>
        <w:t>comparad</w:t>
      </w:r>
      <w:r w:rsidR="009B76A2" w:rsidRPr="005045BF">
        <w:rPr>
          <w:rFonts w:ascii="Arial" w:hAnsi="Arial" w:cs="Arial"/>
          <w:color w:val="000000" w:themeColor="text1"/>
          <w:sz w:val="22"/>
          <w:szCs w:val="22"/>
        </w:rPr>
        <w:t>o</w:t>
      </w:r>
      <w:r w:rsidR="00981FCB" w:rsidRPr="005045BF">
        <w:rPr>
          <w:rFonts w:ascii="Arial" w:hAnsi="Arial" w:cs="Arial"/>
          <w:color w:val="000000" w:themeColor="text1"/>
          <w:sz w:val="22"/>
          <w:szCs w:val="22"/>
        </w:rPr>
        <w:t xml:space="preserve"> con la vigencia 201</w:t>
      </w:r>
      <w:r w:rsidR="008D6564" w:rsidRPr="005045BF">
        <w:rPr>
          <w:rFonts w:ascii="Arial" w:hAnsi="Arial" w:cs="Arial"/>
          <w:color w:val="000000" w:themeColor="text1"/>
          <w:sz w:val="22"/>
          <w:szCs w:val="22"/>
        </w:rPr>
        <w:t>9</w:t>
      </w:r>
      <w:r w:rsidR="00981FCB" w:rsidRPr="005045BF">
        <w:rPr>
          <w:rFonts w:ascii="Arial" w:hAnsi="Arial" w:cs="Arial"/>
          <w:color w:val="000000" w:themeColor="text1"/>
          <w:sz w:val="22"/>
          <w:szCs w:val="22"/>
        </w:rPr>
        <w:t xml:space="preserve">. </w:t>
      </w:r>
      <w:r w:rsidR="00951530" w:rsidRPr="005045BF">
        <w:rPr>
          <w:rFonts w:ascii="Arial" w:hAnsi="Arial" w:cs="Arial"/>
          <w:color w:val="000000" w:themeColor="text1"/>
          <w:sz w:val="22"/>
          <w:szCs w:val="22"/>
        </w:rPr>
        <w:t xml:space="preserve">De igual forma, se observó </w:t>
      </w:r>
      <w:r w:rsidR="004076D7" w:rsidRPr="005045BF">
        <w:rPr>
          <w:rFonts w:ascii="Arial" w:hAnsi="Arial" w:cs="Arial"/>
          <w:color w:val="000000" w:themeColor="text1"/>
          <w:sz w:val="22"/>
          <w:szCs w:val="22"/>
        </w:rPr>
        <w:t>que</w:t>
      </w:r>
      <w:r w:rsidR="00E33340">
        <w:rPr>
          <w:rFonts w:ascii="Arial" w:hAnsi="Arial" w:cs="Arial"/>
          <w:color w:val="000000" w:themeColor="text1"/>
          <w:sz w:val="22"/>
          <w:szCs w:val="22"/>
        </w:rPr>
        <w:t>, e</w:t>
      </w:r>
      <w:r w:rsidR="009C1085" w:rsidRPr="005045BF">
        <w:rPr>
          <w:rFonts w:ascii="Arial" w:hAnsi="Arial" w:cs="Arial"/>
          <w:color w:val="000000" w:themeColor="text1"/>
          <w:sz w:val="22"/>
          <w:szCs w:val="22"/>
        </w:rPr>
        <w:t xml:space="preserve">n </w:t>
      </w:r>
      <w:r w:rsidR="008F5A50" w:rsidRPr="005045BF">
        <w:rPr>
          <w:rFonts w:ascii="Arial" w:hAnsi="Arial" w:cs="Arial"/>
          <w:color w:val="000000" w:themeColor="text1"/>
          <w:sz w:val="22"/>
          <w:szCs w:val="22"/>
        </w:rPr>
        <w:t>términos generales</w:t>
      </w:r>
      <w:r w:rsidR="00E33340">
        <w:rPr>
          <w:rFonts w:ascii="Arial" w:hAnsi="Arial" w:cs="Arial"/>
          <w:color w:val="000000" w:themeColor="text1"/>
          <w:sz w:val="22"/>
          <w:szCs w:val="22"/>
        </w:rPr>
        <w:t xml:space="preserve"> </w:t>
      </w:r>
      <w:r w:rsidR="009C1085" w:rsidRPr="005045BF">
        <w:rPr>
          <w:rFonts w:ascii="Arial" w:hAnsi="Arial" w:cs="Arial"/>
          <w:color w:val="000000" w:themeColor="text1"/>
          <w:sz w:val="22"/>
          <w:szCs w:val="22"/>
        </w:rPr>
        <w:t xml:space="preserve">el valor del gasto y la cantidad </w:t>
      </w:r>
      <w:r w:rsidR="008F5A50" w:rsidRPr="005045BF">
        <w:rPr>
          <w:rFonts w:ascii="Arial" w:hAnsi="Arial" w:cs="Arial"/>
          <w:color w:val="000000" w:themeColor="text1"/>
          <w:sz w:val="22"/>
          <w:szCs w:val="22"/>
        </w:rPr>
        <w:t xml:space="preserve">de pasajes aéreos y viáticos </w:t>
      </w:r>
      <w:r w:rsidR="009C1085" w:rsidRPr="005045BF">
        <w:rPr>
          <w:rFonts w:ascii="Arial" w:hAnsi="Arial" w:cs="Arial"/>
          <w:color w:val="000000" w:themeColor="text1"/>
          <w:sz w:val="22"/>
          <w:szCs w:val="22"/>
        </w:rPr>
        <w:t xml:space="preserve">presentaron una </w:t>
      </w:r>
      <w:r w:rsidR="00F7440E" w:rsidRPr="005045BF">
        <w:rPr>
          <w:rFonts w:ascii="Arial" w:hAnsi="Arial" w:cs="Arial"/>
          <w:color w:val="000000" w:themeColor="text1"/>
          <w:sz w:val="22"/>
          <w:szCs w:val="22"/>
        </w:rPr>
        <w:t>tendencia</w:t>
      </w:r>
      <w:r w:rsidR="009C1085" w:rsidRPr="005045BF">
        <w:rPr>
          <w:rFonts w:ascii="Arial" w:hAnsi="Arial" w:cs="Arial"/>
          <w:color w:val="000000" w:themeColor="text1"/>
          <w:sz w:val="22"/>
          <w:szCs w:val="22"/>
        </w:rPr>
        <w:t xml:space="preserve"> decreciente en el primer trimestre de 2020 comparado con el mismo periodo de 2019. </w:t>
      </w:r>
      <w:r w:rsidR="00F7440E" w:rsidRPr="005045BF">
        <w:rPr>
          <w:rFonts w:ascii="Arial" w:hAnsi="Arial" w:cs="Arial"/>
          <w:color w:val="000000" w:themeColor="text1"/>
          <w:sz w:val="22"/>
          <w:szCs w:val="22"/>
        </w:rPr>
        <w:t xml:space="preserve"> </w:t>
      </w:r>
    </w:p>
    <w:p w14:paraId="067296CB" w14:textId="3032ED55" w:rsidR="00047367" w:rsidRPr="005045BF" w:rsidRDefault="00047367" w:rsidP="00F7440E">
      <w:pPr>
        <w:jc w:val="both"/>
        <w:rPr>
          <w:rFonts w:ascii="Arial" w:hAnsi="Arial" w:cs="Arial"/>
          <w:color w:val="000000" w:themeColor="text1"/>
          <w:sz w:val="22"/>
          <w:szCs w:val="22"/>
          <w:highlight w:val="yellow"/>
        </w:rPr>
      </w:pPr>
    </w:p>
    <w:p w14:paraId="32C14CBA" w14:textId="62162411" w:rsidR="00F7440E" w:rsidRPr="005045BF" w:rsidRDefault="00392502" w:rsidP="00F7440E">
      <w:pPr>
        <w:jc w:val="both"/>
        <w:rPr>
          <w:rFonts w:ascii="Arial" w:hAnsi="Arial" w:cs="Arial"/>
          <w:sz w:val="22"/>
          <w:szCs w:val="22"/>
          <w:highlight w:val="yellow"/>
        </w:rPr>
      </w:pPr>
      <w:r w:rsidRPr="005045BF">
        <w:rPr>
          <w:rFonts w:ascii="Arial" w:hAnsi="Arial" w:cs="Arial"/>
          <w:sz w:val="22"/>
          <w:szCs w:val="22"/>
          <w:highlight w:val="yellow"/>
        </w:rPr>
        <w:t xml:space="preserve"> </w:t>
      </w:r>
    </w:p>
    <w:p w14:paraId="2835F01F" w14:textId="77777777" w:rsidR="00B83072" w:rsidRPr="005045BF" w:rsidRDefault="008001E7" w:rsidP="0045629B">
      <w:pPr>
        <w:pStyle w:val="Prrafodelista"/>
        <w:numPr>
          <w:ilvl w:val="0"/>
          <w:numId w:val="8"/>
        </w:numPr>
        <w:ind w:left="284" w:hanging="284"/>
        <w:rPr>
          <w:rFonts w:ascii="Arial" w:hAnsi="Arial" w:cs="Arial"/>
          <w:b/>
          <w:sz w:val="22"/>
          <w:szCs w:val="22"/>
        </w:rPr>
      </w:pPr>
      <w:r w:rsidRPr="005045BF">
        <w:rPr>
          <w:rFonts w:ascii="Arial" w:hAnsi="Arial" w:cs="Arial"/>
          <w:b/>
          <w:sz w:val="22"/>
          <w:szCs w:val="22"/>
        </w:rPr>
        <w:t>CAPACITACIONES</w:t>
      </w:r>
    </w:p>
    <w:p w14:paraId="3849A67C" w14:textId="77777777" w:rsidR="0075698D" w:rsidRPr="005045BF" w:rsidRDefault="0075698D" w:rsidP="00B83072">
      <w:pPr>
        <w:rPr>
          <w:rFonts w:ascii="Arial" w:hAnsi="Arial" w:cs="Arial"/>
          <w:sz w:val="22"/>
          <w:szCs w:val="22"/>
        </w:rPr>
      </w:pPr>
    </w:p>
    <w:p w14:paraId="7C84B8FC" w14:textId="2FB0E5F1" w:rsidR="00BE7120" w:rsidRPr="005045BF" w:rsidRDefault="00152953" w:rsidP="00733329">
      <w:pPr>
        <w:jc w:val="both"/>
        <w:rPr>
          <w:rFonts w:ascii="Arial" w:hAnsi="Arial" w:cs="Arial"/>
          <w:sz w:val="22"/>
          <w:szCs w:val="22"/>
        </w:rPr>
      </w:pPr>
      <w:r w:rsidRPr="005045BF">
        <w:rPr>
          <w:rFonts w:ascii="Arial" w:hAnsi="Arial" w:cs="Arial"/>
          <w:sz w:val="22"/>
          <w:szCs w:val="22"/>
        </w:rPr>
        <w:t xml:space="preserve">La Directiva Presidencial 09 de 2018, </w:t>
      </w:r>
      <w:r w:rsidR="00B2393A" w:rsidRPr="005045BF">
        <w:rPr>
          <w:rFonts w:ascii="Arial" w:hAnsi="Arial" w:cs="Arial"/>
          <w:sz w:val="22"/>
          <w:szCs w:val="22"/>
        </w:rPr>
        <w:t xml:space="preserve">en el numeral 3 enuncia medidas frente al concepto de gastos por capacitaciones que se </w:t>
      </w:r>
      <w:r w:rsidR="00A2689D" w:rsidRPr="005045BF">
        <w:rPr>
          <w:rFonts w:ascii="Arial" w:hAnsi="Arial" w:cs="Arial"/>
          <w:sz w:val="22"/>
          <w:szCs w:val="22"/>
        </w:rPr>
        <w:t xml:space="preserve">debe </w:t>
      </w:r>
      <w:r w:rsidR="00B2393A" w:rsidRPr="005045BF">
        <w:rPr>
          <w:rFonts w:ascii="Arial" w:hAnsi="Arial" w:cs="Arial"/>
          <w:sz w:val="22"/>
          <w:szCs w:val="22"/>
        </w:rPr>
        <w:t>observar en el marco de la austeridad.</w:t>
      </w:r>
      <w:r w:rsidR="00BE7120" w:rsidRPr="005045BF">
        <w:rPr>
          <w:rFonts w:ascii="Arial" w:hAnsi="Arial" w:cs="Arial"/>
          <w:sz w:val="22"/>
          <w:szCs w:val="22"/>
        </w:rPr>
        <w:t xml:space="preserve"> </w:t>
      </w:r>
      <w:r w:rsidR="00E3680E" w:rsidRPr="005045BF">
        <w:rPr>
          <w:rFonts w:ascii="Arial" w:hAnsi="Arial" w:cs="Arial"/>
          <w:sz w:val="22"/>
          <w:szCs w:val="22"/>
        </w:rPr>
        <w:t>Sobre el particular</w:t>
      </w:r>
      <w:r w:rsidR="00FD2CC2" w:rsidRPr="005045BF">
        <w:rPr>
          <w:rFonts w:ascii="Arial" w:hAnsi="Arial" w:cs="Arial"/>
          <w:sz w:val="22"/>
          <w:szCs w:val="22"/>
        </w:rPr>
        <w:t xml:space="preserve">, </w:t>
      </w:r>
      <w:r w:rsidR="00BE7120" w:rsidRPr="005045BF">
        <w:rPr>
          <w:rFonts w:ascii="Arial" w:hAnsi="Arial" w:cs="Arial"/>
          <w:sz w:val="22"/>
          <w:szCs w:val="22"/>
        </w:rPr>
        <w:t xml:space="preserve">la </w:t>
      </w:r>
      <w:r w:rsidR="00F04372" w:rsidRPr="005045BF">
        <w:rPr>
          <w:rFonts w:ascii="Arial" w:hAnsi="Arial" w:cs="Arial"/>
          <w:sz w:val="22"/>
          <w:szCs w:val="22"/>
        </w:rPr>
        <w:t>Subdirección de Gestión del Talento Humano</w:t>
      </w:r>
      <w:r w:rsidR="00FD2CC2" w:rsidRPr="005045BF">
        <w:rPr>
          <w:rFonts w:ascii="Arial" w:hAnsi="Arial" w:cs="Arial"/>
          <w:sz w:val="22"/>
          <w:szCs w:val="22"/>
        </w:rPr>
        <w:t xml:space="preserve">, </w:t>
      </w:r>
      <w:r w:rsidR="00BE7120" w:rsidRPr="005045BF">
        <w:rPr>
          <w:rFonts w:ascii="Arial" w:hAnsi="Arial" w:cs="Arial"/>
          <w:sz w:val="22"/>
          <w:szCs w:val="22"/>
        </w:rPr>
        <w:t>inform</w:t>
      </w:r>
      <w:r w:rsidR="00E80C10" w:rsidRPr="005045BF">
        <w:rPr>
          <w:rFonts w:ascii="Arial" w:hAnsi="Arial" w:cs="Arial"/>
          <w:sz w:val="22"/>
          <w:szCs w:val="22"/>
        </w:rPr>
        <w:t>ó</w:t>
      </w:r>
      <w:r w:rsidR="00FD2CC2" w:rsidRPr="005045BF">
        <w:rPr>
          <w:rFonts w:ascii="Arial" w:hAnsi="Arial" w:cs="Arial"/>
          <w:sz w:val="22"/>
          <w:szCs w:val="22"/>
        </w:rPr>
        <w:t xml:space="preserve"> lo correspondiente al primer trimestre </w:t>
      </w:r>
      <w:r w:rsidR="00E80C10" w:rsidRPr="005045BF">
        <w:rPr>
          <w:rFonts w:ascii="Arial" w:hAnsi="Arial" w:cs="Arial"/>
          <w:sz w:val="22"/>
          <w:szCs w:val="22"/>
        </w:rPr>
        <w:t xml:space="preserve">de </w:t>
      </w:r>
      <w:r w:rsidR="00FD2CC2" w:rsidRPr="005045BF">
        <w:rPr>
          <w:rFonts w:ascii="Arial" w:hAnsi="Arial" w:cs="Arial"/>
          <w:sz w:val="22"/>
          <w:szCs w:val="22"/>
        </w:rPr>
        <w:t>2020</w:t>
      </w:r>
      <w:r w:rsidR="00E80C10" w:rsidRPr="005045BF">
        <w:rPr>
          <w:rFonts w:ascii="Arial" w:hAnsi="Arial" w:cs="Arial"/>
          <w:sz w:val="22"/>
          <w:szCs w:val="22"/>
        </w:rPr>
        <w:t xml:space="preserve">, así: </w:t>
      </w:r>
      <w:r w:rsidR="00FD2CC2" w:rsidRPr="005045BF">
        <w:rPr>
          <w:rFonts w:ascii="Arial" w:hAnsi="Arial" w:cs="Arial"/>
          <w:sz w:val="22"/>
          <w:szCs w:val="22"/>
        </w:rPr>
        <w:t xml:space="preserve"> </w:t>
      </w:r>
    </w:p>
    <w:p w14:paraId="00BFD345" w14:textId="77777777" w:rsidR="00461CB6" w:rsidRPr="005045BF" w:rsidRDefault="00461CB6" w:rsidP="00733329">
      <w:pPr>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1124"/>
        <w:gridCol w:w="3430"/>
        <w:gridCol w:w="5065"/>
      </w:tblGrid>
      <w:tr w:rsidR="00AC0AB1" w:rsidRPr="005045BF" w14:paraId="3C3DA4F5" w14:textId="77777777" w:rsidTr="00682847">
        <w:trPr>
          <w:cantSplit/>
          <w:tblHeader/>
        </w:trPr>
        <w:tc>
          <w:tcPr>
            <w:tcW w:w="1124" w:type="dxa"/>
            <w:tcBorders>
              <w:top w:val="single" w:sz="8" w:space="0" w:color="B8CCE4"/>
              <w:left w:val="single" w:sz="8" w:space="0" w:color="B8CCE4"/>
              <w:bottom w:val="single" w:sz="4" w:space="0" w:color="4F81BD" w:themeColor="accent1"/>
              <w:right w:val="single" w:sz="8" w:space="0" w:color="B8CCE4"/>
            </w:tcBorders>
            <w:shd w:val="clear" w:color="000000" w:fill="4F81BD"/>
            <w:vAlign w:val="center"/>
            <w:hideMark/>
          </w:tcPr>
          <w:p w14:paraId="1163C1D3" w14:textId="77777777" w:rsidR="006C5407" w:rsidRPr="005045BF" w:rsidRDefault="006C5407" w:rsidP="00670DA8">
            <w:pPr>
              <w:widowControl w:val="0"/>
              <w:spacing w:before="60" w:after="6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Numeral 3</w:t>
            </w:r>
          </w:p>
        </w:tc>
        <w:tc>
          <w:tcPr>
            <w:tcW w:w="3430" w:type="dxa"/>
            <w:tcBorders>
              <w:top w:val="single" w:sz="8" w:space="0" w:color="B8CCE4"/>
              <w:left w:val="nil"/>
              <w:bottom w:val="single" w:sz="4" w:space="0" w:color="4F81BD" w:themeColor="accent1"/>
              <w:right w:val="single" w:sz="8" w:space="0" w:color="B8CCE4"/>
            </w:tcBorders>
            <w:shd w:val="clear" w:color="000000" w:fill="4F81BD"/>
            <w:vAlign w:val="center"/>
            <w:hideMark/>
          </w:tcPr>
          <w:p w14:paraId="3B0F71C0" w14:textId="77777777" w:rsidR="006C5407" w:rsidRPr="005045BF" w:rsidRDefault="006C5407" w:rsidP="00670DA8">
            <w:pPr>
              <w:widowControl w:val="0"/>
              <w:spacing w:before="60" w:after="6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Concepto</w:t>
            </w:r>
          </w:p>
        </w:tc>
        <w:tc>
          <w:tcPr>
            <w:tcW w:w="5065" w:type="dxa"/>
            <w:tcBorders>
              <w:top w:val="single" w:sz="8" w:space="0" w:color="B8CCE4"/>
              <w:left w:val="nil"/>
              <w:bottom w:val="single" w:sz="4" w:space="0" w:color="4F81BD" w:themeColor="accent1"/>
              <w:right w:val="single" w:sz="8" w:space="0" w:color="B8CCE4"/>
            </w:tcBorders>
            <w:shd w:val="clear" w:color="000000" w:fill="4F81BD"/>
            <w:vAlign w:val="center"/>
            <w:hideMark/>
          </w:tcPr>
          <w:p w14:paraId="5A8BB222" w14:textId="14801DDC" w:rsidR="006C5407" w:rsidRPr="005045BF" w:rsidRDefault="00613585" w:rsidP="00670DA8">
            <w:pPr>
              <w:widowControl w:val="0"/>
              <w:spacing w:before="60" w:after="6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Información </w:t>
            </w:r>
            <w:r w:rsidR="007B76A2" w:rsidRPr="005045BF">
              <w:rPr>
                <w:rFonts w:ascii="Arial" w:hAnsi="Arial" w:cs="Arial"/>
                <w:b/>
                <w:bCs/>
                <w:color w:val="FFFFFF" w:themeColor="background1"/>
                <w:sz w:val="20"/>
                <w:szCs w:val="20"/>
              </w:rPr>
              <w:t xml:space="preserve">Subdirección de Gestión del Talento Humano </w:t>
            </w:r>
          </w:p>
        </w:tc>
      </w:tr>
      <w:tr w:rsidR="00AC0AB1" w:rsidRPr="005045BF" w14:paraId="569AF7E0" w14:textId="77777777" w:rsidTr="00682847">
        <w:trPr>
          <w:cantSplit/>
        </w:trPr>
        <w:tc>
          <w:tcPr>
            <w:tcW w:w="1124" w:type="dxa"/>
            <w:tcBorders>
              <w:top w:val="single" w:sz="4" w:space="0" w:color="4F81BD" w:themeColor="accent1"/>
              <w:left w:val="single" w:sz="8" w:space="0" w:color="B8CCE4"/>
              <w:bottom w:val="single" w:sz="4" w:space="0" w:color="4F81BD" w:themeColor="accent1"/>
              <w:right w:val="single" w:sz="8" w:space="0" w:color="B8CCE4"/>
            </w:tcBorders>
            <w:shd w:val="clear" w:color="auto" w:fill="auto"/>
            <w:vAlign w:val="center"/>
            <w:hideMark/>
          </w:tcPr>
          <w:p w14:paraId="23EE2658" w14:textId="77777777" w:rsidR="00A50779" w:rsidRPr="005045BF" w:rsidRDefault="00A50779" w:rsidP="00670DA8">
            <w:pPr>
              <w:widowControl w:val="0"/>
              <w:spacing w:before="60" w:after="6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3.1</w:t>
            </w:r>
          </w:p>
        </w:tc>
        <w:tc>
          <w:tcPr>
            <w:tcW w:w="3430" w:type="dxa"/>
            <w:tcBorders>
              <w:top w:val="single" w:sz="4" w:space="0" w:color="4F81BD" w:themeColor="accent1"/>
              <w:left w:val="nil"/>
              <w:bottom w:val="single" w:sz="4" w:space="0" w:color="4F81BD" w:themeColor="accent1"/>
              <w:right w:val="single" w:sz="8" w:space="0" w:color="B8CCE4"/>
            </w:tcBorders>
            <w:shd w:val="clear" w:color="auto" w:fill="auto"/>
            <w:vAlign w:val="center"/>
            <w:hideMark/>
          </w:tcPr>
          <w:p w14:paraId="0241C18F" w14:textId="77777777"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Realizar únicamente los eventos que sean estrictamente necesarios para la entidad y privilegiar, en su organización y desarrollo, el uso de auditorios o espacios institucionales. </w:t>
            </w:r>
          </w:p>
        </w:tc>
        <w:tc>
          <w:tcPr>
            <w:tcW w:w="5065" w:type="dxa"/>
            <w:tcBorders>
              <w:top w:val="single" w:sz="4" w:space="0" w:color="4F81BD" w:themeColor="accent1"/>
              <w:left w:val="nil"/>
              <w:bottom w:val="single" w:sz="4" w:space="0" w:color="4F81BD" w:themeColor="accent1"/>
              <w:right w:val="single" w:sz="8" w:space="0" w:color="B8CCE4"/>
            </w:tcBorders>
            <w:shd w:val="clear" w:color="auto" w:fill="auto"/>
            <w:vAlign w:val="center"/>
          </w:tcPr>
          <w:p w14:paraId="2FAB3848" w14:textId="7FC5AEB4"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En desarrollo del Plan Institucional de Capacitación del MHCP</w:t>
            </w:r>
            <w:r w:rsidR="00E80C10" w:rsidRPr="005045BF">
              <w:rPr>
                <w:rFonts w:ascii="Arial" w:hAnsi="Arial" w:cs="Arial"/>
                <w:color w:val="0F243E" w:themeColor="text2" w:themeShade="80"/>
                <w:sz w:val="20"/>
                <w:szCs w:val="20"/>
              </w:rPr>
              <w:t xml:space="preserve">, </w:t>
            </w:r>
            <w:r w:rsidRPr="005045BF">
              <w:rPr>
                <w:rFonts w:ascii="Arial" w:hAnsi="Arial" w:cs="Arial"/>
                <w:color w:val="0F243E" w:themeColor="text2" w:themeShade="80"/>
                <w:sz w:val="20"/>
                <w:szCs w:val="20"/>
              </w:rPr>
              <w:t>durante el primer trimestre del año 2020</w:t>
            </w:r>
            <w:r w:rsidR="00E80C10" w:rsidRPr="005045BF">
              <w:rPr>
                <w:rFonts w:ascii="Arial" w:hAnsi="Arial" w:cs="Arial"/>
                <w:color w:val="0F243E" w:themeColor="text2" w:themeShade="80"/>
                <w:sz w:val="20"/>
                <w:szCs w:val="20"/>
              </w:rPr>
              <w:t xml:space="preserve"> </w:t>
            </w:r>
            <w:r w:rsidRPr="005045BF">
              <w:rPr>
                <w:rFonts w:ascii="Arial" w:hAnsi="Arial" w:cs="Arial"/>
                <w:color w:val="0F243E" w:themeColor="text2" w:themeShade="80"/>
                <w:sz w:val="20"/>
                <w:szCs w:val="20"/>
              </w:rPr>
              <w:t xml:space="preserve">se realizaron 9 actividades de capacitación, de las </w:t>
            </w:r>
            <w:r w:rsidR="00E80C10" w:rsidRPr="005045BF">
              <w:rPr>
                <w:rFonts w:ascii="Arial" w:hAnsi="Arial" w:cs="Arial"/>
                <w:color w:val="0F243E" w:themeColor="text2" w:themeShade="80"/>
                <w:sz w:val="20"/>
                <w:szCs w:val="20"/>
              </w:rPr>
              <w:t>cuales 4</w:t>
            </w:r>
            <w:r w:rsidRPr="005045BF">
              <w:rPr>
                <w:rFonts w:ascii="Arial" w:hAnsi="Arial" w:cs="Arial"/>
                <w:color w:val="0F243E" w:themeColor="text2" w:themeShade="80"/>
                <w:sz w:val="20"/>
                <w:szCs w:val="20"/>
              </w:rPr>
              <w:t xml:space="preserve"> se encuentran aún en ejecución. Estas actividades se llevaron a cabo en las instalaciones de</w:t>
            </w:r>
            <w:r w:rsidR="00E80C10" w:rsidRPr="005045BF">
              <w:rPr>
                <w:rFonts w:ascii="Arial" w:hAnsi="Arial" w:cs="Arial"/>
                <w:color w:val="0F243E" w:themeColor="text2" w:themeShade="80"/>
                <w:sz w:val="20"/>
                <w:szCs w:val="20"/>
              </w:rPr>
              <w:t xml:space="preserve"> este</w:t>
            </w:r>
            <w:r w:rsidRPr="005045BF">
              <w:rPr>
                <w:rFonts w:ascii="Arial" w:hAnsi="Arial" w:cs="Arial"/>
                <w:color w:val="0F243E" w:themeColor="text2" w:themeShade="80"/>
                <w:sz w:val="20"/>
                <w:szCs w:val="20"/>
              </w:rPr>
              <w:t xml:space="preserve"> Ministerio y en plataformas virtuales de otras Entidades, tales como el DAFP, la ESAP, y el CLAD </w:t>
            </w:r>
            <w:r w:rsidR="00E80C10" w:rsidRPr="005045BF">
              <w:rPr>
                <w:rStyle w:val="Refdenotaalpie"/>
                <w:rFonts w:ascii="Arial" w:hAnsi="Arial" w:cs="Arial"/>
                <w:color w:val="0F243E" w:themeColor="text2" w:themeShade="80"/>
                <w:sz w:val="20"/>
                <w:szCs w:val="20"/>
              </w:rPr>
              <w:footnoteReference w:id="6"/>
            </w:r>
            <w:r w:rsidR="00746254">
              <w:rPr>
                <w:rFonts w:ascii="Arial" w:hAnsi="Arial" w:cs="Arial"/>
                <w:color w:val="0F243E" w:themeColor="text2" w:themeShade="80"/>
                <w:sz w:val="20"/>
                <w:szCs w:val="20"/>
              </w:rPr>
              <w:t>.</w:t>
            </w:r>
          </w:p>
        </w:tc>
      </w:tr>
      <w:tr w:rsidR="00AC0AB1" w:rsidRPr="005045BF" w14:paraId="1F958BD7" w14:textId="77777777" w:rsidTr="00682847">
        <w:trPr>
          <w:cantSplit/>
        </w:trPr>
        <w:tc>
          <w:tcPr>
            <w:tcW w:w="1124" w:type="dxa"/>
            <w:tcBorders>
              <w:top w:val="single" w:sz="4" w:space="0" w:color="4F81BD" w:themeColor="accent1"/>
              <w:left w:val="single" w:sz="8" w:space="0" w:color="B8CCE4"/>
              <w:bottom w:val="single" w:sz="8" w:space="0" w:color="B8CCE4"/>
              <w:right w:val="single" w:sz="8" w:space="0" w:color="B8CCE4"/>
            </w:tcBorders>
            <w:shd w:val="clear" w:color="auto" w:fill="auto"/>
            <w:vAlign w:val="center"/>
            <w:hideMark/>
          </w:tcPr>
          <w:p w14:paraId="1224356D" w14:textId="77777777" w:rsidR="00A50779" w:rsidRPr="005045BF" w:rsidRDefault="00A50779" w:rsidP="00670DA8">
            <w:pPr>
              <w:widowControl w:val="0"/>
              <w:spacing w:before="60" w:after="6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3.2</w:t>
            </w:r>
          </w:p>
        </w:tc>
        <w:tc>
          <w:tcPr>
            <w:tcW w:w="3430" w:type="dxa"/>
            <w:tcBorders>
              <w:top w:val="single" w:sz="4" w:space="0" w:color="4F81BD" w:themeColor="accent1"/>
              <w:left w:val="nil"/>
              <w:bottom w:val="single" w:sz="8" w:space="0" w:color="B8CCE4"/>
              <w:right w:val="single" w:sz="8" w:space="0" w:color="B8CCE4"/>
            </w:tcBorders>
            <w:shd w:val="clear" w:color="auto" w:fill="auto"/>
            <w:vAlign w:val="center"/>
            <w:hideMark/>
          </w:tcPr>
          <w:p w14:paraId="12226367" w14:textId="77777777"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En virtud de los principios de eficiencia, eficacia y economía, los eventos deberán, en lo posible, coordinarse en su realización y logística para efectuarse de manera conjunta con otras entidades del Estado que· tengan necesidades de capacitación, análogas o similares, esto con el objetivo de lograr economías de escala y disminuir costos.</w:t>
            </w:r>
          </w:p>
        </w:tc>
        <w:tc>
          <w:tcPr>
            <w:tcW w:w="5065" w:type="dxa"/>
            <w:tcBorders>
              <w:top w:val="single" w:sz="4" w:space="0" w:color="4F81BD" w:themeColor="accent1"/>
              <w:left w:val="nil"/>
              <w:bottom w:val="single" w:sz="8" w:space="0" w:color="B8CCE4"/>
              <w:right w:val="single" w:sz="8" w:space="0" w:color="B8CCE4"/>
            </w:tcBorders>
            <w:shd w:val="clear" w:color="auto" w:fill="auto"/>
            <w:vAlign w:val="center"/>
          </w:tcPr>
          <w:p w14:paraId="4C4C20DD" w14:textId="7471464F"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En aplicación a los citados principios, las actividades de capacitación se han realizado a cero costos, debido a la gestión realizada</w:t>
            </w:r>
            <w:r w:rsidR="00746254">
              <w:rPr>
                <w:rFonts w:ascii="Arial" w:hAnsi="Arial" w:cs="Arial"/>
                <w:color w:val="0F243E" w:themeColor="text2" w:themeShade="80"/>
                <w:sz w:val="20"/>
                <w:szCs w:val="20"/>
              </w:rPr>
              <w:t>s</w:t>
            </w:r>
            <w:r w:rsidRPr="005045BF">
              <w:rPr>
                <w:rFonts w:ascii="Arial" w:hAnsi="Arial" w:cs="Arial"/>
                <w:color w:val="0F243E" w:themeColor="text2" w:themeShade="80"/>
                <w:sz w:val="20"/>
                <w:szCs w:val="20"/>
              </w:rPr>
              <w:t xml:space="preserve"> desde el equipo de aprendizaje y al apoyo brindado por diversas Entidades Públicas</w:t>
            </w:r>
            <w:r w:rsidR="00613585" w:rsidRPr="005045BF">
              <w:rPr>
                <w:rFonts w:ascii="Arial" w:hAnsi="Arial" w:cs="Arial"/>
                <w:color w:val="0F243E" w:themeColor="text2" w:themeShade="80"/>
                <w:sz w:val="20"/>
                <w:szCs w:val="20"/>
              </w:rPr>
              <w:t xml:space="preserve">, </w:t>
            </w:r>
            <w:r w:rsidRPr="005045BF">
              <w:rPr>
                <w:rFonts w:ascii="Arial" w:hAnsi="Arial" w:cs="Arial"/>
                <w:color w:val="0F243E" w:themeColor="text2" w:themeShade="80"/>
                <w:sz w:val="20"/>
                <w:szCs w:val="20"/>
              </w:rPr>
              <w:t>en cuanto al aporte de facilitadores expertos en los diversos ejes temáticos. Estas capacitaciones han sido dirigidas a los servidores de la Entidad y una de ellas</w:t>
            </w:r>
            <w:r w:rsidR="00613585" w:rsidRPr="005045BF">
              <w:rPr>
                <w:rFonts w:ascii="Arial" w:hAnsi="Arial" w:cs="Arial"/>
                <w:color w:val="0F243E" w:themeColor="text2" w:themeShade="80"/>
                <w:sz w:val="20"/>
                <w:szCs w:val="20"/>
              </w:rPr>
              <w:t>,</w:t>
            </w:r>
            <w:r w:rsidRPr="005045BF">
              <w:rPr>
                <w:rFonts w:ascii="Arial" w:hAnsi="Arial" w:cs="Arial"/>
                <w:color w:val="0F243E" w:themeColor="text2" w:themeShade="80"/>
                <w:sz w:val="20"/>
                <w:szCs w:val="20"/>
              </w:rPr>
              <w:t xml:space="preserve"> al Sector Hacienda. </w:t>
            </w:r>
            <w:r w:rsidR="00746254">
              <w:rPr>
                <w:rFonts w:ascii="Arial" w:hAnsi="Arial" w:cs="Arial"/>
                <w:color w:val="0F243E" w:themeColor="text2" w:themeShade="80"/>
                <w:sz w:val="20"/>
                <w:szCs w:val="20"/>
              </w:rPr>
              <w:t>Frente a lo anterior, s</w:t>
            </w:r>
            <w:r w:rsidRPr="005045BF">
              <w:rPr>
                <w:rFonts w:ascii="Arial" w:hAnsi="Arial" w:cs="Arial"/>
                <w:color w:val="0F243E" w:themeColor="text2" w:themeShade="80"/>
                <w:sz w:val="20"/>
                <w:szCs w:val="20"/>
              </w:rPr>
              <w:t>e ha estimado que el ahorro alcanzado en las capacitaciones desarrolladas en este periodo es de aproximadamente $220.000.000</w:t>
            </w:r>
            <w:r w:rsidR="00E54C49">
              <w:rPr>
                <w:rFonts w:ascii="Arial" w:hAnsi="Arial" w:cs="Arial"/>
                <w:color w:val="0F243E" w:themeColor="text2" w:themeShade="80"/>
                <w:sz w:val="20"/>
                <w:szCs w:val="20"/>
              </w:rPr>
              <w:t xml:space="preserve"> </w:t>
            </w:r>
            <w:r w:rsidRPr="005045BF">
              <w:rPr>
                <w:rFonts w:ascii="Arial" w:hAnsi="Arial" w:cs="Arial"/>
                <w:color w:val="0F243E" w:themeColor="text2" w:themeShade="80"/>
                <w:sz w:val="20"/>
                <w:szCs w:val="20"/>
              </w:rPr>
              <w:t>teniendo en cuenta el número funcionarios que participaron de los espacios de aprendizaje.</w:t>
            </w:r>
          </w:p>
        </w:tc>
      </w:tr>
      <w:tr w:rsidR="00AC0AB1" w:rsidRPr="005045BF" w14:paraId="6EA0684E" w14:textId="77777777" w:rsidTr="00682847">
        <w:trPr>
          <w:cantSplit/>
        </w:trPr>
        <w:tc>
          <w:tcPr>
            <w:tcW w:w="1124" w:type="dxa"/>
            <w:tcBorders>
              <w:top w:val="nil"/>
              <w:left w:val="single" w:sz="8" w:space="0" w:color="B8CCE4"/>
              <w:bottom w:val="single" w:sz="8" w:space="0" w:color="B8CCE4"/>
              <w:right w:val="single" w:sz="8" w:space="0" w:color="B8CCE4"/>
            </w:tcBorders>
            <w:shd w:val="clear" w:color="auto" w:fill="auto"/>
            <w:vAlign w:val="center"/>
            <w:hideMark/>
          </w:tcPr>
          <w:p w14:paraId="47226A82" w14:textId="77777777" w:rsidR="00A50779" w:rsidRPr="005045BF" w:rsidRDefault="00A50779" w:rsidP="00670DA8">
            <w:pPr>
              <w:widowControl w:val="0"/>
              <w:spacing w:before="60" w:after="6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3.3</w:t>
            </w:r>
          </w:p>
        </w:tc>
        <w:tc>
          <w:tcPr>
            <w:tcW w:w="3430" w:type="dxa"/>
            <w:tcBorders>
              <w:top w:val="nil"/>
              <w:left w:val="nil"/>
              <w:bottom w:val="single" w:sz="8" w:space="0" w:color="B8CCE4"/>
              <w:right w:val="single" w:sz="8" w:space="0" w:color="B8CCE4"/>
            </w:tcBorders>
            <w:shd w:val="clear" w:color="auto" w:fill="auto"/>
            <w:vAlign w:val="center"/>
            <w:hideMark/>
          </w:tcPr>
          <w:p w14:paraId="0E5CC7EF" w14:textId="77777777"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Limitar los costos de alimentación y solicitar las cantidades justas, procurando en todo momento racionalizar la provisión de refrigerios y almuerzos.</w:t>
            </w:r>
          </w:p>
        </w:tc>
        <w:tc>
          <w:tcPr>
            <w:tcW w:w="5065" w:type="dxa"/>
            <w:tcBorders>
              <w:top w:val="nil"/>
              <w:left w:val="nil"/>
              <w:bottom w:val="single" w:sz="8" w:space="0" w:color="B8CCE4"/>
              <w:right w:val="single" w:sz="8" w:space="0" w:color="B8CCE4"/>
            </w:tcBorders>
            <w:shd w:val="clear" w:color="auto" w:fill="auto"/>
            <w:vAlign w:val="center"/>
          </w:tcPr>
          <w:p w14:paraId="186ED2F9" w14:textId="19277DC1"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En el marco del Plan Institucional de Capacitaciones, este Ministerio no ha solicitado, ni ha utilizado recursos de</w:t>
            </w:r>
            <w:r w:rsidR="00E54C49">
              <w:rPr>
                <w:rFonts w:ascii="Arial" w:hAnsi="Arial" w:cs="Arial"/>
                <w:color w:val="0F243E" w:themeColor="text2" w:themeShade="80"/>
                <w:sz w:val="20"/>
                <w:szCs w:val="20"/>
              </w:rPr>
              <w:t>l Presupuesto General de la</w:t>
            </w:r>
            <w:r w:rsidRPr="005045BF">
              <w:rPr>
                <w:rFonts w:ascii="Arial" w:hAnsi="Arial" w:cs="Arial"/>
                <w:color w:val="0F243E" w:themeColor="text2" w:themeShade="80"/>
                <w:sz w:val="20"/>
                <w:szCs w:val="20"/>
              </w:rPr>
              <w:t xml:space="preserve"> Nación para </w:t>
            </w:r>
            <w:r w:rsidR="00613585" w:rsidRPr="005045BF">
              <w:rPr>
                <w:rFonts w:ascii="Arial" w:hAnsi="Arial" w:cs="Arial"/>
                <w:color w:val="0F243E" w:themeColor="text2" w:themeShade="80"/>
                <w:sz w:val="20"/>
                <w:szCs w:val="20"/>
              </w:rPr>
              <w:t xml:space="preserve">gastos de </w:t>
            </w:r>
            <w:r w:rsidRPr="005045BF">
              <w:rPr>
                <w:rFonts w:ascii="Arial" w:hAnsi="Arial" w:cs="Arial"/>
                <w:color w:val="0F243E" w:themeColor="text2" w:themeShade="80"/>
                <w:sz w:val="20"/>
                <w:szCs w:val="20"/>
              </w:rPr>
              <w:t>alimentación</w:t>
            </w:r>
            <w:r w:rsidR="00613585" w:rsidRPr="005045BF">
              <w:rPr>
                <w:rFonts w:ascii="Arial" w:hAnsi="Arial" w:cs="Arial"/>
                <w:color w:val="0F243E" w:themeColor="text2" w:themeShade="80"/>
                <w:sz w:val="20"/>
                <w:szCs w:val="20"/>
              </w:rPr>
              <w:t xml:space="preserve"> en jornadas de capacitación. </w:t>
            </w:r>
          </w:p>
        </w:tc>
      </w:tr>
      <w:tr w:rsidR="00AC0AB1" w:rsidRPr="005045BF" w14:paraId="07A40DA4" w14:textId="77777777" w:rsidTr="00682847">
        <w:trPr>
          <w:cantSplit/>
        </w:trPr>
        <w:tc>
          <w:tcPr>
            <w:tcW w:w="1124" w:type="dxa"/>
            <w:tcBorders>
              <w:top w:val="nil"/>
              <w:left w:val="single" w:sz="8" w:space="0" w:color="B8CCE4"/>
              <w:bottom w:val="single" w:sz="8" w:space="0" w:color="B8CCE4"/>
              <w:right w:val="single" w:sz="8" w:space="0" w:color="B8CCE4"/>
            </w:tcBorders>
            <w:shd w:val="clear" w:color="auto" w:fill="auto"/>
            <w:vAlign w:val="center"/>
            <w:hideMark/>
          </w:tcPr>
          <w:p w14:paraId="1ACE6DFA" w14:textId="77777777" w:rsidR="00A50779" w:rsidRPr="005045BF" w:rsidRDefault="00A50779" w:rsidP="00670DA8">
            <w:pPr>
              <w:widowControl w:val="0"/>
              <w:spacing w:before="60" w:after="6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lastRenderedPageBreak/>
              <w:t>3.4</w:t>
            </w:r>
          </w:p>
        </w:tc>
        <w:tc>
          <w:tcPr>
            <w:tcW w:w="3430" w:type="dxa"/>
            <w:tcBorders>
              <w:top w:val="nil"/>
              <w:left w:val="nil"/>
              <w:bottom w:val="single" w:sz="8" w:space="0" w:color="B8CCE4"/>
              <w:right w:val="single" w:sz="8" w:space="0" w:color="B8CCE4"/>
            </w:tcBorders>
            <w:shd w:val="clear" w:color="auto" w:fill="auto"/>
            <w:vAlign w:val="center"/>
            <w:hideMark/>
          </w:tcPr>
          <w:p w14:paraId="7C5DCA30" w14:textId="77777777"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La papelería y demás elementos de apoyo de las capacitaciones deberán ser racionalizados y apoyados en las tecnologías de información y las comunicaciones TICS.</w:t>
            </w:r>
          </w:p>
        </w:tc>
        <w:tc>
          <w:tcPr>
            <w:tcW w:w="5065" w:type="dxa"/>
            <w:tcBorders>
              <w:top w:val="nil"/>
              <w:left w:val="nil"/>
              <w:bottom w:val="single" w:sz="8" w:space="0" w:color="B8CCE4"/>
              <w:right w:val="single" w:sz="8" w:space="0" w:color="B8CCE4"/>
            </w:tcBorders>
            <w:shd w:val="clear" w:color="auto" w:fill="auto"/>
            <w:vAlign w:val="center"/>
          </w:tcPr>
          <w:p w14:paraId="35228062" w14:textId="6EDCD37A"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El material bibliográfico y pedagógico utilizado por los facilitadores en los distintos eventos de capacitación se ha socializado mediante plataformas electrónicas o correo electrónico.</w:t>
            </w:r>
          </w:p>
        </w:tc>
      </w:tr>
      <w:tr w:rsidR="00AC0AB1" w:rsidRPr="005045BF" w14:paraId="4EDB979D" w14:textId="77777777" w:rsidTr="00682847">
        <w:trPr>
          <w:cantSplit/>
        </w:trPr>
        <w:tc>
          <w:tcPr>
            <w:tcW w:w="1124" w:type="dxa"/>
            <w:tcBorders>
              <w:top w:val="nil"/>
              <w:left w:val="single" w:sz="8" w:space="0" w:color="B8CCE4"/>
              <w:bottom w:val="single" w:sz="8" w:space="0" w:color="B8CCE4"/>
              <w:right w:val="single" w:sz="8" w:space="0" w:color="B8CCE4"/>
            </w:tcBorders>
            <w:shd w:val="clear" w:color="auto" w:fill="auto"/>
            <w:vAlign w:val="center"/>
            <w:hideMark/>
          </w:tcPr>
          <w:p w14:paraId="3BABFE7B" w14:textId="77777777" w:rsidR="00A50779" w:rsidRPr="005045BF" w:rsidRDefault="00A50779" w:rsidP="00670DA8">
            <w:pPr>
              <w:widowControl w:val="0"/>
              <w:spacing w:before="60" w:after="6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3.5</w:t>
            </w:r>
          </w:p>
        </w:tc>
        <w:tc>
          <w:tcPr>
            <w:tcW w:w="3430" w:type="dxa"/>
            <w:tcBorders>
              <w:top w:val="nil"/>
              <w:left w:val="nil"/>
              <w:bottom w:val="single" w:sz="8" w:space="0" w:color="B8CCE4"/>
              <w:right w:val="single" w:sz="8" w:space="0" w:color="B8CCE4"/>
            </w:tcBorders>
            <w:shd w:val="clear" w:color="auto" w:fill="auto"/>
            <w:vAlign w:val="center"/>
            <w:hideMark/>
          </w:tcPr>
          <w:p w14:paraId="504E8D79" w14:textId="77777777"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De ser posible, se deberá utilizar la infraestructura de las entidades del Estado para llevar a cabo las actividades de capacitación.</w:t>
            </w:r>
          </w:p>
        </w:tc>
        <w:tc>
          <w:tcPr>
            <w:tcW w:w="5065" w:type="dxa"/>
            <w:tcBorders>
              <w:top w:val="nil"/>
              <w:left w:val="nil"/>
              <w:bottom w:val="single" w:sz="8" w:space="0" w:color="B8CCE4"/>
              <w:right w:val="single" w:sz="8" w:space="0" w:color="B8CCE4"/>
            </w:tcBorders>
            <w:shd w:val="clear" w:color="auto" w:fill="auto"/>
            <w:vAlign w:val="center"/>
          </w:tcPr>
          <w:p w14:paraId="70963E29" w14:textId="1596A5ED" w:rsidR="00A50779" w:rsidRPr="005045BF" w:rsidRDefault="00A50779" w:rsidP="00670DA8">
            <w:pPr>
              <w:widowControl w:val="0"/>
              <w:spacing w:before="60" w:after="6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Los eventos de capacitación se desarrollaron en los espacios y auditorios del Ministerio de Hacienda y Crédito Público y en plataformas virtuales de</w:t>
            </w:r>
            <w:r w:rsidR="00E54C49">
              <w:rPr>
                <w:rFonts w:ascii="Arial" w:hAnsi="Arial" w:cs="Arial"/>
                <w:color w:val="0F243E" w:themeColor="text2" w:themeShade="80"/>
                <w:sz w:val="20"/>
                <w:szCs w:val="20"/>
              </w:rPr>
              <w:t xml:space="preserve"> las</w:t>
            </w:r>
            <w:r w:rsidRPr="005045BF">
              <w:rPr>
                <w:rFonts w:ascii="Arial" w:hAnsi="Arial" w:cs="Arial"/>
                <w:color w:val="0F243E" w:themeColor="text2" w:themeShade="80"/>
                <w:sz w:val="20"/>
                <w:szCs w:val="20"/>
              </w:rPr>
              <w:t xml:space="preserve"> entidades del Estado. </w:t>
            </w:r>
          </w:p>
        </w:tc>
      </w:tr>
    </w:tbl>
    <w:p w14:paraId="4BCFCD85" w14:textId="77777777" w:rsidR="002C44BC" w:rsidRPr="005045BF" w:rsidRDefault="002C44BC" w:rsidP="00B83072">
      <w:pPr>
        <w:rPr>
          <w:rFonts w:ascii="Arial" w:hAnsi="Arial" w:cs="Arial"/>
          <w:sz w:val="22"/>
          <w:szCs w:val="22"/>
          <w:highlight w:val="yellow"/>
        </w:rPr>
      </w:pPr>
    </w:p>
    <w:p w14:paraId="7E0C3D7B" w14:textId="52601D59" w:rsidR="002C44BC" w:rsidRPr="005045BF" w:rsidRDefault="002C44BC" w:rsidP="00DF67DD">
      <w:pPr>
        <w:jc w:val="both"/>
        <w:rPr>
          <w:rFonts w:ascii="Arial" w:hAnsi="Arial" w:cs="Arial"/>
          <w:color w:val="000000"/>
          <w:sz w:val="22"/>
          <w:szCs w:val="22"/>
        </w:rPr>
      </w:pPr>
      <w:r w:rsidRPr="005045BF">
        <w:rPr>
          <w:rFonts w:ascii="Arial" w:hAnsi="Arial" w:cs="Arial"/>
          <w:color w:val="000000"/>
          <w:sz w:val="22"/>
          <w:szCs w:val="22"/>
        </w:rPr>
        <w:t xml:space="preserve">De lo anterior, se concluye que este Ministerio </w:t>
      </w:r>
      <w:r w:rsidR="00CB3924" w:rsidRPr="005045BF">
        <w:rPr>
          <w:rFonts w:ascii="Arial" w:hAnsi="Arial" w:cs="Arial"/>
          <w:color w:val="000000"/>
          <w:sz w:val="22"/>
          <w:szCs w:val="22"/>
        </w:rPr>
        <w:t>cumplió razonablemente</w:t>
      </w:r>
      <w:r w:rsidRPr="005045BF">
        <w:rPr>
          <w:rFonts w:ascii="Arial" w:hAnsi="Arial" w:cs="Arial"/>
          <w:color w:val="000000"/>
          <w:sz w:val="22"/>
          <w:szCs w:val="22"/>
        </w:rPr>
        <w:t xml:space="preserve"> con las directrices dadas por </w:t>
      </w:r>
      <w:r w:rsidR="00CB3924" w:rsidRPr="005045BF">
        <w:rPr>
          <w:rFonts w:ascii="Arial" w:hAnsi="Arial" w:cs="Arial"/>
          <w:color w:val="000000"/>
          <w:sz w:val="22"/>
          <w:szCs w:val="22"/>
        </w:rPr>
        <w:t xml:space="preserve">el Gobierno Nacional </w:t>
      </w:r>
      <w:r w:rsidRPr="005045BF">
        <w:rPr>
          <w:rFonts w:ascii="Arial" w:hAnsi="Arial" w:cs="Arial"/>
          <w:color w:val="000000"/>
          <w:sz w:val="22"/>
          <w:szCs w:val="22"/>
        </w:rPr>
        <w:t xml:space="preserve">en lo referente a las medidas de austeridad </w:t>
      </w:r>
      <w:r w:rsidR="00CB3924" w:rsidRPr="005045BF">
        <w:rPr>
          <w:rFonts w:ascii="Arial" w:hAnsi="Arial" w:cs="Arial"/>
          <w:color w:val="000000"/>
          <w:sz w:val="22"/>
          <w:szCs w:val="22"/>
        </w:rPr>
        <w:t xml:space="preserve">del </w:t>
      </w:r>
      <w:r w:rsidR="005C4B66" w:rsidRPr="005045BF">
        <w:rPr>
          <w:rFonts w:ascii="Arial" w:hAnsi="Arial" w:cs="Arial"/>
          <w:color w:val="000000"/>
          <w:sz w:val="22"/>
          <w:szCs w:val="22"/>
        </w:rPr>
        <w:t>gasto</w:t>
      </w:r>
      <w:r w:rsidR="00CB3924" w:rsidRPr="005045BF">
        <w:rPr>
          <w:rFonts w:ascii="Arial" w:hAnsi="Arial" w:cs="Arial"/>
          <w:color w:val="000000"/>
          <w:sz w:val="22"/>
          <w:szCs w:val="22"/>
        </w:rPr>
        <w:t>, concerniente</w:t>
      </w:r>
      <w:r w:rsidR="00B54928" w:rsidRPr="005045BF">
        <w:rPr>
          <w:rFonts w:ascii="Arial" w:hAnsi="Arial" w:cs="Arial"/>
          <w:color w:val="000000"/>
          <w:sz w:val="22"/>
          <w:szCs w:val="22"/>
        </w:rPr>
        <w:t>s</w:t>
      </w:r>
      <w:r w:rsidR="00CB3924" w:rsidRPr="005045BF">
        <w:rPr>
          <w:rFonts w:ascii="Arial" w:hAnsi="Arial" w:cs="Arial"/>
          <w:color w:val="000000"/>
          <w:sz w:val="22"/>
          <w:szCs w:val="22"/>
        </w:rPr>
        <w:t xml:space="preserve"> al concepto de </w:t>
      </w:r>
      <w:r w:rsidR="00A81783" w:rsidRPr="005045BF">
        <w:rPr>
          <w:rFonts w:ascii="Arial" w:hAnsi="Arial" w:cs="Arial"/>
          <w:color w:val="000000"/>
          <w:sz w:val="22"/>
          <w:szCs w:val="22"/>
        </w:rPr>
        <w:t>capacitaciones</w:t>
      </w:r>
      <w:r w:rsidRPr="005045BF">
        <w:rPr>
          <w:rFonts w:ascii="Arial" w:hAnsi="Arial" w:cs="Arial"/>
          <w:color w:val="000000"/>
          <w:sz w:val="22"/>
          <w:szCs w:val="22"/>
        </w:rPr>
        <w:t xml:space="preserve">. </w:t>
      </w:r>
    </w:p>
    <w:p w14:paraId="3E42AAC3" w14:textId="77777777" w:rsidR="002B6793" w:rsidRPr="005045BF" w:rsidRDefault="002B6793" w:rsidP="00E54C49">
      <w:pPr>
        <w:spacing w:line="168" w:lineRule="auto"/>
        <w:ind w:left="284"/>
        <w:jc w:val="both"/>
        <w:rPr>
          <w:rFonts w:ascii="Arial" w:hAnsi="Arial" w:cs="Arial"/>
          <w:color w:val="000000"/>
          <w:sz w:val="22"/>
          <w:szCs w:val="22"/>
        </w:rPr>
      </w:pPr>
    </w:p>
    <w:p w14:paraId="22EBF8B7" w14:textId="2617CC07" w:rsidR="00E9165D" w:rsidRPr="005045BF" w:rsidRDefault="00E9165D" w:rsidP="00714FD3">
      <w:pPr>
        <w:spacing w:line="168" w:lineRule="auto"/>
        <w:jc w:val="both"/>
        <w:rPr>
          <w:rFonts w:ascii="Arial" w:hAnsi="Arial" w:cs="Arial"/>
          <w:sz w:val="22"/>
          <w:szCs w:val="22"/>
        </w:rPr>
      </w:pPr>
    </w:p>
    <w:p w14:paraId="79FAE6A8" w14:textId="77777777" w:rsidR="00F773CF" w:rsidRPr="005045BF" w:rsidRDefault="00F773CF" w:rsidP="00714FD3">
      <w:pPr>
        <w:spacing w:line="168" w:lineRule="auto"/>
        <w:jc w:val="both"/>
        <w:rPr>
          <w:rFonts w:ascii="Arial" w:hAnsi="Arial" w:cs="Arial"/>
          <w:sz w:val="22"/>
          <w:szCs w:val="22"/>
        </w:rPr>
      </w:pPr>
    </w:p>
    <w:p w14:paraId="51B14751" w14:textId="77777777" w:rsidR="00DF6E6A" w:rsidRPr="005045BF" w:rsidRDefault="00155715" w:rsidP="0045629B">
      <w:pPr>
        <w:pStyle w:val="Prrafodelista"/>
        <w:numPr>
          <w:ilvl w:val="0"/>
          <w:numId w:val="8"/>
        </w:numPr>
        <w:ind w:left="284" w:hanging="284"/>
        <w:rPr>
          <w:rFonts w:ascii="Arial" w:hAnsi="Arial" w:cs="Arial"/>
          <w:b/>
          <w:sz w:val="22"/>
          <w:szCs w:val="22"/>
        </w:rPr>
      </w:pPr>
      <w:r w:rsidRPr="005045BF">
        <w:rPr>
          <w:rFonts w:ascii="Arial" w:hAnsi="Arial" w:cs="Arial"/>
          <w:b/>
          <w:color w:val="000000"/>
          <w:sz w:val="22"/>
          <w:szCs w:val="22"/>
        </w:rPr>
        <w:t xml:space="preserve">ESQUEMA DE SEGURIDAD Y </w:t>
      </w:r>
      <w:r w:rsidR="00DF6E6A" w:rsidRPr="005045BF">
        <w:rPr>
          <w:rFonts w:ascii="Arial" w:hAnsi="Arial" w:cs="Arial"/>
          <w:b/>
          <w:color w:val="000000"/>
          <w:sz w:val="22"/>
          <w:szCs w:val="22"/>
        </w:rPr>
        <w:t>VEHÍCULOS OFICIALES</w:t>
      </w:r>
    </w:p>
    <w:p w14:paraId="1909C92B" w14:textId="77777777" w:rsidR="00155715" w:rsidRPr="005045BF" w:rsidRDefault="00155715" w:rsidP="00155715">
      <w:pPr>
        <w:rPr>
          <w:rFonts w:ascii="Arial" w:hAnsi="Arial" w:cs="Arial"/>
          <w:b/>
          <w:sz w:val="22"/>
          <w:szCs w:val="22"/>
          <w:highlight w:val="yellow"/>
        </w:rPr>
      </w:pPr>
    </w:p>
    <w:p w14:paraId="277728D3" w14:textId="0198DEE4" w:rsidR="00DE0205" w:rsidRPr="005045BF" w:rsidRDefault="00DE0205" w:rsidP="009C2C1D">
      <w:pPr>
        <w:jc w:val="both"/>
        <w:rPr>
          <w:rFonts w:ascii="Arial" w:hAnsi="Arial" w:cs="Arial"/>
          <w:i/>
          <w:sz w:val="22"/>
          <w:szCs w:val="22"/>
        </w:rPr>
      </w:pPr>
      <w:bookmarkStart w:id="2" w:name="_Hlk35934029"/>
      <w:r w:rsidRPr="005045BF">
        <w:rPr>
          <w:rFonts w:ascii="Arial" w:hAnsi="Arial" w:cs="Arial"/>
          <w:sz w:val="22"/>
          <w:szCs w:val="22"/>
        </w:rPr>
        <w:t xml:space="preserve">La Directiva Presidencial 09 de 2018, estableció como medida de austeridad del gasto </w:t>
      </w:r>
      <w:r w:rsidR="00447F08" w:rsidRPr="005045BF">
        <w:rPr>
          <w:rFonts w:ascii="Arial" w:hAnsi="Arial" w:cs="Arial"/>
          <w:sz w:val="22"/>
          <w:szCs w:val="22"/>
        </w:rPr>
        <w:t>lo siguiente:</w:t>
      </w:r>
      <w:r w:rsidRPr="005045BF">
        <w:rPr>
          <w:rFonts w:ascii="Arial" w:hAnsi="Arial" w:cs="Arial"/>
          <w:sz w:val="22"/>
          <w:szCs w:val="22"/>
        </w:rPr>
        <w:t xml:space="preserve"> </w:t>
      </w:r>
      <w:r w:rsidR="00874E3F" w:rsidRPr="005045BF">
        <w:rPr>
          <w:rFonts w:ascii="Agency FB" w:hAnsi="Agency FB" w:cs="Arial"/>
          <w:sz w:val="22"/>
          <w:szCs w:val="22"/>
        </w:rPr>
        <w:t>«</w:t>
      </w:r>
      <w:r w:rsidRPr="005045BF">
        <w:rPr>
          <w:rFonts w:ascii="Arial" w:hAnsi="Arial" w:cs="Arial"/>
          <w:sz w:val="22"/>
          <w:szCs w:val="22"/>
        </w:rPr>
        <w:t xml:space="preserve">la Unidad Nacional de Protección y la Dirección de Protección de la Policía Nacional </w:t>
      </w:r>
      <w:r w:rsidR="00A360D5" w:rsidRPr="005045BF">
        <w:rPr>
          <w:rFonts w:ascii="Arial" w:hAnsi="Arial" w:cs="Arial"/>
          <w:sz w:val="22"/>
          <w:szCs w:val="22"/>
        </w:rPr>
        <w:t xml:space="preserve">con acatamiento del marco legal y reglamentario </w:t>
      </w:r>
      <w:r w:rsidRPr="005045BF">
        <w:rPr>
          <w:rFonts w:ascii="Arial" w:hAnsi="Arial" w:cs="Arial"/>
          <w:sz w:val="22"/>
          <w:szCs w:val="22"/>
        </w:rPr>
        <w:t>deberán en lo posible efectuar una revisión a los esquemas de seguridad de los funcionarios de las entidades de la rama ejecutiva del orden nacional y de ser posible, reducir su conformación</w:t>
      </w:r>
      <w:r w:rsidR="00A360D5" w:rsidRPr="005045BF">
        <w:rPr>
          <w:rFonts w:ascii="Arial" w:hAnsi="Arial" w:cs="Arial"/>
          <w:sz w:val="22"/>
          <w:szCs w:val="22"/>
        </w:rPr>
        <w:t xml:space="preserve"> (…)</w:t>
      </w:r>
      <w:r w:rsidR="00A360D5" w:rsidRPr="005045BF">
        <w:rPr>
          <w:rFonts w:ascii="Arial" w:hAnsi="Arial" w:cs="Arial"/>
          <w:iCs/>
          <w:sz w:val="22"/>
          <w:szCs w:val="22"/>
        </w:rPr>
        <w:t>».</w:t>
      </w:r>
      <w:r w:rsidR="00A360D5" w:rsidRPr="005045BF">
        <w:rPr>
          <w:rFonts w:ascii="Arial" w:hAnsi="Arial" w:cs="Arial"/>
          <w:i/>
          <w:sz w:val="22"/>
          <w:szCs w:val="22"/>
        </w:rPr>
        <w:t xml:space="preserve"> </w:t>
      </w:r>
      <w:r w:rsidRPr="005045BF">
        <w:rPr>
          <w:rFonts w:ascii="Arial" w:hAnsi="Arial" w:cs="Arial"/>
          <w:i/>
          <w:sz w:val="22"/>
          <w:szCs w:val="22"/>
        </w:rPr>
        <w:t xml:space="preserve"> </w:t>
      </w:r>
    </w:p>
    <w:p w14:paraId="2165F4F4" w14:textId="77777777" w:rsidR="00DE0205" w:rsidRPr="005045BF" w:rsidRDefault="00DE0205" w:rsidP="009C2C1D">
      <w:pPr>
        <w:jc w:val="both"/>
        <w:rPr>
          <w:rFonts w:ascii="Arial" w:hAnsi="Arial" w:cs="Arial"/>
          <w:sz w:val="22"/>
          <w:szCs w:val="22"/>
          <w:highlight w:val="yellow"/>
        </w:rPr>
      </w:pPr>
    </w:p>
    <w:p w14:paraId="5F73075C" w14:textId="69CBF8B7" w:rsidR="00E77FDB" w:rsidRPr="005045BF" w:rsidRDefault="00DE0205" w:rsidP="009C2C1D">
      <w:pPr>
        <w:jc w:val="both"/>
        <w:rPr>
          <w:rFonts w:ascii="Arial" w:hAnsi="Arial" w:cs="Arial"/>
          <w:iCs/>
          <w:sz w:val="22"/>
          <w:szCs w:val="22"/>
        </w:rPr>
      </w:pPr>
      <w:r w:rsidRPr="005045BF">
        <w:rPr>
          <w:rFonts w:ascii="Arial" w:hAnsi="Arial" w:cs="Arial"/>
          <w:sz w:val="22"/>
          <w:szCs w:val="22"/>
        </w:rPr>
        <w:t>Para el caso del Ministerio de Hacienda y Crédito Público</w:t>
      </w:r>
      <w:r w:rsidR="004C1439">
        <w:rPr>
          <w:rFonts w:ascii="Arial" w:hAnsi="Arial" w:cs="Arial"/>
          <w:sz w:val="22"/>
          <w:szCs w:val="22"/>
        </w:rPr>
        <w:t xml:space="preserve"> [MHCP],</w:t>
      </w:r>
      <w:r w:rsidRPr="005045BF">
        <w:rPr>
          <w:rFonts w:ascii="Arial" w:hAnsi="Arial" w:cs="Arial"/>
          <w:sz w:val="22"/>
          <w:szCs w:val="22"/>
        </w:rPr>
        <w:t xml:space="preserve"> actualmente el esquema de seguridad está respaldado en </w:t>
      </w:r>
      <w:r w:rsidR="0048295A" w:rsidRPr="005045BF">
        <w:rPr>
          <w:rFonts w:ascii="Arial" w:hAnsi="Arial" w:cs="Arial"/>
          <w:sz w:val="22"/>
          <w:szCs w:val="22"/>
        </w:rPr>
        <w:t>dos</w:t>
      </w:r>
      <w:r w:rsidRPr="005045BF">
        <w:rPr>
          <w:rFonts w:ascii="Arial" w:hAnsi="Arial" w:cs="Arial"/>
          <w:sz w:val="22"/>
          <w:szCs w:val="22"/>
        </w:rPr>
        <w:t xml:space="preserve"> </w:t>
      </w:r>
      <w:r w:rsidR="00C95AAC" w:rsidRPr="005045BF">
        <w:rPr>
          <w:rFonts w:ascii="Arial" w:hAnsi="Arial" w:cs="Arial"/>
          <w:sz w:val="22"/>
          <w:szCs w:val="22"/>
        </w:rPr>
        <w:t xml:space="preserve">contratos interadministrativos </w:t>
      </w:r>
      <w:r w:rsidRPr="005045BF">
        <w:rPr>
          <w:rFonts w:ascii="Arial" w:hAnsi="Arial" w:cs="Arial"/>
          <w:sz w:val="22"/>
          <w:szCs w:val="22"/>
        </w:rPr>
        <w:t>con la Unidad Nacional de Protecció</w:t>
      </w:r>
      <w:r w:rsidR="0048295A" w:rsidRPr="005045BF">
        <w:rPr>
          <w:rFonts w:ascii="Arial" w:hAnsi="Arial" w:cs="Arial"/>
          <w:sz w:val="22"/>
          <w:szCs w:val="22"/>
        </w:rPr>
        <w:t>n (U</w:t>
      </w:r>
      <w:r w:rsidRPr="005045BF">
        <w:rPr>
          <w:rFonts w:ascii="Arial" w:hAnsi="Arial" w:cs="Arial"/>
          <w:sz w:val="22"/>
          <w:szCs w:val="22"/>
        </w:rPr>
        <w:t>NP</w:t>
      </w:r>
      <w:r w:rsidR="0048295A" w:rsidRPr="005045BF">
        <w:rPr>
          <w:rFonts w:ascii="Arial" w:hAnsi="Arial" w:cs="Arial"/>
          <w:sz w:val="22"/>
          <w:szCs w:val="22"/>
        </w:rPr>
        <w:t>)</w:t>
      </w:r>
      <w:r w:rsidR="00696CC1" w:rsidRPr="005045BF">
        <w:rPr>
          <w:rFonts w:ascii="Arial" w:hAnsi="Arial" w:cs="Arial"/>
          <w:sz w:val="22"/>
          <w:szCs w:val="22"/>
        </w:rPr>
        <w:t xml:space="preserve"> los cuales tienen por objetivo </w:t>
      </w:r>
      <w:r w:rsidR="00A43445" w:rsidRPr="005045BF">
        <w:rPr>
          <w:rFonts w:ascii="Arial" w:hAnsi="Arial" w:cs="Arial"/>
          <w:iCs/>
          <w:sz w:val="22"/>
          <w:szCs w:val="22"/>
        </w:rPr>
        <w:t>a</w:t>
      </w:r>
      <w:r w:rsidR="00E77FDB" w:rsidRPr="005045BF">
        <w:rPr>
          <w:rFonts w:ascii="Arial" w:hAnsi="Arial" w:cs="Arial"/>
          <w:iCs/>
          <w:sz w:val="22"/>
          <w:szCs w:val="22"/>
        </w:rPr>
        <w:t>unar los esfuerzos, recursos, tecnologías, capacidades y métodos entre la UNP y el MHCP, que permitan ejercer la adecuada protección de los funcionarios</w:t>
      </w:r>
      <w:r w:rsidR="0037046F" w:rsidRPr="005045BF">
        <w:rPr>
          <w:rFonts w:ascii="Arial" w:hAnsi="Arial" w:cs="Arial"/>
          <w:iCs/>
          <w:sz w:val="22"/>
          <w:szCs w:val="22"/>
        </w:rPr>
        <w:t xml:space="preserve"> de esta Entidad [Ministro y Viceministro</w:t>
      </w:r>
      <w:r w:rsidR="008A000F" w:rsidRPr="005045BF">
        <w:rPr>
          <w:rFonts w:ascii="Arial" w:hAnsi="Arial" w:cs="Arial"/>
          <w:iCs/>
          <w:sz w:val="22"/>
          <w:szCs w:val="22"/>
        </w:rPr>
        <w:t xml:space="preserve"> General</w:t>
      </w:r>
      <w:r w:rsidR="0037046F" w:rsidRPr="005045BF">
        <w:rPr>
          <w:rFonts w:ascii="Arial" w:hAnsi="Arial" w:cs="Arial"/>
          <w:iCs/>
          <w:sz w:val="22"/>
          <w:szCs w:val="22"/>
        </w:rPr>
        <w:t>],</w:t>
      </w:r>
      <w:r w:rsidR="00BA2F2D" w:rsidRPr="005045BF">
        <w:rPr>
          <w:rFonts w:ascii="Arial" w:hAnsi="Arial" w:cs="Arial"/>
          <w:iCs/>
          <w:sz w:val="22"/>
          <w:szCs w:val="22"/>
        </w:rPr>
        <w:t xml:space="preserve"> para el caso del </w:t>
      </w:r>
      <w:r w:rsidR="00A94B05" w:rsidRPr="005045BF">
        <w:rPr>
          <w:rFonts w:ascii="Arial" w:hAnsi="Arial" w:cs="Arial"/>
          <w:iCs/>
          <w:sz w:val="22"/>
          <w:szCs w:val="22"/>
        </w:rPr>
        <w:t>Ministro</w:t>
      </w:r>
      <w:r w:rsidR="00BA2F2D" w:rsidRPr="005045BF">
        <w:rPr>
          <w:rFonts w:ascii="Arial" w:hAnsi="Arial" w:cs="Arial"/>
          <w:iCs/>
          <w:sz w:val="22"/>
          <w:szCs w:val="22"/>
        </w:rPr>
        <w:t>,</w:t>
      </w:r>
      <w:r w:rsidR="00A94B05" w:rsidRPr="005045BF">
        <w:rPr>
          <w:rFonts w:ascii="Arial" w:hAnsi="Arial" w:cs="Arial"/>
          <w:iCs/>
          <w:sz w:val="22"/>
          <w:szCs w:val="22"/>
        </w:rPr>
        <w:t xml:space="preserve"> en razón al cargo y </w:t>
      </w:r>
      <w:r w:rsidR="00BA2F2D" w:rsidRPr="005045BF">
        <w:rPr>
          <w:rFonts w:ascii="Arial" w:hAnsi="Arial" w:cs="Arial"/>
          <w:iCs/>
          <w:sz w:val="22"/>
          <w:szCs w:val="22"/>
        </w:rPr>
        <w:t xml:space="preserve">para </w:t>
      </w:r>
      <w:r w:rsidR="0037046F" w:rsidRPr="005045BF">
        <w:rPr>
          <w:rFonts w:ascii="Arial" w:hAnsi="Arial" w:cs="Arial"/>
          <w:iCs/>
          <w:sz w:val="22"/>
          <w:szCs w:val="22"/>
        </w:rPr>
        <w:t xml:space="preserve">el </w:t>
      </w:r>
      <w:r w:rsidR="00A94B05" w:rsidRPr="005045BF">
        <w:rPr>
          <w:rFonts w:ascii="Arial" w:hAnsi="Arial" w:cs="Arial"/>
          <w:iCs/>
          <w:sz w:val="22"/>
          <w:szCs w:val="22"/>
        </w:rPr>
        <w:t xml:space="preserve">Viceministro </w:t>
      </w:r>
      <w:r w:rsidR="008A000F" w:rsidRPr="005045BF">
        <w:rPr>
          <w:rFonts w:ascii="Arial" w:hAnsi="Arial" w:cs="Arial"/>
          <w:iCs/>
          <w:sz w:val="22"/>
          <w:szCs w:val="22"/>
        </w:rPr>
        <w:t xml:space="preserve"> General </w:t>
      </w:r>
      <w:r w:rsidR="00A94B05" w:rsidRPr="005045BF">
        <w:rPr>
          <w:rFonts w:ascii="Arial" w:hAnsi="Arial" w:cs="Arial"/>
          <w:iCs/>
          <w:sz w:val="22"/>
          <w:szCs w:val="22"/>
        </w:rPr>
        <w:t>en razón al riesgo en ejercicio de sus funciones</w:t>
      </w:r>
      <w:r w:rsidR="00BA2F2D" w:rsidRPr="005045BF">
        <w:rPr>
          <w:rFonts w:ascii="Arial" w:hAnsi="Arial" w:cs="Arial"/>
          <w:iCs/>
          <w:sz w:val="22"/>
          <w:szCs w:val="22"/>
        </w:rPr>
        <w:t xml:space="preserve">.  </w:t>
      </w:r>
    </w:p>
    <w:p w14:paraId="048E6EF4" w14:textId="77777777" w:rsidR="00447F08" w:rsidRPr="005045BF" w:rsidRDefault="00447F08" w:rsidP="009C2C1D">
      <w:pPr>
        <w:jc w:val="both"/>
        <w:rPr>
          <w:rFonts w:ascii="Arial" w:hAnsi="Arial" w:cs="Arial"/>
          <w:iCs/>
          <w:sz w:val="22"/>
          <w:szCs w:val="22"/>
        </w:rPr>
      </w:pPr>
    </w:p>
    <w:tbl>
      <w:tblPr>
        <w:tblStyle w:val="Tablaconcuadrcula1clara-nfasis1"/>
        <w:tblW w:w="8359" w:type="dxa"/>
        <w:jc w:val="center"/>
        <w:tblLook w:val="04A0" w:firstRow="1" w:lastRow="0" w:firstColumn="1" w:lastColumn="0" w:noHBand="0" w:noVBand="1"/>
      </w:tblPr>
      <w:tblGrid>
        <w:gridCol w:w="2677"/>
        <w:gridCol w:w="1554"/>
        <w:gridCol w:w="1329"/>
        <w:gridCol w:w="2799"/>
      </w:tblGrid>
      <w:tr w:rsidR="00696CC1" w:rsidRPr="005045BF" w14:paraId="58C04FD8" w14:textId="77777777" w:rsidTr="003E57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77" w:type="dxa"/>
            <w:shd w:val="clear" w:color="auto" w:fill="4F81BD" w:themeFill="accent1"/>
            <w:vAlign w:val="center"/>
            <w:hideMark/>
          </w:tcPr>
          <w:bookmarkEnd w:id="2"/>
          <w:p w14:paraId="017F6ED7" w14:textId="77777777" w:rsidR="00696CC1" w:rsidRPr="005045BF" w:rsidRDefault="00696CC1" w:rsidP="003E57C8">
            <w:pPr>
              <w:spacing w:before="4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Funcionario </w:t>
            </w:r>
          </w:p>
        </w:tc>
        <w:tc>
          <w:tcPr>
            <w:tcW w:w="1554" w:type="dxa"/>
            <w:shd w:val="clear" w:color="auto" w:fill="4F81BD" w:themeFill="accent1"/>
            <w:vAlign w:val="center"/>
            <w:hideMark/>
          </w:tcPr>
          <w:p w14:paraId="10CBD8BE" w14:textId="77777777" w:rsidR="00696CC1" w:rsidRPr="005045BF" w:rsidRDefault="00696CC1" w:rsidP="003E57C8">
            <w:pPr>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Convenio </w:t>
            </w:r>
          </w:p>
        </w:tc>
        <w:tc>
          <w:tcPr>
            <w:tcW w:w="1329" w:type="dxa"/>
            <w:shd w:val="clear" w:color="auto" w:fill="4F81BD" w:themeFill="accent1"/>
            <w:vAlign w:val="center"/>
            <w:hideMark/>
          </w:tcPr>
          <w:p w14:paraId="7746B20F" w14:textId="77777777" w:rsidR="00696CC1" w:rsidRPr="005045BF" w:rsidRDefault="00696CC1" w:rsidP="003E57C8">
            <w:pPr>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Valor </w:t>
            </w:r>
            <w:r w:rsidR="00257449" w:rsidRPr="005045BF">
              <w:rPr>
                <w:rFonts w:ascii="Arial" w:hAnsi="Arial" w:cs="Arial"/>
                <w:color w:val="FFFFFF" w:themeColor="background1"/>
                <w:sz w:val="20"/>
                <w:szCs w:val="20"/>
              </w:rPr>
              <w:t>($)</w:t>
            </w:r>
          </w:p>
        </w:tc>
        <w:tc>
          <w:tcPr>
            <w:tcW w:w="2799" w:type="dxa"/>
            <w:shd w:val="clear" w:color="auto" w:fill="4F81BD" w:themeFill="accent1"/>
            <w:vAlign w:val="center"/>
            <w:hideMark/>
          </w:tcPr>
          <w:p w14:paraId="6E29E843" w14:textId="77777777" w:rsidR="00696CC1" w:rsidRPr="005045BF" w:rsidRDefault="00696CC1" w:rsidP="003E57C8">
            <w:pPr>
              <w:spacing w:before="4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Plazo </w:t>
            </w:r>
          </w:p>
        </w:tc>
      </w:tr>
      <w:tr w:rsidR="00696CC1" w:rsidRPr="005045BF" w14:paraId="01BFE26E" w14:textId="77777777" w:rsidTr="003E57C8">
        <w:trPr>
          <w:trHeight w:val="549"/>
          <w:jc w:val="center"/>
        </w:trPr>
        <w:tc>
          <w:tcPr>
            <w:cnfStyle w:val="001000000000" w:firstRow="0" w:lastRow="0" w:firstColumn="1" w:lastColumn="0" w:oddVBand="0" w:evenVBand="0" w:oddHBand="0" w:evenHBand="0" w:firstRowFirstColumn="0" w:firstRowLastColumn="0" w:lastRowFirstColumn="0" w:lastRowLastColumn="0"/>
            <w:tcW w:w="2677" w:type="dxa"/>
            <w:vAlign w:val="center"/>
            <w:hideMark/>
          </w:tcPr>
          <w:p w14:paraId="64C3F4E6" w14:textId="77777777" w:rsidR="00696CC1" w:rsidRPr="005045BF" w:rsidRDefault="00696CC1" w:rsidP="003E57C8">
            <w:pPr>
              <w:spacing w:before="40" w:after="6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 xml:space="preserve">Ministro </w:t>
            </w:r>
          </w:p>
        </w:tc>
        <w:tc>
          <w:tcPr>
            <w:tcW w:w="1554" w:type="dxa"/>
            <w:vAlign w:val="center"/>
            <w:hideMark/>
          </w:tcPr>
          <w:p w14:paraId="4C96F6D1" w14:textId="77777777" w:rsidR="00696CC1" w:rsidRPr="005045BF" w:rsidRDefault="00696CC1"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7.021-2018</w:t>
            </w:r>
          </w:p>
        </w:tc>
        <w:tc>
          <w:tcPr>
            <w:tcW w:w="1329" w:type="dxa"/>
            <w:vAlign w:val="center"/>
            <w:hideMark/>
          </w:tcPr>
          <w:p w14:paraId="568792E8" w14:textId="273C37ED" w:rsidR="00696CC1" w:rsidRPr="005045BF" w:rsidRDefault="00501EA6"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521.529.611</w:t>
            </w:r>
          </w:p>
        </w:tc>
        <w:tc>
          <w:tcPr>
            <w:tcW w:w="2799" w:type="dxa"/>
            <w:vAlign w:val="center"/>
            <w:hideMark/>
          </w:tcPr>
          <w:p w14:paraId="2A1BA619" w14:textId="2652AF2B" w:rsidR="00781674" w:rsidRPr="005045BF" w:rsidRDefault="00696CC1"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w:t>
            </w:r>
            <w:r w:rsidR="00781674" w:rsidRPr="005045BF">
              <w:rPr>
                <w:rFonts w:ascii="Arial" w:hAnsi="Arial" w:cs="Arial"/>
                <w:color w:val="0F243E" w:themeColor="text2" w:themeShade="80"/>
                <w:sz w:val="20"/>
                <w:szCs w:val="20"/>
              </w:rPr>
              <w:t>05/2020</w:t>
            </w:r>
            <w:r w:rsidR="003E57C8" w:rsidRPr="005045BF">
              <w:rPr>
                <w:rFonts w:ascii="Arial" w:hAnsi="Arial" w:cs="Arial"/>
                <w:color w:val="0F243E" w:themeColor="text2" w:themeShade="80"/>
                <w:sz w:val="20"/>
                <w:szCs w:val="20"/>
              </w:rPr>
              <w:t xml:space="preserve"> </w:t>
            </w:r>
            <w:r w:rsidR="00781674" w:rsidRPr="005045BF">
              <w:rPr>
                <w:rFonts w:ascii="Arial" w:hAnsi="Arial" w:cs="Arial"/>
                <w:color w:val="0F243E" w:themeColor="text2" w:themeShade="80"/>
                <w:sz w:val="20"/>
                <w:szCs w:val="20"/>
              </w:rPr>
              <w:t xml:space="preserve">Otrosí # 3 </w:t>
            </w:r>
          </w:p>
        </w:tc>
      </w:tr>
      <w:tr w:rsidR="00FD47E8" w:rsidRPr="005045BF" w14:paraId="107E3B69" w14:textId="77777777" w:rsidTr="003E57C8">
        <w:trPr>
          <w:trHeight w:val="419"/>
          <w:jc w:val="center"/>
        </w:trPr>
        <w:tc>
          <w:tcPr>
            <w:cnfStyle w:val="001000000000" w:firstRow="0" w:lastRow="0" w:firstColumn="1" w:lastColumn="0" w:oddVBand="0" w:evenVBand="0" w:oddHBand="0" w:evenHBand="0" w:firstRowFirstColumn="0" w:firstRowLastColumn="0" w:lastRowFirstColumn="0" w:lastRowLastColumn="0"/>
            <w:tcW w:w="2677" w:type="dxa"/>
            <w:vAlign w:val="center"/>
            <w:hideMark/>
          </w:tcPr>
          <w:p w14:paraId="395E452B" w14:textId="1B044198" w:rsidR="00FD47E8" w:rsidRPr="005045BF" w:rsidRDefault="00FD47E8" w:rsidP="003E57C8">
            <w:pPr>
              <w:spacing w:before="40" w:after="6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Viceministro General</w:t>
            </w:r>
          </w:p>
        </w:tc>
        <w:tc>
          <w:tcPr>
            <w:tcW w:w="1554" w:type="dxa"/>
            <w:vAlign w:val="center"/>
            <w:hideMark/>
          </w:tcPr>
          <w:p w14:paraId="709046BB" w14:textId="77777777" w:rsidR="00FD47E8" w:rsidRPr="005045BF" w:rsidRDefault="00FD47E8"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7.001-2019</w:t>
            </w:r>
          </w:p>
        </w:tc>
        <w:tc>
          <w:tcPr>
            <w:tcW w:w="1329" w:type="dxa"/>
            <w:vAlign w:val="center"/>
            <w:hideMark/>
          </w:tcPr>
          <w:p w14:paraId="69F6690B" w14:textId="24228F98" w:rsidR="00FD47E8" w:rsidRPr="005045BF" w:rsidRDefault="00FD47E8"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Narrow" w:hAnsi="Arial Narrow" w:cs="Calibri"/>
                <w:color w:val="000000"/>
                <w:sz w:val="20"/>
                <w:szCs w:val="20"/>
                <w:lang w:eastAsia="en-US"/>
              </w:rPr>
            </w:pPr>
            <w:r w:rsidRPr="005045BF">
              <w:rPr>
                <w:rFonts w:ascii="Arial" w:hAnsi="Arial" w:cs="Arial"/>
                <w:color w:val="0F243E" w:themeColor="text2" w:themeShade="80"/>
                <w:sz w:val="20"/>
                <w:szCs w:val="20"/>
              </w:rPr>
              <w:t>518.785.905</w:t>
            </w:r>
          </w:p>
        </w:tc>
        <w:tc>
          <w:tcPr>
            <w:tcW w:w="2799" w:type="dxa"/>
            <w:vAlign w:val="center"/>
            <w:hideMark/>
          </w:tcPr>
          <w:p w14:paraId="2D28C79A" w14:textId="0041B37A" w:rsidR="00FD47E8" w:rsidRPr="005045BF" w:rsidRDefault="0048295A" w:rsidP="003E57C8">
            <w:pPr>
              <w:spacing w:before="4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13</w:t>
            </w:r>
            <w:r w:rsidR="00FD47E8" w:rsidRPr="005045BF">
              <w:rPr>
                <w:rFonts w:ascii="Arial" w:hAnsi="Arial" w:cs="Arial"/>
                <w:color w:val="0F243E" w:themeColor="text2" w:themeShade="80"/>
                <w:sz w:val="20"/>
                <w:szCs w:val="20"/>
              </w:rPr>
              <w:t>/06/2020</w:t>
            </w:r>
            <w:r w:rsidR="003E57C8" w:rsidRPr="005045BF">
              <w:rPr>
                <w:rFonts w:ascii="Arial" w:hAnsi="Arial" w:cs="Arial"/>
                <w:color w:val="0F243E" w:themeColor="text2" w:themeShade="80"/>
                <w:sz w:val="20"/>
                <w:szCs w:val="20"/>
              </w:rPr>
              <w:t xml:space="preserve"> </w:t>
            </w:r>
            <w:r w:rsidR="00FD47E8" w:rsidRPr="005045BF">
              <w:rPr>
                <w:rFonts w:ascii="Arial" w:hAnsi="Arial" w:cs="Arial"/>
                <w:color w:val="0F243E" w:themeColor="text2" w:themeShade="80"/>
                <w:sz w:val="20"/>
                <w:szCs w:val="20"/>
              </w:rPr>
              <w:t>Otrosí # 3</w:t>
            </w:r>
          </w:p>
        </w:tc>
      </w:tr>
    </w:tbl>
    <w:p w14:paraId="613C3E42" w14:textId="77777777" w:rsidR="00672AC2" w:rsidRPr="005045BF" w:rsidRDefault="00672AC2" w:rsidP="00874E3F">
      <w:pPr>
        <w:jc w:val="both"/>
        <w:rPr>
          <w:rFonts w:ascii="Arial" w:hAnsi="Arial" w:cs="Arial"/>
          <w:sz w:val="22"/>
          <w:szCs w:val="22"/>
        </w:rPr>
      </w:pPr>
    </w:p>
    <w:p w14:paraId="40ACE8B2" w14:textId="3346895D" w:rsidR="001E2203" w:rsidRPr="000A63B2" w:rsidRDefault="00257449" w:rsidP="001E2203">
      <w:pPr>
        <w:jc w:val="both"/>
        <w:rPr>
          <w:rFonts w:ascii="Arial" w:hAnsi="Arial" w:cs="Arial"/>
          <w:color w:val="000000" w:themeColor="text1"/>
          <w:sz w:val="22"/>
          <w:szCs w:val="22"/>
        </w:rPr>
      </w:pPr>
      <w:bookmarkStart w:id="3" w:name="_Hlk35934138"/>
      <w:r w:rsidRPr="000A63B2">
        <w:rPr>
          <w:rFonts w:ascii="Arial" w:hAnsi="Arial" w:cs="Arial"/>
          <w:color w:val="000000" w:themeColor="text1"/>
          <w:sz w:val="22"/>
          <w:szCs w:val="22"/>
        </w:rPr>
        <w:t>En este punto es importante precisar</w:t>
      </w:r>
      <w:r w:rsidR="00704BF4" w:rsidRPr="000A63B2">
        <w:rPr>
          <w:rFonts w:ascii="Arial" w:hAnsi="Arial" w:cs="Arial"/>
          <w:color w:val="000000" w:themeColor="text1"/>
          <w:sz w:val="22"/>
          <w:szCs w:val="22"/>
        </w:rPr>
        <w:t xml:space="preserve"> </w:t>
      </w:r>
      <w:r w:rsidRPr="000A63B2">
        <w:rPr>
          <w:rFonts w:ascii="Arial" w:hAnsi="Arial" w:cs="Arial"/>
          <w:color w:val="000000" w:themeColor="text1"/>
          <w:sz w:val="22"/>
          <w:szCs w:val="22"/>
        </w:rPr>
        <w:t>que</w:t>
      </w:r>
      <w:r w:rsidR="00704BF4" w:rsidRPr="000A63B2">
        <w:rPr>
          <w:rFonts w:ascii="Arial" w:hAnsi="Arial" w:cs="Arial"/>
          <w:color w:val="000000" w:themeColor="text1"/>
          <w:sz w:val="22"/>
          <w:szCs w:val="22"/>
        </w:rPr>
        <w:t>,</w:t>
      </w:r>
      <w:r w:rsidR="00B95E28" w:rsidRPr="000A63B2">
        <w:rPr>
          <w:rFonts w:ascii="Arial" w:hAnsi="Arial" w:cs="Arial"/>
          <w:color w:val="000000" w:themeColor="text1"/>
          <w:sz w:val="22"/>
          <w:szCs w:val="22"/>
        </w:rPr>
        <w:t xml:space="preserve"> </w:t>
      </w:r>
      <w:r w:rsidRPr="000A63B2">
        <w:rPr>
          <w:rFonts w:ascii="Arial" w:hAnsi="Arial" w:cs="Arial"/>
          <w:color w:val="000000" w:themeColor="text1"/>
          <w:sz w:val="22"/>
          <w:szCs w:val="22"/>
        </w:rPr>
        <w:t xml:space="preserve">según la normatividad vigente está contemplado que </w:t>
      </w:r>
      <w:r w:rsidR="004A0E5D" w:rsidRPr="000A63B2">
        <w:rPr>
          <w:rFonts w:ascii="Arial" w:hAnsi="Arial" w:cs="Arial"/>
          <w:color w:val="000000" w:themeColor="text1"/>
          <w:sz w:val="22"/>
          <w:szCs w:val="22"/>
        </w:rPr>
        <w:t xml:space="preserve">la persona </w:t>
      </w:r>
      <w:r w:rsidR="004663C9" w:rsidRPr="000A63B2">
        <w:rPr>
          <w:rFonts w:ascii="Arial" w:hAnsi="Arial" w:cs="Arial"/>
          <w:color w:val="000000" w:themeColor="text1"/>
          <w:sz w:val="22"/>
          <w:szCs w:val="22"/>
        </w:rPr>
        <w:t>que ejerza como Ministro</w:t>
      </w:r>
      <w:r w:rsidRPr="000A63B2">
        <w:rPr>
          <w:rFonts w:ascii="Arial" w:hAnsi="Arial" w:cs="Arial"/>
          <w:color w:val="000000" w:themeColor="text1"/>
          <w:sz w:val="22"/>
          <w:szCs w:val="22"/>
        </w:rPr>
        <w:t xml:space="preserve"> de Hacienda </w:t>
      </w:r>
      <w:r w:rsidR="004663C9" w:rsidRPr="000A63B2">
        <w:rPr>
          <w:rFonts w:ascii="Arial" w:hAnsi="Arial" w:cs="Arial"/>
          <w:color w:val="000000" w:themeColor="text1"/>
          <w:sz w:val="22"/>
          <w:szCs w:val="22"/>
        </w:rPr>
        <w:t xml:space="preserve">y Crédito Público contará con un esquema de seguridad. </w:t>
      </w:r>
      <w:r w:rsidR="00704BF4" w:rsidRPr="000A63B2">
        <w:rPr>
          <w:rFonts w:ascii="Arial" w:hAnsi="Arial" w:cs="Arial"/>
          <w:color w:val="000000" w:themeColor="text1"/>
          <w:sz w:val="22"/>
          <w:szCs w:val="22"/>
        </w:rPr>
        <w:t>P</w:t>
      </w:r>
      <w:r w:rsidR="00183371" w:rsidRPr="000A63B2">
        <w:rPr>
          <w:rFonts w:ascii="Arial" w:hAnsi="Arial" w:cs="Arial"/>
          <w:color w:val="000000" w:themeColor="text1"/>
          <w:sz w:val="22"/>
          <w:szCs w:val="22"/>
        </w:rPr>
        <w:t>ara la vigencia 2019</w:t>
      </w:r>
      <w:r w:rsidR="00704BF4" w:rsidRPr="000A63B2">
        <w:rPr>
          <w:rFonts w:ascii="Arial" w:hAnsi="Arial" w:cs="Arial"/>
          <w:color w:val="000000" w:themeColor="text1"/>
          <w:sz w:val="22"/>
          <w:szCs w:val="22"/>
        </w:rPr>
        <w:t>,</w:t>
      </w:r>
      <w:r w:rsidR="00183371" w:rsidRPr="000A63B2">
        <w:rPr>
          <w:rFonts w:ascii="Arial" w:hAnsi="Arial" w:cs="Arial"/>
          <w:color w:val="000000" w:themeColor="text1"/>
          <w:sz w:val="22"/>
          <w:szCs w:val="22"/>
        </w:rPr>
        <w:t xml:space="preserve"> </w:t>
      </w:r>
      <w:r w:rsidR="004663C9" w:rsidRPr="000A63B2">
        <w:rPr>
          <w:rFonts w:ascii="Arial" w:hAnsi="Arial" w:cs="Arial"/>
          <w:color w:val="000000" w:themeColor="text1"/>
          <w:sz w:val="22"/>
          <w:szCs w:val="22"/>
        </w:rPr>
        <w:t>la UNP efect</w:t>
      </w:r>
      <w:r w:rsidR="00704BF4" w:rsidRPr="000A63B2">
        <w:rPr>
          <w:rFonts w:ascii="Arial" w:hAnsi="Arial" w:cs="Arial"/>
          <w:color w:val="000000" w:themeColor="text1"/>
          <w:sz w:val="22"/>
          <w:szCs w:val="22"/>
        </w:rPr>
        <w:t xml:space="preserve">uó </w:t>
      </w:r>
      <w:r w:rsidR="004663C9" w:rsidRPr="000A63B2">
        <w:rPr>
          <w:rFonts w:ascii="Arial" w:hAnsi="Arial" w:cs="Arial"/>
          <w:color w:val="000000" w:themeColor="text1"/>
          <w:sz w:val="22"/>
          <w:szCs w:val="22"/>
        </w:rPr>
        <w:t xml:space="preserve">un análisis de riesgo a las personas que </w:t>
      </w:r>
      <w:r w:rsidR="00272C39" w:rsidRPr="000A63B2">
        <w:rPr>
          <w:rFonts w:ascii="Arial" w:hAnsi="Arial" w:cs="Arial"/>
          <w:color w:val="000000" w:themeColor="text1"/>
          <w:sz w:val="22"/>
          <w:szCs w:val="22"/>
        </w:rPr>
        <w:t xml:space="preserve">en su momento ejercían </w:t>
      </w:r>
      <w:r w:rsidR="004663C9" w:rsidRPr="000A63B2">
        <w:rPr>
          <w:rFonts w:ascii="Arial" w:hAnsi="Arial" w:cs="Arial"/>
          <w:color w:val="000000" w:themeColor="text1"/>
          <w:sz w:val="22"/>
          <w:szCs w:val="22"/>
        </w:rPr>
        <w:t xml:space="preserve">las funciones de Viceministro Técnico y </w:t>
      </w:r>
      <w:r w:rsidR="00961AFC" w:rsidRPr="000A63B2">
        <w:rPr>
          <w:rFonts w:ascii="Arial" w:hAnsi="Arial" w:cs="Arial"/>
          <w:color w:val="000000" w:themeColor="text1"/>
          <w:sz w:val="22"/>
          <w:szCs w:val="22"/>
        </w:rPr>
        <w:t xml:space="preserve">Viceministro </w:t>
      </w:r>
      <w:r w:rsidR="004663C9" w:rsidRPr="000A63B2">
        <w:rPr>
          <w:rFonts w:ascii="Arial" w:hAnsi="Arial" w:cs="Arial"/>
          <w:color w:val="000000" w:themeColor="text1"/>
          <w:sz w:val="22"/>
          <w:szCs w:val="22"/>
        </w:rPr>
        <w:t>General, como resultado</w:t>
      </w:r>
      <w:r w:rsidR="0048295A" w:rsidRPr="000A63B2">
        <w:rPr>
          <w:rFonts w:ascii="Arial" w:hAnsi="Arial" w:cs="Arial"/>
          <w:color w:val="000000" w:themeColor="text1"/>
          <w:sz w:val="22"/>
          <w:szCs w:val="22"/>
        </w:rPr>
        <w:t>,</w:t>
      </w:r>
      <w:r w:rsidR="004663C9" w:rsidRPr="000A63B2">
        <w:rPr>
          <w:rFonts w:ascii="Arial" w:hAnsi="Arial" w:cs="Arial"/>
          <w:color w:val="000000" w:themeColor="text1"/>
          <w:sz w:val="22"/>
          <w:szCs w:val="22"/>
        </w:rPr>
        <w:t xml:space="preserve"> la</w:t>
      </w:r>
      <w:r w:rsidR="0048295A" w:rsidRPr="000A63B2">
        <w:rPr>
          <w:rFonts w:ascii="Arial" w:hAnsi="Arial" w:cs="Arial"/>
          <w:color w:val="000000" w:themeColor="text1"/>
          <w:sz w:val="22"/>
          <w:szCs w:val="22"/>
        </w:rPr>
        <w:t xml:space="preserve"> </w:t>
      </w:r>
      <w:r w:rsidR="004663C9" w:rsidRPr="000A63B2">
        <w:rPr>
          <w:rFonts w:ascii="Arial" w:hAnsi="Arial" w:cs="Arial"/>
          <w:color w:val="000000" w:themeColor="text1"/>
          <w:sz w:val="22"/>
          <w:szCs w:val="22"/>
        </w:rPr>
        <w:t xml:space="preserve">UNP </w:t>
      </w:r>
      <w:r w:rsidR="004A0E5D" w:rsidRPr="000A63B2">
        <w:rPr>
          <w:rFonts w:ascii="Arial" w:hAnsi="Arial" w:cs="Arial"/>
          <w:color w:val="000000" w:themeColor="text1"/>
          <w:sz w:val="22"/>
          <w:szCs w:val="22"/>
        </w:rPr>
        <w:t>determinó una situación</w:t>
      </w:r>
      <w:r w:rsidR="004663C9" w:rsidRPr="000A63B2">
        <w:rPr>
          <w:rFonts w:ascii="Arial" w:hAnsi="Arial" w:cs="Arial"/>
          <w:color w:val="000000" w:themeColor="text1"/>
          <w:sz w:val="22"/>
          <w:szCs w:val="22"/>
        </w:rPr>
        <w:t xml:space="preserve"> de emergencia y la activación de la presunción constitucional de riesgo para los funcionarios que </w:t>
      </w:r>
      <w:r w:rsidR="00272C39" w:rsidRPr="000A63B2">
        <w:rPr>
          <w:rFonts w:ascii="Arial" w:hAnsi="Arial" w:cs="Arial"/>
          <w:color w:val="000000" w:themeColor="text1"/>
          <w:sz w:val="22"/>
          <w:szCs w:val="22"/>
        </w:rPr>
        <w:t xml:space="preserve">desempeñaban </w:t>
      </w:r>
      <w:r w:rsidR="007D00C7" w:rsidRPr="000A63B2">
        <w:rPr>
          <w:rFonts w:ascii="Arial" w:hAnsi="Arial" w:cs="Arial"/>
          <w:color w:val="000000" w:themeColor="text1"/>
          <w:sz w:val="22"/>
          <w:szCs w:val="22"/>
        </w:rPr>
        <w:t>dichos cargos.</w:t>
      </w:r>
      <w:r w:rsidR="004663C9" w:rsidRPr="000A63B2">
        <w:rPr>
          <w:rFonts w:ascii="Arial" w:hAnsi="Arial" w:cs="Arial"/>
          <w:color w:val="000000" w:themeColor="text1"/>
          <w:sz w:val="22"/>
          <w:szCs w:val="22"/>
        </w:rPr>
        <w:t xml:space="preserve"> </w:t>
      </w:r>
    </w:p>
    <w:p w14:paraId="5DBD58C8" w14:textId="77777777" w:rsidR="001E2203" w:rsidRPr="000A63B2" w:rsidRDefault="001E2203" w:rsidP="003E57C8">
      <w:pPr>
        <w:spacing w:line="168" w:lineRule="auto"/>
        <w:jc w:val="both"/>
        <w:rPr>
          <w:rFonts w:ascii="Arial" w:hAnsi="Arial" w:cs="Arial"/>
          <w:color w:val="000000" w:themeColor="text1"/>
          <w:sz w:val="22"/>
          <w:szCs w:val="22"/>
        </w:rPr>
      </w:pPr>
    </w:p>
    <w:p w14:paraId="39D8BF76" w14:textId="0625310E" w:rsidR="006A2600" w:rsidRPr="000A63B2" w:rsidRDefault="001E2203" w:rsidP="00874E3F">
      <w:pPr>
        <w:jc w:val="both"/>
        <w:rPr>
          <w:rFonts w:ascii="Arial" w:hAnsi="Arial" w:cs="Arial"/>
          <w:color w:val="000000" w:themeColor="text1"/>
          <w:sz w:val="22"/>
          <w:szCs w:val="22"/>
        </w:rPr>
      </w:pPr>
      <w:r w:rsidRPr="000A63B2">
        <w:rPr>
          <w:rFonts w:ascii="Arial" w:hAnsi="Arial" w:cs="Arial"/>
          <w:color w:val="000000" w:themeColor="text1"/>
          <w:sz w:val="22"/>
          <w:szCs w:val="22"/>
        </w:rPr>
        <w:t xml:space="preserve">Frente a lo anterior, </w:t>
      </w:r>
      <w:r w:rsidR="004663C9" w:rsidRPr="000A63B2">
        <w:rPr>
          <w:rFonts w:ascii="Arial" w:hAnsi="Arial" w:cs="Arial"/>
          <w:color w:val="000000" w:themeColor="text1"/>
          <w:sz w:val="22"/>
          <w:szCs w:val="22"/>
        </w:rPr>
        <w:t xml:space="preserve">este Ministerio </w:t>
      </w:r>
      <w:r w:rsidR="007D00C7" w:rsidRPr="000A63B2">
        <w:rPr>
          <w:rFonts w:ascii="Arial" w:hAnsi="Arial" w:cs="Arial"/>
          <w:color w:val="000000" w:themeColor="text1"/>
          <w:sz w:val="22"/>
          <w:szCs w:val="22"/>
        </w:rPr>
        <w:t xml:space="preserve">en atención </w:t>
      </w:r>
      <w:r w:rsidR="002708E3" w:rsidRPr="000A63B2">
        <w:rPr>
          <w:rFonts w:ascii="Arial" w:hAnsi="Arial" w:cs="Arial"/>
          <w:color w:val="000000" w:themeColor="text1"/>
          <w:sz w:val="22"/>
          <w:szCs w:val="22"/>
        </w:rPr>
        <w:t xml:space="preserve">a </w:t>
      </w:r>
      <w:r w:rsidR="007D00C7" w:rsidRPr="000A63B2">
        <w:rPr>
          <w:rFonts w:ascii="Arial" w:hAnsi="Arial" w:cs="Arial"/>
          <w:color w:val="000000" w:themeColor="text1"/>
          <w:sz w:val="22"/>
          <w:szCs w:val="22"/>
        </w:rPr>
        <w:t xml:space="preserve">lo definido por </w:t>
      </w:r>
      <w:r w:rsidR="004663C9" w:rsidRPr="000A63B2">
        <w:rPr>
          <w:rFonts w:ascii="Arial" w:hAnsi="Arial" w:cs="Arial"/>
          <w:color w:val="000000" w:themeColor="text1"/>
          <w:sz w:val="22"/>
          <w:szCs w:val="22"/>
        </w:rPr>
        <w:t xml:space="preserve">la UNP suscribió el </w:t>
      </w:r>
      <w:r w:rsidR="006E4351" w:rsidRPr="000A63B2">
        <w:rPr>
          <w:rFonts w:ascii="Arial" w:hAnsi="Arial" w:cs="Arial"/>
          <w:color w:val="000000" w:themeColor="text1"/>
          <w:sz w:val="22"/>
          <w:szCs w:val="22"/>
        </w:rPr>
        <w:t>contrato interadministrativo</w:t>
      </w:r>
      <w:r w:rsidR="00FB0CB2" w:rsidRPr="000A63B2">
        <w:rPr>
          <w:rFonts w:ascii="Arial" w:hAnsi="Arial" w:cs="Arial"/>
          <w:color w:val="000000" w:themeColor="text1"/>
          <w:sz w:val="22"/>
          <w:szCs w:val="22"/>
        </w:rPr>
        <w:t xml:space="preserve"> para amparar la prestación del servicio</w:t>
      </w:r>
      <w:r w:rsidR="004663C9" w:rsidRPr="000A63B2">
        <w:rPr>
          <w:rFonts w:ascii="Arial" w:hAnsi="Arial" w:cs="Arial"/>
          <w:color w:val="000000" w:themeColor="text1"/>
          <w:sz w:val="22"/>
          <w:szCs w:val="22"/>
        </w:rPr>
        <w:t xml:space="preserve"> de esquema de seguridad con el fin de mitigar el riesgo de</w:t>
      </w:r>
      <w:r w:rsidR="00961AFC" w:rsidRPr="000A63B2">
        <w:rPr>
          <w:rFonts w:ascii="Arial" w:hAnsi="Arial" w:cs="Arial"/>
          <w:color w:val="000000" w:themeColor="text1"/>
          <w:sz w:val="22"/>
          <w:szCs w:val="22"/>
        </w:rPr>
        <w:t xml:space="preserve"> </w:t>
      </w:r>
      <w:r w:rsidR="004663C9" w:rsidRPr="000A63B2">
        <w:rPr>
          <w:rFonts w:ascii="Arial" w:hAnsi="Arial" w:cs="Arial"/>
          <w:color w:val="000000" w:themeColor="text1"/>
          <w:sz w:val="22"/>
          <w:szCs w:val="22"/>
        </w:rPr>
        <w:t xml:space="preserve">las personas que </w:t>
      </w:r>
      <w:r w:rsidR="00183371" w:rsidRPr="000A63B2">
        <w:rPr>
          <w:rFonts w:ascii="Arial" w:hAnsi="Arial" w:cs="Arial"/>
          <w:color w:val="000000" w:themeColor="text1"/>
          <w:sz w:val="22"/>
          <w:szCs w:val="22"/>
        </w:rPr>
        <w:t>ejercían</w:t>
      </w:r>
      <w:r w:rsidR="00961AFC" w:rsidRPr="000A63B2">
        <w:rPr>
          <w:rFonts w:ascii="Arial" w:hAnsi="Arial" w:cs="Arial"/>
          <w:color w:val="000000" w:themeColor="text1"/>
          <w:sz w:val="22"/>
          <w:szCs w:val="22"/>
        </w:rPr>
        <w:t xml:space="preserve"> </w:t>
      </w:r>
      <w:r w:rsidR="004663C9" w:rsidRPr="000A63B2">
        <w:rPr>
          <w:rFonts w:ascii="Arial" w:hAnsi="Arial" w:cs="Arial"/>
          <w:color w:val="000000" w:themeColor="text1"/>
          <w:sz w:val="22"/>
          <w:szCs w:val="22"/>
        </w:rPr>
        <w:t xml:space="preserve">los cargos de </w:t>
      </w:r>
      <w:r w:rsidR="00447F08" w:rsidRPr="000A63B2">
        <w:rPr>
          <w:rFonts w:ascii="Arial" w:hAnsi="Arial" w:cs="Arial"/>
          <w:color w:val="000000" w:themeColor="text1"/>
          <w:sz w:val="22"/>
          <w:szCs w:val="22"/>
        </w:rPr>
        <w:t>Viceministros</w:t>
      </w:r>
      <w:r w:rsidR="004663C9" w:rsidRPr="000A63B2">
        <w:rPr>
          <w:rFonts w:ascii="Arial" w:hAnsi="Arial" w:cs="Arial"/>
          <w:color w:val="000000" w:themeColor="text1"/>
          <w:sz w:val="22"/>
          <w:szCs w:val="22"/>
        </w:rPr>
        <w:t>, el cual est</w:t>
      </w:r>
      <w:r w:rsidR="006A2600" w:rsidRPr="000A63B2">
        <w:rPr>
          <w:rFonts w:ascii="Arial" w:hAnsi="Arial" w:cs="Arial"/>
          <w:color w:val="000000" w:themeColor="text1"/>
          <w:sz w:val="22"/>
          <w:szCs w:val="22"/>
        </w:rPr>
        <w:t>aba</w:t>
      </w:r>
      <w:r w:rsidR="004663C9" w:rsidRPr="000A63B2">
        <w:rPr>
          <w:rFonts w:ascii="Arial" w:hAnsi="Arial" w:cs="Arial"/>
          <w:color w:val="000000" w:themeColor="text1"/>
          <w:sz w:val="22"/>
          <w:szCs w:val="22"/>
        </w:rPr>
        <w:t xml:space="preserve"> asociado a las funciones que </w:t>
      </w:r>
      <w:r w:rsidR="00704BF4" w:rsidRPr="000A63B2">
        <w:rPr>
          <w:rFonts w:ascii="Arial" w:hAnsi="Arial" w:cs="Arial"/>
          <w:color w:val="000000" w:themeColor="text1"/>
          <w:sz w:val="22"/>
          <w:szCs w:val="22"/>
        </w:rPr>
        <w:t>ejerc</w:t>
      </w:r>
      <w:bookmarkEnd w:id="3"/>
      <w:r w:rsidR="00704BF4" w:rsidRPr="000A63B2">
        <w:rPr>
          <w:rFonts w:ascii="Arial" w:hAnsi="Arial" w:cs="Arial"/>
          <w:color w:val="000000" w:themeColor="text1"/>
          <w:sz w:val="22"/>
          <w:szCs w:val="22"/>
        </w:rPr>
        <w:t>en</w:t>
      </w:r>
      <w:r w:rsidR="004663C9" w:rsidRPr="000A63B2">
        <w:rPr>
          <w:rFonts w:ascii="Arial" w:hAnsi="Arial" w:cs="Arial"/>
          <w:color w:val="000000" w:themeColor="text1"/>
          <w:sz w:val="22"/>
          <w:szCs w:val="22"/>
        </w:rPr>
        <w:t xml:space="preserve">. </w:t>
      </w:r>
      <w:r w:rsidRPr="000A63B2">
        <w:rPr>
          <w:rFonts w:ascii="Arial" w:hAnsi="Arial" w:cs="Arial"/>
          <w:color w:val="000000" w:themeColor="text1"/>
          <w:sz w:val="22"/>
          <w:szCs w:val="22"/>
        </w:rPr>
        <w:t xml:space="preserve">Es de mencionar </w:t>
      </w:r>
      <w:r w:rsidR="00DB6BB8" w:rsidRPr="000A63B2">
        <w:rPr>
          <w:rFonts w:ascii="Arial" w:hAnsi="Arial" w:cs="Arial"/>
          <w:color w:val="000000" w:themeColor="text1"/>
          <w:sz w:val="22"/>
          <w:szCs w:val="22"/>
        </w:rPr>
        <w:t>que,</w:t>
      </w:r>
      <w:r w:rsidRPr="000A63B2">
        <w:rPr>
          <w:rFonts w:ascii="Arial" w:hAnsi="Arial" w:cs="Arial"/>
          <w:color w:val="000000" w:themeColor="text1"/>
          <w:sz w:val="22"/>
          <w:szCs w:val="22"/>
        </w:rPr>
        <w:t xml:space="preserve"> hasta el 15 de septiembre de 2019</w:t>
      </w:r>
      <w:r w:rsidR="00DB6BB8" w:rsidRPr="000A63B2">
        <w:rPr>
          <w:rFonts w:ascii="Arial" w:hAnsi="Arial" w:cs="Arial"/>
          <w:color w:val="000000" w:themeColor="text1"/>
          <w:sz w:val="22"/>
          <w:szCs w:val="22"/>
        </w:rPr>
        <w:t xml:space="preserve"> </w:t>
      </w:r>
      <w:r w:rsidRPr="000A63B2">
        <w:rPr>
          <w:rFonts w:ascii="Arial" w:hAnsi="Arial" w:cs="Arial"/>
          <w:color w:val="000000" w:themeColor="text1"/>
          <w:sz w:val="22"/>
          <w:szCs w:val="22"/>
        </w:rPr>
        <w:t>la persona que se desempeñaba en el cargo de Viceministro Técnico laboró para este Ministerio</w:t>
      </w:r>
      <w:bookmarkStart w:id="4" w:name="_Hlk35934253"/>
      <w:r w:rsidR="008A000F" w:rsidRPr="000A63B2">
        <w:rPr>
          <w:rFonts w:ascii="Arial" w:hAnsi="Arial" w:cs="Arial"/>
          <w:color w:val="000000" w:themeColor="text1"/>
          <w:sz w:val="22"/>
          <w:szCs w:val="22"/>
        </w:rPr>
        <w:t xml:space="preserve">, </w:t>
      </w:r>
      <w:r w:rsidR="00DB6BB8" w:rsidRPr="000A63B2">
        <w:rPr>
          <w:rFonts w:ascii="Arial" w:hAnsi="Arial" w:cs="Arial"/>
          <w:color w:val="000000" w:themeColor="text1"/>
          <w:sz w:val="22"/>
          <w:szCs w:val="22"/>
        </w:rPr>
        <w:t>e</w:t>
      </w:r>
      <w:r w:rsidR="006A2600" w:rsidRPr="000A63B2">
        <w:rPr>
          <w:rFonts w:ascii="Arial" w:hAnsi="Arial" w:cs="Arial"/>
          <w:color w:val="000000" w:themeColor="text1"/>
          <w:sz w:val="22"/>
          <w:szCs w:val="22"/>
        </w:rPr>
        <w:t xml:space="preserve">n consecuencia, el esquema de seguridad </w:t>
      </w:r>
      <w:r w:rsidR="008A000F" w:rsidRPr="000A63B2">
        <w:rPr>
          <w:rFonts w:ascii="Arial" w:hAnsi="Arial" w:cs="Arial"/>
          <w:color w:val="000000" w:themeColor="text1"/>
          <w:sz w:val="22"/>
          <w:szCs w:val="22"/>
        </w:rPr>
        <w:t>vigente para el MHCP c</w:t>
      </w:r>
      <w:r w:rsidR="006A2600" w:rsidRPr="000A63B2">
        <w:rPr>
          <w:rFonts w:ascii="Arial" w:hAnsi="Arial" w:cs="Arial"/>
          <w:color w:val="000000" w:themeColor="text1"/>
          <w:sz w:val="22"/>
          <w:szCs w:val="22"/>
        </w:rPr>
        <w:t xml:space="preserve">orresponde a los funcionarios que </w:t>
      </w:r>
      <w:r w:rsidR="000A63B2">
        <w:rPr>
          <w:rFonts w:ascii="Arial" w:hAnsi="Arial" w:cs="Arial"/>
          <w:color w:val="000000" w:themeColor="text1"/>
          <w:sz w:val="22"/>
          <w:szCs w:val="22"/>
        </w:rPr>
        <w:t>se desempeñan</w:t>
      </w:r>
      <w:r w:rsidR="00D13E7D">
        <w:rPr>
          <w:rFonts w:ascii="Arial" w:hAnsi="Arial" w:cs="Arial"/>
          <w:color w:val="000000" w:themeColor="text1"/>
          <w:sz w:val="22"/>
          <w:szCs w:val="22"/>
        </w:rPr>
        <w:t xml:space="preserve"> en los cargos de </w:t>
      </w:r>
      <w:r w:rsidR="006A2600" w:rsidRPr="000A63B2">
        <w:rPr>
          <w:rFonts w:ascii="Arial" w:hAnsi="Arial" w:cs="Arial"/>
          <w:color w:val="000000" w:themeColor="text1"/>
          <w:sz w:val="22"/>
          <w:szCs w:val="22"/>
        </w:rPr>
        <w:t xml:space="preserve">Ministro </w:t>
      </w:r>
      <w:r w:rsidR="00D35A3D" w:rsidRPr="000A63B2">
        <w:rPr>
          <w:rFonts w:ascii="Arial" w:hAnsi="Arial" w:cs="Arial"/>
          <w:color w:val="000000" w:themeColor="text1"/>
          <w:sz w:val="22"/>
          <w:szCs w:val="22"/>
        </w:rPr>
        <w:t>y Viceministro</w:t>
      </w:r>
      <w:r w:rsidR="006A2600" w:rsidRPr="000A63B2">
        <w:rPr>
          <w:rFonts w:ascii="Arial" w:hAnsi="Arial" w:cs="Arial"/>
          <w:color w:val="000000" w:themeColor="text1"/>
          <w:sz w:val="22"/>
          <w:szCs w:val="22"/>
        </w:rPr>
        <w:t xml:space="preserve"> General. </w:t>
      </w:r>
    </w:p>
    <w:p w14:paraId="3D831E2A" w14:textId="2EE54D23" w:rsidR="004663C9" w:rsidRPr="005045BF" w:rsidRDefault="008A000F" w:rsidP="00874E3F">
      <w:pPr>
        <w:jc w:val="both"/>
        <w:rPr>
          <w:rFonts w:ascii="Arial" w:hAnsi="Arial" w:cs="Arial"/>
          <w:sz w:val="22"/>
          <w:szCs w:val="22"/>
        </w:rPr>
      </w:pPr>
      <w:r w:rsidRPr="005045BF">
        <w:rPr>
          <w:rFonts w:ascii="Arial" w:hAnsi="Arial" w:cs="Arial"/>
          <w:sz w:val="22"/>
          <w:szCs w:val="22"/>
        </w:rPr>
        <w:lastRenderedPageBreak/>
        <w:t xml:space="preserve">Es de precisar que, </w:t>
      </w:r>
      <w:r w:rsidR="00D35A3D" w:rsidRPr="005045BF">
        <w:rPr>
          <w:rFonts w:ascii="Arial" w:hAnsi="Arial" w:cs="Arial"/>
          <w:sz w:val="22"/>
          <w:szCs w:val="22"/>
        </w:rPr>
        <w:t xml:space="preserve">el esquema de seguridad para el Viceministro General </w:t>
      </w:r>
      <w:r w:rsidR="004A0E5D" w:rsidRPr="005045BF">
        <w:rPr>
          <w:rFonts w:ascii="Arial" w:hAnsi="Arial" w:cs="Arial"/>
          <w:sz w:val="22"/>
          <w:szCs w:val="22"/>
        </w:rPr>
        <w:t xml:space="preserve">no está </w:t>
      </w:r>
      <w:r w:rsidR="006A2600" w:rsidRPr="005045BF">
        <w:rPr>
          <w:rFonts w:ascii="Arial" w:hAnsi="Arial" w:cs="Arial"/>
          <w:sz w:val="22"/>
          <w:szCs w:val="22"/>
        </w:rPr>
        <w:t>vinculad</w:t>
      </w:r>
      <w:r w:rsidR="003A7929" w:rsidRPr="005045BF">
        <w:rPr>
          <w:rFonts w:ascii="Arial" w:hAnsi="Arial" w:cs="Arial"/>
          <w:sz w:val="22"/>
          <w:szCs w:val="22"/>
        </w:rPr>
        <w:t>o</w:t>
      </w:r>
      <w:r w:rsidR="004A0E5D" w:rsidRPr="005045BF">
        <w:rPr>
          <w:rFonts w:ascii="Arial" w:hAnsi="Arial" w:cs="Arial"/>
          <w:sz w:val="22"/>
          <w:szCs w:val="22"/>
        </w:rPr>
        <w:t xml:space="preserve"> a</w:t>
      </w:r>
      <w:r w:rsidR="00D35A3D" w:rsidRPr="005045BF">
        <w:rPr>
          <w:rFonts w:ascii="Arial" w:hAnsi="Arial" w:cs="Arial"/>
          <w:sz w:val="22"/>
          <w:szCs w:val="22"/>
        </w:rPr>
        <w:t>l</w:t>
      </w:r>
      <w:r w:rsidR="004A0E5D" w:rsidRPr="005045BF">
        <w:rPr>
          <w:rFonts w:ascii="Arial" w:hAnsi="Arial" w:cs="Arial"/>
          <w:sz w:val="22"/>
          <w:szCs w:val="22"/>
        </w:rPr>
        <w:t xml:space="preserve"> cargo</w:t>
      </w:r>
      <w:r w:rsidR="00D35A3D" w:rsidRPr="005045BF">
        <w:rPr>
          <w:rFonts w:ascii="Arial" w:hAnsi="Arial" w:cs="Arial"/>
          <w:sz w:val="22"/>
          <w:szCs w:val="22"/>
        </w:rPr>
        <w:t xml:space="preserve"> que ejerce</w:t>
      </w:r>
      <w:r w:rsidR="00503E05" w:rsidRPr="005045BF">
        <w:rPr>
          <w:rFonts w:ascii="Arial" w:hAnsi="Arial" w:cs="Arial"/>
          <w:sz w:val="22"/>
          <w:szCs w:val="22"/>
        </w:rPr>
        <w:t xml:space="preserve"> y </w:t>
      </w:r>
      <w:r w:rsidR="004A0E5D" w:rsidRPr="005045BF">
        <w:rPr>
          <w:rFonts w:ascii="Arial" w:hAnsi="Arial" w:cs="Arial"/>
          <w:sz w:val="22"/>
          <w:szCs w:val="22"/>
        </w:rPr>
        <w:t>que de acuerdo con el análisis que realiz</w:t>
      </w:r>
      <w:r w:rsidR="008845D2" w:rsidRPr="005045BF">
        <w:rPr>
          <w:rFonts w:ascii="Arial" w:hAnsi="Arial" w:cs="Arial"/>
          <w:sz w:val="22"/>
          <w:szCs w:val="22"/>
        </w:rPr>
        <w:t>ó</w:t>
      </w:r>
      <w:r w:rsidR="004A0E5D" w:rsidRPr="005045BF">
        <w:rPr>
          <w:rFonts w:ascii="Arial" w:hAnsi="Arial" w:cs="Arial"/>
          <w:sz w:val="22"/>
          <w:szCs w:val="22"/>
        </w:rPr>
        <w:t xml:space="preserve"> la UNP</w:t>
      </w:r>
      <w:r w:rsidR="004200B7">
        <w:rPr>
          <w:rFonts w:ascii="Arial" w:hAnsi="Arial" w:cs="Arial"/>
          <w:sz w:val="22"/>
          <w:szCs w:val="22"/>
        </w:rPr>
        <w:t xml:space="preserve">, </w:t>
      </w:r>
      <w:r w:rsidR="006A2600" w:rsidRPr="005045BF">
        <w:rPr>
          <w:rFonts w:ascii="Arial" w:hAnsi="Arial" w:cs="Arial"/>
          <w:sz w:val="22"/>
          <w:szCs w:val="22"/>
        </w:rPr>
        <w:t>será esta</w:t>
      </w:r>
      <w:r w:rsidR="004200B7">
        <w:rPr>
          <w:rFonts w:ascii="Arial" w:hAnsi="Arial" w:cs="Arial"/>
          <w:sz w:val="22"/>
          <w:szCs w:val="22"/>
        </w:rPr>
        <w:t>,</w:t>
      </w:r>
      <w:r w:rsidR="006A2600" w:rsidRPr="005045BF">
        <w:rPr>
          <w:rFonts w:ascii="Arial" w:hAnsi="Arial" w:cs="Arial"/>
          <w:sz w:val="22"/>
          <w:szCs w:val="22"/>
        </w:rPr>
        <w:t xml:space="preserve"> quien </w:t>
      </w:r>
      <w:r w:rsidR="00503E05" w:rsidRPr="005045BF">
        <w:rPr>
          <w:rFonts w:ascii="Arial" w:hAnsi="Arial" w:cs="Arial"/>
          <w:sz w:val="22"/>
          <w:szCs w:val="22"/>
        </w:rPr>
        <w:t>informará el</w:t>
      </w:r>
      <w:r w:rsidR="004A0E5D" w:rsidRPr="005045BF">
        <w:rPr>
          <w:rFonts w:ascii="Arial" w:hAnsi="Arial" w:cs="Arial"/>
          <w:sz w:val="22"/>
          <w:szCs w:val="22"/>
        </w:rPr>
        <w:t xml:space="preserve"> tiempo prudente que se debe mantener </w:t>
      </w:r>
      <w:r w:rsidR="00D35A3D" w:rsidRPr="005045BF">
        <w:rPr>
          <w:rFonts w:ascii="Arial" w:hAnsi="Arial" w:cs="Arial"/>
          <w:sz w:val="22"/>
          <w:szCs w:val="22"/>
        </w:rPr>
        <w:t xml:space="preserve">dicho </w:t>
      </w:r>
      <w:r w:rsidR="004A0E5D" w:rsidRPr="005045BF">
        <w:rPr>
          <w:rFonts w:ascii="Arial" w:hAnsi="Arial" w:cs="Arial"/>
          <w:sz w:val="22"/>
          <w:szCs w:val="22"/>
        </w:rPr>
        <w:t xml:space="preserve">esquema, </w:t>
      </w:r>
      <w:r w:rsidR="00D35A3D" w:rsidRPr="005045BF">
        <w:rPr>
          <w:rFonts w:ascii="Arial" w:hAnsi="Arial" w:cs="Arial"/>
          <w:sz w:val="22"/>
          <w:szCs w:val="22"/>
        </w:rPr>
        <w:t xml:space="preserve">es decir, </w:t>
      </w:r>
      <w:r w:rsidR="004A0E5D" w:rsidRPr="005045BF">
        <w:rPr>
          <w:rFonts w:ascii="Arial" w:hAnsi="Arial" w:cs="Arial"/>
          <w:sz w:val="22"/>
          <w:szCs w:val="22"/>
        </w:rPr>
        <w:t xml:space="preserve">esta medida es temporal. Caso </w:t>
      </w:r>
      <w:r w:rsidR="00D35A3D" w:rsidRPr="005045BF">
        <w:rPr>
          <w:rFonts w:ascii="Arial" w:hAnsi="Arial" w:cs="Arial"/>
          <w:sz w:val="22"/>
          <w:szCs w:val="22"/>
        </w:rPr>
        <w:t>contrario</w:t>
      </w:r>
      <w:r w:rsidR="0058008F">
        <w:rPr>
          <w:rFonts w:ascii="Arial" w:hAnsi="Arial" w:cs="Arial"/>
          <w:sz w:val="22"/>
          <w:szCs w:val="22"/>
        </w:rPr>
        <w:t xml:space="preserve"> </w:t>
      </w:r>
      <w:r w:rsidR="004A0E5D" w:rsidRPr="005045BF">
        <w:rPr>
          <w:rFonts w:ascii="Arial" w:hAnsi="Arial" w:cs="Arial"/>
          <w:sz w:val="22"/>
          <w:szCs w:val="22"/>
        </w:rPr>
        <w:t xml:space="preserve">ocurre con el </w:t>
      </w:r>
      <w:r w:rsidR="007D00C7" w:rsidRPr="005045BF">
        <w:rPr>
          <w:rFonts w:ascii="Arial" w:hAnsi="Arial" w:cs="Arial"/>
          <w:sz w:val="22"/>
          <w:szCs w:val="22"/>
        </w:rPr>
        <w:t>Ministro</w:t>
      </w:r>
      <w:r w:rsidR="003A13ED" w:rsidRPr="005045BF">
        <w:rPr>
          <w:rFonts w:ascii="Arial" w:hAnsi="Arial" w:cs="Arial"/>
          <w:sz w:val="22"/>
          <w:szCs w:val="22"/>
        </w:rPr>
        <w:t xml:space="preserve"> de Hacienda</w:t>
      </w:r>
      <w:r w:rsidR="004A0E5D" w:rsidRPr="005045BF">
        <w:rPr>
          <w:rFonts w:ascii="Arial" w:hAnsi="Arial" w:cs="Arial"/>
          <w:sz w:val="22"/>
          <w:szCs w:val="22"/>
        </w:rPr>
        <w:t xml:space="preserve">, el cual por el cargo que ejerce tiene por derecho </w:t>
      </w:r>
      <w:r w:rsidR="007D00C7" w:rsidRPr="005045BF">
        <w:rPr>
          <w:rFonts w:ascii="Arial" w:hAnsi="Arial" w:cs="Arial"/>
          <w:sz w:val="22"/>
          <w:szCs w:val="22"/>
        </w:rPr>
        <w:t xml:space="preserve">un </w:t>
      </w:r>
      <w:r w:rsidR="004A0E5D" w:rsidRPr="005045BF">
        <w:rPr>
          <w:rFonts w:ascii="Arial" w:hAnsi="Arial" w:cs="Arial"/>
          <w:sz w:val="22"/>
          <w:szCs w:val="22"/>
        </w:rPr>
        <w:t xml:space="preserve">esquema </w:t>
      </w:r>
      <w:r w:rsidR="007D00C7" w:rsidRPr="005045BF">
        <w:rPr>
          <w:rFonts w:ascii="Arial" w:hAnsi="Arial" w:cs="Arial"/>
          <w:sz w:val="22"/>
          <w:szCs w:val="22"/>
        </w:rPr>
        <w:t xml:space="preserve">de seguridad </w:t>
      </w:r>
      <w:r w:rsidR="004A0E5D" w:rsidRPr="005045BF">
        <w:rPr>
          <w:rFonts w:ascii="Arial" w:hAnsi="Arial" w:cs="Arial"/>
          <w:sz w:val="22"/>
          <w:szCs w:val="22"/>
        </w:rPr>
        <w:t xml:space="preserve">de forma permanente. </w:t>
      </w:r>
    </w:p>
    <w:bookmarkEnd w:id="4"/>
    <w:p w14:paraId="21C65919" w14:textId="77777777" w:rsidR="001E2203" w:rsidRPr="005045BF" w:rsidRDefault="001E2203" w:rsidP="003E57C8">
      <w:pPr>
        <w:spacing w:line="168" w:lineRule="auto"/>
        <w:jc w:val="both"/>
        <w:rPr>
          <w:rFonts w:ascii="Arial" w:hAnsi="Arial" w:cs="Arial"/>
          <w:sz w:val="22"/>
          <w:szCs w:val="22"/>
        </w:rPr>
      </w:pPr>
    </w:p>
    <w:p w14:paraId="63C31D7C" w14:textId="2DEB147C" w:rsidR="00BC7FA2" w:rsidRPr="005045BF" w:rsidRDefault="00C742B1" w:rsidP="00D07472">
      <w:pPr>
        <w:jc w:val="both"/>
        <w:rPr>
          <w:rFonts w:ascii="Arial" w:hAnsi="Arial" w:cs="Arial"/>
          <w:color w:val="000000" w:themeColor="text1"/>
          <w:sz w:val="22"/>
          <w:szCs w:val="22"/>
        </w:rPr>
      </w:pPr>
      <w:r w:rsidRPr="005045BF">
        <w:rPr>
          <w:rFonts w:ascii="Arial" w:hAnsi="Arial" w:cs="Arial"/>
          <w:color w:val="000000" w:themeColor="text1"/>
          <w:sz w:val="22"/>
          <w:szCs w:val="22"/>
        </w:rPr>
        <w:t>Con base en la información consultada en el SIIF concerniente a las obligaciones registradas por concepto de esquema de seguridad para el Ministro de Hacienda [Convenio 7.021-2018] y el Viceministro</w:t>
      </w:r>
      <w:r w:rsidR="0058008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General [Convenio 7.001-2019], se determinó las variaciones del gasto correspondientes al </w:t>
      </w:r>
      <w:r w:rsidR="00FC761F" w:rsidRPr="005045BF">
        <w:rPr>
          <w:rFonts w:ascii="Arial" w:hAnsi="Arial" w:cs="Arial"/>
          <w:color w:val="000000" w:themeColor="text1"/>
          <w:sz w:val="22"/>
          <w:szCs w:val="22"/>
        </w:rPr>
        <w:t xml:space="preserve">primer </w:t>
      </w:r>
      <w:r w:rsidR="007629FC" w:rsidRPr="005045BF">
        <w:rPr>
          <w:rFonts w:ascii="Arial" w:hAnsi="Arial" w:cs="Arial"/>
          <w:color w:val="000000" w:themeColor="text1"/>
          <w:sz w:val="22"/>
          <w:szCs w:val="22"/>
        </w:rPr>
        <w:t>trimestre de 20</w:t>
      </w:r>
      <w:r w:rsidR="00FC761F" w:rsidRPr="005045BF">
        <w:rPr>
          <w:rFonts w:ascii="Arial" w:hAnsi="Arial" w:cs="Arial"/>
          <w:color w:val="000000" w:themeColor="text1"/>
          <w:sz w:val="22"/>
          <w:szCs w:val="22"/>
        </w:rPr>
        <w:t>20</w:t>
      </w:r>
      <w:r w:rsidR="00123DD5" w:rsidRPr="005045BF">
        <w:rPr>
          <w:rFonts w:ascii="Arial" w:hAnsi="Arial" w:cs="Arial"/>
          <w:color w:val="000000" w:themeColor="text1"/>
          <w:sz w:val="22"/>
          <w:szCs w:val="22"/>
        </w:rPr>
        <w:t xml:space="preserve"> </w:t>
      </w:r>
      <w:r w:rsidR="007629FC" w:rsidRPr="005045BF">
        <w:rPr>
          <w:rFonts w:ascii="Arial" w:hAnsi="Arial" w:cs="Arial"/>
          <w:color w:val="000000" w:themeColor="text1"/>
          <w:sz w:val="22"/>
          <w:szCs w:val="22"/>
        </w:rPr>
        <w:t>comparado con el mismo periodo de 201</w:t>
      </w:r>
      <w:r w:rsidR="00062F0C" w:rsidRPr="005045BF">
        <w:rPr>
          <w:rFonts w:ascii="Arial" w:hAnsi="Arial" w:cs="Arial"/>
          <w:color w:val="000000" w:themeColor="text1"/>
          <w:sz w:val="22"/>
          <w:szCs w:val="22"/>
        </w:rPr>
        <w:t>9</w:t>
      </w:r>
      <w:r w:rsidRPr="005045BF">
        <w:rPr>
          <w:rFonts w:ascii="Arial" w:hAnsi="Arial" w:cs="Arial"/>
          <w:color w:val="000000" w:themeColor="text1"/>
          <w:sz w:val="22"/>
          <w:szCs w:val="22"/>
        </w:rPr>
        <w:t xml:space="preserve">, así: </w:t>
      </w:r>
      <w:r w:rsidR="00D07472" w:rsidRPr="005045BF">
        <w:rPr>
          <w:rFonts w:ascii="Arial" w:hAnsi="Arial" w:cs="Arial"/>
          <w:color w:val="000000" w:themeColor="text1"/>
          <w:sz w:val="22"/>
          <w:szCs w:val="22"/>
        </w:rPr>
        <w:t xml:space="preserve"> </w:t>
      </w:r>
      <w:r w:rsidR="00123DD5" w:rsidRPr="005045BF">
        <w:rPr>
          <w:rFonts w:ascii="Arial" w:hAnsi="Arial" w:cs="Arial"/>
          <w:color w:val="000000" w:themeColor="text1"/>
          <w:sz w:val="22"/>
          <w:szCs w:val="22"/>
        </w:rPr>
        <w:t xml:space="preserve"> </w:t>
      </w:r>
    </w:p>
    <w:p w14:paraId="23F18CC3" w14:textId="04B1DA9A" w:rsidR="00D07472" w:rsidRPr="005045BF" w:rsidRDefault="00D07472" w:rsidP="003E57C8">
      <w:pPr>
        <w:spacing w:line="168" w:lineRule="auto"/>
        <w:jc w:val="both"/>
        <w:rPr>
          <w:rFonts w:ascii="Arial" w:hAnsi="Arial" w:cs="Arial"/>
          <w:color w:val="000000" w:themeColor="text1"/>
          <w:sz w:val="22"/>
          <w:szCs w:val="22"/>
        </w:rPr>
      </w:pPr>
    </w:p>
    <w:tbl>
      <w:tblPr>
        <w:tblStyle w:val="Tablaconcuadrcula1clara-nfasis1"/>
        <w:tblW w:w="9634" w:type="dxa"/>
        <w:jc w:val="center"/>
        <w:tblLayout w:type="fixed"/>
        <w:tblLook w:val="04A0" w:firstRow="1" w:lastRow="0" w:firstColumn="1" w:lastColumn="0" w:noHBand="0" w:noVBand="1"/>
      </w:tblPr>
      <w:tblGrid>
        <w:gridCol w:w="2263"/>
        <w:gridCol w:w="1843"/>
        <w:gridCol w:w="1843"/>
        <w:gridCol w:w="1843"/>
        <w:gridCol w:w="1842"/>
      </w:tblGrid>
      <w:tr w:rsidR="001F7A28" w:rsidRPr="005045BF" w14:paraId="054AD68F" w14:textId="77777777" w:rsidTr="00EC1F26">
        <w:trPr>
          <w:cnfStyle w:val="100000000000" w:firstRow="1" w:lastRow="0" w:firstColumn="0" w:lastColumn="0" w:oddVBand="0" w:evenVBand="0" w:oddHBand="0" w:evenHBand="0" w:firstRowFirstColumn="0" w:firstRowLastColumn="0" w:lastRowFirstColumn="0" w:lastRowLastColumn="0"/>
          <w:cantSplit/>
          <w:trHeight w:val="1058"/>
          <w:jc w:val="center"/>
        </w:trPr>
        <w:tc>
          <w:tcPr>
            <w:cnfStyle w:val="001000000000" w:firstRow="0" w:lastRow="0" w:firstColumn="1" w:lastColumn="0" w:oddVBand="0" w:evenVBand="0" w:oddHBand="0" w:evenHBand="0" w:firstRowFirstColumn="0" w:firstRowLastColumn="0" w:lastRowFirstColumn="0" w:lastRowLastColumn="0"/>
            <w:tcW w:w="2263" w:type="dxa"/>
            <w:vMerge w:val="restart"/>
            <w:shd w:val="clear" w:color="auto" w:fill="4F81BD" w:themeFill="accent1"/>
            <w:noWrap/>
            <w:vAlign w:val="center"/>
            <w:hideMark/>
          </w:tcPr>
          <w:p w14:paraId="2C25C54D" w14:textId="77777777" w:rsidR="001F7A28" w:rsidRPr="005045BF" w:rsidRDefault="001F7A28" w:rsidP="00EC1F26">
            <w:pPr>
              <w:spacing w:before="10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t>Periodo</w:t>
            </w:r>
          </w:p>
        </w:tc>
        <w:tc>
          <w:tcPr>
            <w:tcW w:w="3686" w:type="dxa"/>
            <w:gridSpan w:val="2"/>
            <w:shd w:val="clear" w:color="auto" w:fill="4F81BD" w:themeFill="accent1"/>
            <w:noWrap/>
            <w:vAlign w:val="center"/>
            <w:hideMark/>
          </w:tcPr>
          <w:p w14:paraId="299CBF60" w14:textId="64690865" w:rsidR="004966C7" w:rsidRPr="005045BF" w:rsidRDefault="004966C7"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 xml:space="preserve">Esquema de Seguridad Ministro de Hacienda </w:t>
            </w:r>
          </w:p>
          <w:p w14:paraId="400EE839" w14:textId="18F5D298" w:rsidR="001F7A28" w:rsidRPr="005045BF" w:rsidRDefault="001F7A28"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Co</w:t>
            </w:r>
            <w:r w:rsidR="004966C7" w:rsidRPr="005045BF">
              <w:rPr>
                <w:rFonts w:ascii="Arial" w:hAnsi="Arial" w:cs="Arial"/>
                <w:color w:val="FFFFFF" w:themeColor="background1"/>
                <w:sz w:val="20"/>
                <w:szCs w:val="20"/>
              </w:rPr>
              <w:t>nvenio</w:t>
            </w:r>
            <w:r w:rsidRPr="005045BF">
              <w:rPr>
                <w:rFonts w:ascii="Arial" w:hAnsi="Arial" w:cs="Arial"/>
                <w:color w:val="FFFFFF" w:themeColor="background1"/>
                <w:sz w:val="20"/>
                <w:szCs w:val="20"/>
              </w:rPr>
              <w:t xml:space="preserve"> 7.021-2018</w:t>
            </w:r>
          </w:p>
        </w:tc>
        <w:tc>
          <w:tcPr>
            <w:tcW w:w="3685" w:type="dxa"/>
            <w:gridSpan w:val="2"/>
            <w:shd w:val="clear" w:color="auto" w:fill="4F81BD" w:themeFill="accent1"/>
            <w:noWrap/>
            <w:vAlign w:val="center"/>
            <w:hideMark/>
          </w:tcPr>
          <w:p w14:paraId="01D76FA1" w14:textId="50916A60" w:rsidR="004966C7" w:rsidRPr="005045BF" w:rsidRDefault="004966C7"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 xml:space="preserve">Esquema de Seguridad Viceministro General </w:t>
            </w:r>
          </w:p>
          <w:p w14:paraId="16EFB6F7" w14:textId="212EAA66" w:rsidR="001F7A28" w:rsidRPr="005045BF" w:rsidRDefault="001F7A28" w:rsidP="00EC1F26">
            <w:pPr>
              <w:spacing w:before="10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Co</w:t>
            </w:r>
            <w:r w:rsidR="004966C7" w:rsidRPr="005045BF">
              <w:rPr>
                <w:rFonts w:ascii="Arial" w:hAnsi="Arial" w:cs="Arial"/>
                <w:color w:val="FFFFFF" w:themeColor="background1"/>
                <w:sz w:val="20"/>
                <w:szCs w:val="20"/>
              </w:rPr>
              <w:t>nvenio</w:t>
            </w:r>
            <w:r w:rsidRPr="005045BF">
              <w:rPr>
                <w:rFonts w:ascii="Arial" w:hAnsi="Arial" w:cs="Arial"/>
                <w:color w:val="FFFFFF" w:themeColor="background1"/>
                <w:sz w:val="20"/>
                <w:szCs w:val="20"/>
              </w:rPr>
              <w:t xml:space="preserve"> 7.001-2019</w:t>
            </w:r>
          </w:p>
        </w:tc>
      </w:tr>
      <w:tr w:rsidR="004966C7" w:rsidRPr="005045BF" w14:paraId="255B6D34" w14:textId="77777777" w:rsidTr="004966C7">
        <w:trPr>
          <w:cantSplit/>
          <w:jc w:val="center"/>
        </w:trPr>
        <w:tc>
          <w:tcPr>
            <w:cnfStyle w:val="001000000000" w:firstRow="0" w:lastRow="0" w:firstColumn="1" w:lastColumn="0" w:oddVBand="0" w:evenVBand="0" w:oddHBand="0" w:evenHBand="0" w:firstRowFirstColumn="0" w:firstRowLastColumn="0" w:lastRowFirstColumn="0" w:lastRowLastColumn="0"/>
            <w:tcW w:w="2263" w:type="dxa"/>
            <w:vMerge/>
            <w:shd w:val="clear" w:color="auto" w:fill="4F81BD" w:themeFill="accent1"/>
            <w:vAlign w:val="center"/>
            <w:hideMark/>
          </w:tcPr>
          <w:p w14:paraId="2315E19A" w14:textId="77777777" w:rsidR="001F7A28" w:rsidRPr="005045BF" w:rsidRDefault="001F7A28" w:rsidP="00EC1F26">
            <w:pPr>
              <w:spacing w:before="100" w:after="100"/>
              <w:rPr>
                <w:rFonts w:ascii="Arial" w:hAnsi="Arial" w:cs="Arial"/>
                <w:color w:val="0F243E" w:themeColor="text2" w:themeShade="80"/>
                <w:sz w:val="20"/>
                <w:szCs w:val="20"/>
              </w:rPr>
            </w:pPr>
          </w:p>
        </w:tc>
        <w:tc>
          <w:tcPr>
            <w:tcW w:w="1843" w:type="dxa"/>
            <w:shd w:val="clear" w:color="auto" w:fill="DBE5F1" w:themeFill="accent1" w:themeFillTint="33"/>
            <w:noWrap/>
            <w:vAlign w:val="center"/>
            <w:hideMark/>
          </w:tcPr>
          <w:p w14:paraId="197C8686" w14:textId="7A104C98"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I Trimestre 2020</w:t>
            </w:r>
          </w:p>
        </w:tc>
        <w:tc>
          <w:tcPr>
            <w:tcW w:w="1843" w:type="dxa"/>
            <w:shd w:val="clear" w:color="auto" w:fill="DBE5F1" w:themeFill="accent1" w:themeFillTint="33"/>
            <w:noWrap/>
            <w:vAlign w:val="center"/>
            <w:hideMark/>
          </w:tcPr>
          <w:p w14:paraId="59417149" w14:textId="5EEB547E"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I Trimestre 2019</w:t>
            </w:r>
          </w:p>
        </w:tc>
        <w:tc>
          <w:tcPr>
            <w:tcW w:w="1843" w:type="dxa"/>
            <w:shd w:val="clear" w:color="auto" w:fill="DBE5F1" w:themeFill="accent1" w:themeFillTint="33"/>
            <w:noWrap/>
            <w:vAlign w:val="center"/>
            <w:hideMark/>
          </w:tcPr>
          <w:p w14:paraId="3EA3D69C" w14:textId="5507E7DE"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I Trimestre 2020</w:t>
            </w:r>
          </w:p>
        </w:tc>
        <w:tc>
          <w:tcPr>
            <w:tcW w:w="1842" w:type="dxa"/>
            <w:shd w:val="clear" w:color="auto" w:fill="DBE5F1" w:themeFill="accent1" w:themeFillTint="33"/>
            <w:noWrap/>
            <w:vAlign w:val="center"/>
            <w:hideMark/>
          </w:tcPr>
          <w:p w14:paraId="2E6CF763" w14:textId="086D67FB"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I Trimestre 2019</w:t>
            </w:r>
          </w:p>
        </w:tc>
      </w:tr>
      <w:tr w:rsidR="001F7A28" w:rsidRPr="005045BF" w14:paraId="2025DB4F" w14:textId="77777777" w:rsidTr="004966C7">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3F792E5F" w14:textId="77777777" w:rsidR="001F7A28" w:rsidRPr="005045BF" w:rsidRDefault="001F7A28" w:rsidP="008F0738">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 xml:space="preserve">Enero </w:t>
            </w:r>
          </w:p>
        </w:tc>
        <w:tc>
          <w:tcPr>
            <w:tcW w:w="1843" w:type="dxa"/>
            <w:noWrap/>
            <w:vAlign w:val="center"/>
            <w:hideMark/>
          </w:tcPr>
          <w:p w14:paraId="26F4BB1E" w14:textId="34B33A9F"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30.236.220 </w:t>
            </w:r>
          </w:p>
        </w:tc>
        <w:tc>
          <w:tcPr>
            <w:tcW w:w="1843" w:type="dxa"/>
            <w:noWrap/>
            <w:vAlign w:val="center"/>
            <w:hideMark/>
          </w:tcPr>
          <w:p w14:paraId="15BB481D" w14:textId="5ADCB782"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26.588.778 </w:t>
            </w:r>
          </w:p>
        </w:tc>
        <w:tc>
          <w:tcPr>
            <w:tcW w:w="1843" w:type="dxa"/>
            <w:noWrap/>
            <w:vAlign w:val="center"/>
            <w:hideMark/>
          </w:tcPr>
          <w:p w14:paraId="4CCA4EAF" w14:textId="6078D695"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20.437.083 </w:t>
            </w:r>
          </w:p>
        </w:tc>
        <w:tc>
          <w:tcPr>
            <w:tcW w:w="1842" w:type="dxa"/>
            <w:noWrap/>
            <w:vAlign w:val="center"/>
            <w:hideMark/>
          </w:tcPr>
          <w:p w14:paraId="08397ABA" w14:textId="51E973B5"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w:t>
            </w:r>
          </w:p>
        </w:tc>
      </w:tr>
      <w:tr w:rsidR="001F7A28" w:rsidRPr="005045BF" w14:paraId="28529257" w14:textId="77777777" w:rsidTr="004966C7">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675B1FD7" w14:textId="77777777" w:rsidR="001F7A28" w:rsidRPr="005045BF" w:rsidRDefault="001F7A28" w:rsidP="008F0738">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 xml:space="preserve">Febrero </w:t>
            </w:r>
          </w:p>
        </w:tc>
        <w:tc>
          <w:tcPr>
            <w:tcW w:w="1843" w:type="dxa"/>
            <w:noWrap/>
            <w:vAlign w:val="center"/>
            <w:hideMark/>
          </w:tcPr>
          <w:p w14:paraId="2DE17983" w14:textId="0408D594"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29.853.000 </w:t>
            </w:r>
          </w:p>
        </w:tc>
        <w:tc>
          <w:tcPr>
            <w:tcW w:w="1843" w:type="dxa"/>
            <w:noWrap/>
            <w:vAlign w:val="center"/>
            <w:hideMark/>
          </w:tcPr>
          <w:p w14:paraId="3DFF5A7A" w14:textId="61F634AD"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26.588.778 </w:t>
            </w:r>
          </w:p>
        </w:tc>
        <w:tc>
          <w:tcPr>
            <w:tcW w:w="1843" w:type="dxa"/>
            <w:noWrap/>
            <w:vAlign w:val="center"/>
            <w:hideMark/>
          </w:tcPr>
          <w:p w14:paraId="083EC387" w14:textId="3D4FCD9B"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24.790.202 </w:t>
            </w:r>
          </w:p>
        </w:tc>
        <w:tc>
          <w:tcPr>
            <w:tcW w:w="1842" w:type="dxa"/>
            <w:noWrap/>
            <w:vAlign w:val="center"/>
            <w:hideMark/>
          </w:tcPr>
          <w:p w14:paraId="6ADFD746" w14:textId="398F7758"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15.845.993 </w:t>
            </w:r>
          </w:p>
        </w:tc>
      </w:tr>
      <w:tr w:rsidR="001F7A28" w:rsidRPr="005045BF" w14:paraId="4019C26F" w14:textId="77777777" w:rsidTr="004966C7">
        <w:trPr>
          <w:cantSplit/>
          <w:jc w:val="center"/>
        </w:trPr>
        <w:tc>
          <w:tcPr>
            <w:cnfStyle w:val="001000000000" w:firstRow="0" w:lastRow="0" w:firstColumn="1" w:lastColumn="0" w:oddVBand="0" w:evenVBand="0" w:oddHBand="0" w:evenHBand="0" w:firstRowFirstColumn="0" w:firstRowLastColumn="0" w:lastRowFirstColumn="0" w:lastRowLastColumn="0"/>
            <w:tcW w:w="2263" w:type="dxa"/>
            <w:noWrap/>
            <w:vAlign w:val="center"/>
            <w:hideMark/>
          </w:tcPr>
          <w:p w14:paraId="02C4DB77" w14:textId="77777777" w:rsidR="001F7A28" w:rsidRPr="005045BF" w:rsidRDefault="001F7A28" w:rsidP="008F0738">
            <w:pPr>
              <w:spacing w:before="120" w:after="120"/>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 xml:space="preserve">Marzo </w:t>
            </w:r>
          </w:p>
        </w:tc>
        <w:tc>
          <w:tcPr>
            <w:tcW w:w="1843" w:type="dxa"/>
            <w:noWrap/>
            <w:vAlign w:val="center"/>
            <w:hideMark/>
          </w:tcPr>
          <w:p w14:paraId="55241F20" w14:textId="4FE2421C"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29.853.000 </w:t>
            </w:r>
          </w:p>
        </w:tc>
        <w:tc>
          <w:tcPr>
            <w:tcW w:w="1843" w:type="dxa"/>
            <w:noWrap/>
            <w:vAlign w:val="center"/>
            <w:hideMark/>
          </w:tcPr>
          <w:p w14:paraId="65CADF9F" w14:textId="360F0F87"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27.086.689 </w:t>
            </w:r>
          </w:p>
        </w:tc>
        <w:tc>
          <w:tcPr>
            <w:tcW w:w="1843" w:type="dxa"/>
            <w:noWrap/>
            <w:vAlign w:val="center"/>
            <w:hideMark/>
          </w:tcPr>
          <w:p w14:paraId="32F1D52B" w14:textId="7AD38256"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24.820.547 </w:t>
            </w:r>
          </w:p>
        </w:tc>
        <w:tc>
          <w:tcPr>
            <w:tcW w:w="1842" w:type="dxa"/>
            <w:noWrap/>
            <w:vAlign w:val="center"/>
            <w:hideMark/>
          </w:tcPr>
          <w:p w14:paraId="028B9683" w14:textId="1F3C0459"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35.270.427 </w:t>
            </w:r>
          </w:p>
        </w:tc>
      </w:tr>
      <w:tr w:rsidR="001F7A28" w:rsidRPr="005045BF" w14:paraId="548F18E6" w14:textId="77777777" w:rsidTr="008F0738">
        <w:trPr>
          <w:cantSplit/>
          <w:trHeight w:val="475"/>
          <w:jc w:val="center"/>
        </w:trPr>
        <w:tc>
          <w:tcPr>
            <w:cnfStyle w:val="001000000000" w:firstRow="0" w:lastRow="0" w:firstColumn="1" w:lastColumn="0" w:oddVBand="0" w:evenVBand="0" w:oddHBand="0" w:evenHBand="0" w:firstRowFirstColumn="0" w:firstRowLastColumn="0" w:lastRowFirstColumn="0" w:lastRowLastColumn="0"/>
            <w:tcW w:w="2263" w:type="dxa"/>
            <w:tcBorders>
              <w:bottom w:val="double" w:sz="4" w:space="0" w:color="4F81BD" w:themeColor="accent1"/>
            </w:tcBorders>
            <w:noWrap/>
            <w:vAlign w:val="center"/>
            <w:hideMark/>
          </w:tcPr>
          <w:p w14:paraId="3744E190" w14:textId="77777777" w:rsidR="001F7A28" w:rsidRPr="005045BF" w:rsidRDefault="001F7A28" w:rsidP="008F0738">
            <w:pPr>
              <w:spacing w:before="120" w:after="12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Total  </w:t>
            </w:r>
          </w:p>
        </w:tc>
        <w:tc>
          <w:tcPr>
            <w:tcW w:w="1843" w:type="dxa"/>
            <w:tcBorders>
              <w:bottom w:val="double" w:sz="4" w:space="0" w:color="4F81BD" w:themeColor="accent1"/>
            </w:tcBorders>
            <w:noWrap/>
            <w:vAlign w:val="center"/>
            <w:hideMark/>
          </w:tcPr>
          <w:p w14:paraId="688E157F" w14:textId="5C7F7B69"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89.942.220</w:t>
            </w:r>
          </w:p>
        </w:tc>
        <w:tc>
          <w:tcPr>
            <w:tcW w:w="1843" w:type="dxa"/>
            <w:tcBorders>
              <w:bottom w:val="double" w:sz="4" w:space="0" w:color="4F81BD" w:themeColor="accent1"/>
            </w:tcBorders>
            <w:noWrap/>
            <w:vAlign w:val="center"/>
            <w:hideMark/>
          </w:tcPr>
          <w:p w14:paraId="2DDB8E37" w14:textId="21AE4403"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  80.264.245 </w:t>
            </w:r>
          </w:p>
        </w:tc>
        <w:tc>
          <w:tcPr>
            <w:tcW w:w="1843" w:type="dxa"/>
            <w:tcBorders>
              <w:bottom w:val="double" w:sz="4" w:space="0" w:color="4F81BD" w:themeColor="accent1"/>
            </w:tcBorders>
            <w:noWrap/>
            <w:vAlign w:val="center"/>
            <w:hideMark/>
          </w:tcPr>
          <w:p w14:paraId="5AEBAF18" w14:textId="3573EAE7"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70.047.832</w:t>
            </w:r>
          </w:p>
        </w:tc>
        <w:tc>
          <w:tcPr>
            <w:tcW w:w="1842" w:type="dxa"/>
            <w:tcBorders>
              <w:bottom w:val="single" w:sz="12" w:space="0" w:color="4F81BD" w:themeColor="accent1"/>
            </w:tcBorders>
            <w:noWrap/>
            <w:vAlign w:val="center"/>
            <w:hideMark/>
          </w:tcPr>
          <w:p w14:paraId="1EA900C4" w14:textId="3B076228" w:rsidR="001F7A28" w:rsidRPr="005045BF" w:rsidRDefault="001F7A28" w:rsidP="008F0738">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        51.116.420</w:t>
            </w:r>
          </w:p>
        </w:tc>
      </w:tr>
      <w:tr w:rsidR="001F7A28" w:rsidRPr="005045BF" w14:paraId="5C8C6474" w14:textId="77777777" w:rsidTr="00412252">
        <w:trPr>
          <w:cantSplit/>
          <w:jc w:val="center"/>
        </w:trPr>
        <w:tc>
          <w:tcPr>
            <w:cnfStyle w:val="001000000000" w:firstRow="0" w:lastRow="0" w:firstColumn="1" w:lastColumn="0" w:oddVBand="0" w:evenVBand="0" w:oddHBand="0" w:evenHBand="0" w:firstRowFirstColumn="0" w:firstRowLastColumn="0" w:lastRowFirstColumn="0" w:lastRowLastColumn="0"/>
            <w:tcW w:w="2263" w:type="dxa"/>
            <w:tcBorders>
              <w:top w:val="double" w:sz="4" w:space="0" w:color="4F81BD" w:themeColor="accent1"/>
              <w:bottom w:val="single" w:sz="12" w:space="0" w:color="4F81BD" w:themeColor="accent1"/>
            </w:tcBorders>
            <w:shd w:val="clear" w:color="auto" w:fill="4F81BD" w:themeFill="accent1"/>
            <w:vAlign w:val="center"/>
            <w:hideMark/>
          </w:tcPr>
          <w:p w14:paraId="10BB0427" w14:textId="77777777" w:rsidR="001F7A28" w:rsidRPr="005045BF" w:rsidRDefault="001F7A28" w:rsidP="00EC1F26">
            <w:pPr>
              <w:spacing w:before="10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Absoluta $</w:t>
            </w:r>
          </w:p>
        </w:tc>
        <w:tc>
          <w:tcPr>
            <w:tcW w:w="3686" w:type="dxa"/>
            <w:gridSpan w:val="2"/>
            <w:tcBorders>
              <w:top w:val="double" w:sz="4" w:space="0" w:color="4F81BD" w:themeColor="accent1"/>
              <w:bottom w:val="single" w:sz="12" w:space="0" w:color="4F81BD" w:themeColor="accent1"/>
            </w:tcBorders>
            <w:shd w:val="clear" w:color="auto" w:fill="4F81BD" w:themeFill="accent1"/>
            <w:noWrap/>
            <w:vAlign w:val="center"/>
            <w:hideMark/>
          </w:tcPr>
          <w:p w14:paraId="719B026A" w14:textId="77777777"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9.677.975</w:t>
            </w:r>
          </w:p>
        </w:tc>
        <w:tc>
          <w:tcPr>
            <w:tcW w:w="3685" w:type="dxa"/>
            <w:gridSpan w:val="2"/>
            <w:tcBorders>
              <w:top w:val="double" w:sz="4" w:space="0" w:color="4F81BD" w:themeColor="accent1"/>
              <w:bottom w:val="single" w:sz="12" w:space="0" w:color="4F81BD" w:themeColor="accent1"/>
            </w:tcBorders>
            <w:shd w:val="clear" w:color="auto" w:fill="4F81BD" w:themeFill="accent1"/>
            <w:noWrap/>
            <w:vAlign w:val="center"/>
            <w:hideMark/>
          </w:tcPr>
          <w:p w14:paraId="62B889D4" w14:textId="77777777"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18.931.412</w:t>
            </w:r>
          </w:p>
        </w:tc>
      </w:tr>
      <w:tr w:rsidR="001F7A28" w:rsidRPr="005045BF" w14:paraId="5105AC71" w14:textId="77777777" w:rsidTr="004966C7">
        <w:trPr>
          <w:cantSplit/>
          <w:jc w:val="center"/>
        </w:trPr>
        <w:tc>
          <w:tcPr>
            <w:cnfStyle w:val="001000000000" w:firstRow="0" w:lastRow="0" w:firstColumn="1" w:lastColumn="0" w:oddVBand="0" w:evenVBand="0" w:oddHBand="0" w:evenHBand="0" w:firstRowFirstColumn="0" w:firstRowLastColumn="0" w:lastRowFirstColumn="0" w:lastRowLastColumn="0"/>
            <w:tcW w:w="2263" w:type="dxa"/>
            <w:tcBorders>
              <w:top w:val="single" w:sz="12" w:space="0" w:color="4F81BD" w:themeColor="accent1"/>
              <w:bottom w:val="single" w:sz="12" w:space="0" w:color="4F81BD" w:themeColor="accent1"/>
            </w:tcBorders>
            <w:shd w:val="clear" w:color="auto" w:fill="4F81BD" w:themeFill="accent1"/>
            <w:vAlign w:val="center"/>
            <w:hideMark/>
          </w:tcPr>
          <w:p w14:paraId="10F69933" w14:textId="77777777" w:rsidR="001F7A28" w:rsidRPr="005045BF" w:rsidRDefault="001F7A28" w:rsidP="00EC1F26">
            <w:pPr>
              <w:spacing w:before="10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Relativa %</w:t>
            </w:r>
          </w:p>
        </w:tc>
        <w:tc>
          <w:tcPr>
            <w:tcW w:w="3686" w:type="dxa"/>
            <w:gridSpan w:val="2"/>
            <w:tcBorders>
              <w:top w:val="single" w:sz="12" w:space="0" w:color="4F81BD" w:themeColor="accent1"/>
              <w:bottom w:val="single" w:sz="12" w:space="0" w:color="4F81BD" w:themeColor="accent1"/>
            </w:tcBorders>
            <w:shd w:val="clear" w:color="auto" w:fill="4F81BD" w:themeFill="accent1"/>
            <w:noWrap/>
            <w:vAlign w:val="center"/>
            <w:hideMark/>
          </w:tcPr>
          <w:p w14:paraId="5F5FF1F2" w14:textId="77777777"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12%</w:t>
            </w:r>
          </w:p>
        </w:tc>
        <w:tc>
          <w:tcPr>
            <w:tcW w:w="3685" w:type="dxa"/>
            <w:gridSpan w:val="2"/>
            <w:tcBorders>
              <w:top w:val="single" w:sz="12" w:space="0" w:color="4F81BD" w:themeColor="accent1"/>
              <w:bottom w:val="single" w:sz="12" w:space="0" w:color="4F81BD" w:themeColor="accent1"/>
            </w:tcBorders>
            <w:shd w:val="clear" w:color="auto" w:fill="4F81BD" w:themeFill="accent1"/>
            <w:noWrap/>
            <w:vAlign w:val="center"/>
            <w:hideMark/>
          </w:tcPr>
          <w:p w14:paraId="7ED1C87F" w14:textId="77777777" w:rsidR="001F7A28" w:rsidRPr="005045BF" w:rsidRDefault="001F7A28" w:rsidP="00EC1F26">
            <w:pPr>
              <w:spacing w:before="10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37%</w:t>
            </w:r>
          </w:p>
        </w:tc>
      </w:tr>
    </w:tbl>
    <w:p w14:paraId="5DA4DEA8" w14:textId="29929AF5" w:rsidR="00D07472" w:rsidRPr="005045BF" w:rsidRDefault="004966C7" w:rsidP="00D07472">
      <w:pPr>
        <w:jc w:val="both"/>
        <w:rPr>
          <w:rFonts w:ascii="Arial" w:hAnsi="Arial" w:cs="Arial"/>
          <w:color w:val="000000" w:themeColor="text1"/>
          <w:sz w:val="22"/>
          <w:szCs w:val="22"/>
        </w:rPr>
      </w:pPr>
      <w:r w:rsidRPr="005045BF">
        <w:rPr>
          <w:rFonts w:ascii="Arial" w:hAnsi="Arial" w:cs="Arial"/>
          <w:color w:val="000000" w:themeColor="text1"/>
          <w:sz w:val="18"/>
          <w:szCs w:val="18"/>
        </w:rPr>
        <w:t xml:space="preserve"> </w:t>
      </w:r>
      <w:r w:rsidR="001F7A28" w:rsidRPr="005045BF">
        <w:rPr>
          <w:rFonts w:ascii="Arial" w:hAnsi="Arial" w:cs="Arial"/>
          <w:color w:val="000000" w:themeColor="text1"/>
          <w:sz w:val="18"/>
          <w:szCs w:val="18"/>
        </w:rPr>
        <w:t>Cifras presentadas en pesos</w:t>
      </w:r>
      <w:r w:rsidR="001F7A28" w:rsidRPr="005045BF">
        <w:rPr>
          <w:rFonts w:ascii="Arial" w:hAnsi="Arial" w:cs="Arial"/>
          <w:color w:val="000000" w:themeColor="text1"/>
          <w:sz w:val="22"/>
          <w:szCs w:val="22"/>
        </w:rPr>
        <w:t xml:space="preserve">. </w:t>
      </w:r>
    </w:p>
    <w:p w14:paraId="488D323A" w14:textId="77777777" w:rsidR="00EC1F26" w:rsidRPr="005045BF" w:rsidRDefault="00EC1F26" w:rsidP="00D07472">
      <w:pPr>
        <w:jc w:val="both"/>
        <w:rPr>
          <w:rFonts w:ascii="Arial" w:hAnsi="Arial" w:cs="Arial"/>
          <w:color w:val="000000" w:themeColor="text1"/>
          <w:sz w:val="22"/>
          <w:szCs w:val="22"/>
        </w:rPr>
      </w:pPr>
    </w:p>
    <w:p w14:paraId="45C76C5D" w14:textId="2BF09B93" w:rsidR="00D07472" w:rsidRPr="0058008F" w:rsidRDefault="00236FCE" w:rsidP="00D07472">
      <w:pPr>
        <w:jc w:val="both"/>
        <w:rPr>
          <w:rFonts w:ascii="Arial" w:hAnsi="Arial" w:cs="Arial"/>
          <w:color w:val="000000" w:themeColor="text1"/>
          <w:sz w:val="22"/>
          <w:szCs w:val="22"/>
        </w:rPr>
      </w:pPr>
      <w:r w:rsidRPr="0058008F">
        <w:rPr>
          <w:rFonts w:ascii="Arial" w:hAnsi="Arial" w:cs="Arial"/>
          <w:color w:val="000000" w:themeColor="text1"/>
          <w:sz w:val="22"/>
          <w:szCs w:val="22"/>
        </w:rPr>
        <w:t xml:space="preserve">Con respecto </w:t>
      </w:r>
      <w:r w:rsidR="004966C7" w:rsidRPr="0058008F">
        <w:rPr>
          <w:rFonts w:ascii="Arial" w:hAnsi="Arial" w:cs="Arial"/>
          <w:color w:val="000000" w:themeColor="text1"/>
          <w:sz w:val="22"/>
          <w:szCs w:val="22"/>
        </w:rPr>
        <w:t>al</w:t>
      </w:r>
      <w:r w:rsidRPr="0058008F">
        <w:rPr>
          <w:rFonts w:ascii="Arial" w:hAnsi="Arial" w:cs="Arial"/>
          <w:color w:val="000000" w:themeColor="text1"/>
          <w:sz w:val="22"/>
          <w:szCs w:val="22"/>
        </w:rPr>
        <w:t xml:space="preserve"> valor del</w:t>
      </w:r>
      <w:r w:rsidR="004966C7" w:rsidRPr="0058008F">
        <w:rPr>
          <w:rFonts w:ascii="Arial" w:hAnsi="Arial" w:cs="Arial"/>
          <w:color w:val="000000" w:themeColor="text1"/>
          <w:sz w:val="22"/>
          <w:szCs w:val="22"/>
        </w:rPr>
        <w:t xml:space="preserve"> </w:t>
      </w:r>
      <w:r w:rsidRPr="0058008F">
        <w:rPr>
          <w:rFonts w:ascii="Arial" w:hAnsi="Arial" w:cs="Arial"/>
          <w:color w:val="000000" w:themeColor="text1"/>
          <w:sz w:val="22"/>
          <w:szCs w:val="22"/>
        </w:rPr>
        <w:t xml:space="preserve">gasto por concepto de </w:t>
      </w:r>
      <w:r w:rsidR="004966C7" w:rsidRPr="0058008F">
        <w:rPr>
          <w:rFonts w:ascii="Arial" w:hAnsi="Arial" w:cs="Arial"/>
          <w:color w:val="000000" w:themeColor="text1"/>
          <w:sz w:val="22"/>
          <w:szCs w:val="22"/>
        </w:rPr>
        <w:t xml:space="preserve">esquema de seguridad del Ministro de Hacienda y Crédito Público, </w:t>
      </w:r>
      <w:r w:rsidRPr="0058008F">
        <w:rPr>
          <w:rFonts w:ascii="Arial" w:hAnsi="Arial" w:cs="Arial"/>
          <w:color w:val="000000" w:themeColor="text1"/>
          <w:sz w:val="22"/>
          <w:szCs w:val="22"/>
        </w:rPr>
        <w:t xml:space="preserve">se observó una variación positiva al comparar los periodos que conforman el primer trimestre de 2020 </w:t>
      </w:r>
      <w:r w:rsidR="007502C1" w:rsidRPr="0058008F">
        <w:rPr>
          <w:rFonts w:ascii="Arial" w:hAnsi="Arial" w:cs="Arial"/>
          <w:color w:val="000000" w:themeColor="text1"/>
          <w:sz w:val="22"/>
          <w:szCs w:val="22"/>
        </w:rPr>
        <w:t xml:space="preserve">frente al primer trimestre de </w:t>
      </w:r>
      <w:r w:rsidRPr="0058008F">
        <w:rPr>
          <w:rFonts w:ascii="Arial" w:hAnsi="Arial" w:cs="Arial"/>
          <w:color w:val="000000" w:themeColor="text1"/>
          <w:sz w:val="22"/>
          <w:szCs w:val="22"/>
        </w:rPr>
        <w:t xml:space="preserve">2019, la cual representó un incremento del 12%. </w:t>
      </w:r>
    </w:p>
    <w:p w14:paraId="775B3C73" w14:textId="7FD25B38" w:rsidR="007502C1" w:rsidRPr="0058008F" w:rsidRDefault="007502C1" w:rsidP="00D07472">
      <w:pPr>
        <w:jc w:val="both"/>
        <w:rPr>
          <w:rFonts w:ascii="Arial" w:hAnsi="Arial" w:cs="Arial"/>
          <w:color w:val="000000" w:themeColor="text1"/>
          <w:sz w:val="22"/>
          <w:szCs w:val="22"/>
        </w:rPr>
      </w:pPr>
    </w:p>
    <w:p w14:paraId="3CC294F1" w14:textId="77777777" w:rsidR="00C668D4" w:rsidRPr="0058008F" w:rsidRDefault="007502C1" w:rsidP="00FD6AC7">
      <w:pPr>
        <w:jc w:val="both"/>
        <w:rPr>
          <w:rFonts w:ascii="Arial" w:hAnsi="Arial" w:cs="Arial"/>
          <w:color w:val="000000" w:themeColor="text1"/>
          <w:sz w:val="22"/>
          <w:szCs w:val="22"/>
        </w:rPr>
      </w:pPr>
      <w:r w:rsidRPr="0058008F">
        <w:rPr>
          <w:rFonts w:ascii="Arial" w:hAnsi="Arial" w:cs="Arial"/>
          <w:color w:val="000000" w:themeColor="text1"/>
          <w:sz w:val="22"/>
          <w:szCs w:val="22"/>
        </w:rPr>
        <w:t xml:space="preserve">De igual forma, se evidenció que el valor del gasto correspondiente al esquema de seguridad del Viceministro General </w:t>
      </w:r>
      <w:r w:rsidR="00E45B71" w:rsidRPr="0058008F">
        <w:rPr>
          <w:rFonts w:ascii="Arial" w:hAnsi="Arial" w:cs="Arial"/>
          <w:color w:val="000000" w:themeColor="text1"/>
          <w:sz w:val="22"/>
          <w:szCs w:val="22"/>
        </w:rPr>
        <w:t>presentó un aumento de $ 18.931.412, equivalente a un 37</w:t>
      </w:r>
      <w:r w:rsidR="004B3DC8" w:rsidRPr="0058008F">
        <w:rPr>
          <w:rFonts w:ascii="Arial" w:hAnsi="Arial" w:cs="Arial"/>
          <w:color w:val="000000" w:themeColor="text1"/>
          <w:sz w:val="22"/>
          <w:szCs w:val="22"/>
        </w:rPr>
        <w:t>%</w:t>
      </w:r>
      <w:r w:rsidR="00E45B71" w:rsidRPr="0058008F">
        <w:rPr>
          <w:rFonts w:ascii="Arial" w:hAnsi="Arial" w:cs="Arial"/>
          <w:color w:val="000000" w:themeColor="text1"/>
          <w:sz w:val="22"/>
          <w:szCs w:val="22"/>
        </w:rPr>
        <w:t xml:space="preserve">. </w:t>
      </w:r>
      <w:r w:rsidR="004B3DC8" w:rsidRPr="0058008F">
        <w:rPr>
          <w:rFonts w:ascii="Arial" w:hAnsi="Arial" w:cs="Arial"/>
          <w:color w:val="000000" w:themeColor="text1"/>
          <w:sz w:val="22"/>
          <w:szCs w:val="22"/>
        </w:rPr>
        <w:t>En este punto</w:t>
      </w:r>
      <w:r w:rsidR="0089696D" w:rsidRPr="0058008F">
        <w:rPr>
          <w:rFonts w:ascii="Arial" w:hAnsi="Arial" w:cs="Arial"/>
          <w:color w:val="000000" w:themeColor="text1"/>
          <w:sz w:val="22"/>
          <w:szCs w:val="22"/>
        </w:rPr>
        <w:t xml:space="preserve">, es relevante </w:t>
      </w:r>
      <w:r w:rsidR="004B3DC8" w:rsidRPr="0058008F">
        <w:rPr>
          <w:rFonts w:ascii="Arial" w:hAnsi="Arial" w:cs="Arial"/>
          <w:color w:val="000000" w:themeColor="text1"/>
          <w:sz w:val="22"/>
          <w:szCs w:val="22"/>
        </w:rPr>
        <w:t xml:space="preserve">precisar que, el convenio 7.001-2019 </w:t>
      </w:r>
      <w:r w:rsidR="00586A9E" w:rsidRPr="0058008F">
        <w:rPr>
          <w:rFonts w:ascii="Arial" w:hAnsi="Arial" w:cs="Arial"/>
          <w:color w:val="000000" w:themeColor="text1"/>
          <w:sz w:val="22"/>
          <w:szCs w:val="22"/>
        </w:rPr>
        <w:t xml:space="preserve">inició </w:t>
      </w:r>
      <w:r w:rsidR="004B3DC8" w:rsidRPr="0058008F">
        <w:rPr>
          <w:rFonts w:ascii="Arial" w:hAnsi="Arial" w:cs="Arial"/>
          <w:color w:val="000000" w:themeColor="text1"/>
          <w:sz w:val="22"/>
          <w:szCs w:val="22"/>
        </w:rPr>
        <w:t>el 1</w:t>
      </w:r>
      <w:r w:rsidR="00586A9E" w:rsidRPr="0058008F">
        <w:rPr>
          <w:rFonts w:ascii="Arial" w:hAnsi="Arial" w:cs="Arial"/>
          <w:color w:val="000000" w:themeColor="text1"/>
          <w:sz w:val="22"/>
          <w:szCs w:val="22"/>
        </w:rPr>
        <w:t>8</w:t>
      </w:r>
      <w:r w:rsidR="004B3DC8" w:rsidRPr="0058008F">
        <w:rPr>
          <w:rFonts w:ascii="Arial" w:hAnsi="Arial" w:cs="Arial"/>
          <w:color w:val="000000" w:themeColor="text1"/>
          <w:sz w:val="22"/>
          <w:szCs w:val="22"/>
        </w:rPr>
        <w:t xml:space="preserve"> de febrero de 2019, por tal razón, para el mes de enero y parte de febrero de 2019 no se registró gasto. En consecuencia, el valor del servicio facturado en el primer trimestre de 2019 comparado con el mismo periodo de la vigencia </w:t>
      </w:r>
      <w:r w:rsidR="0089696D" w:rsidRPr="0058008F">
        <w:rPr>
          <w:rFonts w:ascii="Arial" w:hAnsi="Arial" w:cs="Arial"/>
          <w:color w:val="000000" w:themeColor="text1"/>
          <w:sz w:val="22"/>
          <w:szCs w:val="22"/>
        </w:rPr>
        <w:t>2020</w:t>
      </w:r>
      <w:r w:rsidR="004B3DC8" w:rsidRPr="0058008F">
        <w:rPr>
          <w:rFonts w:ascii="Arial" w:hAnsi="Arial" w:cs="Arial"/>
          <w:color w:val="000000" w:themeColor="text1"/>
          <w:sz w:val="22"/>
          <w:szCs w:val="22"/>
        </w:rPr>
        <w:t xml:space="preserve">, </w:t>
      </w:r>
      <w:r w:rsidR="0089696D" w:rsidRPr="0058008F">
        <w:rPr>
          <w:rFonts w:ascii="Arial" w:hAnsi="Arial" w:cs="Arial"/>
          <w:color w:val="000000" w:themeColor="text1"/>
          <w:sz w:val="22"/>
          <w:szCs w:val="22"/>
        </w:rPr>
        <w:t xml:space="preserve">fue </w:t>
      </w:r>
      <w:r w:rsidR="004B3DC8" w:rsidRPr="0058008F">
        <w:rPr>
          <w:rFonts w:ascii="Arial" w:hAnsi="Arial" w:cs="Arial"/>
          <w:color w:val="000000" w:themeColor="text1"/>
          <w:sz w:val="22"/>
          <w:szCs w:val="22"/>
        </w:rPr>
        <w:t>inferior</w:t>
      </w:r>
      <w:r w:rsidR="00F71DEB" w:rsidRPr="0058008F">
        <w:rPr>
          <w:rFonts w:ascii="Arial" w:hAnsi="Arial" w:cs="Arial"/>
          <w:color w:val="000000" w:themeColor="text1"/>
          <w:sz w:val="22"/>
          <w:szCs w:val="22"/>
        </w:rPr>
        <w:t xml:space="preserve">. </w:t>
      </w:r>
      <w:r w:rsidR="004B3DC8" w:rsidRPr="0058008F">
        <w:rPr>
          <w:rFonts w:ascii="Arial" w:hAnsi="Arial" w:cs="Arial"/>
          <w:color w:val="000000" w:themeColor="text1"/>
          <w:sz w:val="22"/>
          <w:szCs w:val="22"/>
        </w:rPr>
        <w:t xml:space="preserve">Lo anterior, permite deducir que el incremento presentado obedeció en parte </w:t>
      </w:r>
      <w:r w:rsidR="000D7E49" w:rsidRPr="0058008F">
        <w:rPr>
          <w:rFonts w:ascii="Arial" w:hAnsi="Arial" w:cs="Arial"/>
          <w:color w:val="000000" w:themeColor="text1"/>
          <w:sz w:val="22"/>
          <w:szCs w:val="22"/>
        </w:rPr>
        <w:t xml:space="preserve">a </w:t>
      </w:r>
      <w:r w:rsidR="00C6021D" w:rsidRPr="0058008F">
        <w:rPr>
          <w:rFonts w:ascii="Arial" w:hAnsi="Arial" w:cs="Arial"/>
          <w:color w:val="000000" w:themeColor="text1"/>
          <w:sz w:val="22"/>
          <w:szCs w:val="22"/>
        </w:rPr>
        <w:t xml:space="preserve">la </w:t>
      </w:r>
      <w:r w:rsidR="000D7E49" w:rsidRPr="0058008F">
        <w:rPr>
          <w:rFonts w:ascii="Arial" w:hAnsi="Arial" w:cs="Arial"/>
          <w:color w:val="000000" w:themeColor="text1"/>
          <w:sz w:val="22"/>
          <w:szCs w:val="22"/>
        </w:rPr>
        <w:t>situación</w:t>
      </w:r>
      <w:r w:rsidR="00C6021D" w:rsidRPr="0058008F">
        <w:rPr>
          <w:rFonts w:ascii="Arial" w:hAnsi="Arial" w:cs="Arial"/>
          <w:color w:val="000000" w:themeColor="text1"/>
          <w:sz w:val="22"/>
          <w:szCs w:val="22"/>
        </w:rPr>
        <w:t xml:space="preserve"> antes descrita</w:t>
      </w:r>
      <w:r w:rsidR="00457284" w:rsidRPr="0058008F">
        <w:rPr>
          <w:rFonts w:ascii="Arial" w:hAnsi="Arial" w:cs="Arial"/>
          <w:color w:val="000000" w:themeColor="text1"/>
          <w:sz w:val="22"/>
          <w:szCs w:val="22"/>
        </w:rPr>
        <w:t xml:space="preserve">. </w:t>
      </w:r>
    </w:p>
    <w:p w14:paraId="0854C01C" w14:textId="77777777" w:rsidR="00C668D4" w:rsidRPr="0058008F" w:rsidRDefault="00C668D4" w:rsidP="00FD6AC7">
      <w:pPr>
        <w:jc w:val="both"/>
        <w:rPr>
          <w:rFonts w:ascii="Arial" w:hAnsi="Arial" w:cs="Arial"/>
          <w:color w:val="000000" w:themeColor="text1"/>
          <w:sz w:val="22"/>
          <w:szCs w:val="22"/>
        </w:rPr>
      </w:pPr>
    </w:p>
    <w:p w14:paraId="11162530" w14:textId="672F16B5" w:rsidR="00C60144" w:rsidRPr="0058008F" w:rsidRDefault="00457284" w:rsidP="00FD6AC7">
      <w:pPr>
        <w:jc w:val="both"/>
        <w:rPr>
          <w:rFonts w:ascii="Arial" w:hAnsi="Arial" w:cs="Arial"/>
          <w:color w:val="000000" w:themeColor="text1"/>
          <w:sz w:val="22"/>
          <w:szCs w:val="22"/>
        </w:rPr>
      </w:pPr>
      <w:r w:rsidRPr="0058008F">
        <w:rPr>
          <w:rFonts w:ascii="Arial" w:hAnsi="Arial" w:cs="Arial"/>
          <w:color w:val="000000" w:themeColor="text1"/>
          <w:sz w:val="22"/>
          <w:szCs w:val="22"/>
        </w:rPr>
        <w:t>A</w:t>
      </w:r>
      <w:r w:rsidR="003A7929" w:rsidRPr="0058008F">
        <w:rPr>
          <w:rFonts w:ascii="Arial" w:hAnsi="Arial" w:cs="Arial"/>
          <w:color w:val="000000" w:themeColor="text1"/>
          <w:sz w:val="22"/>
          <w:szCs w:val="22"/>
        </w:rPr>
        <w:t xml:space="preserve">dicionalmente, </w:t>
      </w:r>
      <w:r w:rsidR="00C668D4" w:rsidRPr="0058008F">
        <w:rPr>
          <w:rFonts w:ascii="Arial" w:hAnsi="Arial" w:cs="Arial"/>
          <w:color w:val="000000" w:themeColor="text1"/>
          <w:sz w:val="22"/>
          <w:szCs w:val="22"/>
        </w:rPr>
        <w:t>la Subdirección de Servicios informó que</w:t>
      </w:r>
      <w:r w:rsidR="00033115" w:rsidRPr="0058008F">
        <w:rPr>
          <w:rFonts w:ascii="Arial" w:hAnsi="Arial" w:cs="Arial"/>
          <w:color w:val="000000" w:themeColor="text1"/>
          <w:sz w:val="22"/>
          <w:szCs w:val="22"/>
        </w:rPr>
        <w:t xml:space="preserve"> las variaciones también fueron consecuencia de </w:t>
      </w:r>
      <w:r w:rsidR="00024B5A" w:rsidRPr="0058008F">
        <w:rPr>
          <w:rFonts w:ascii="Arial" w:hAnsi="Arial" w:cs="Arial"/>
          <w:color w:val="000000" w:themeColor="text1"/>
          <w:sz w:val="22"/>
          <w:szCs w:val="22"/>
        </w:rPr>
        <w:t>l</w:t>
      </w:r>
      <w:r w:rsidRPr="0058008F">
        <w:rPr>
          <w:rFonts w:ascii="Arial" w:hAnsi="Arial" w:cs="Arial"/>
          <w:color w:val="000000" w:themeColor="text1"/>
          <w:sz w:val="22"/>
          <w:szCs w:val="22"/>
        </w:rPr>
        <w:t xml:space="preserve">os </w:t>
      </w:r>
      <w:r w:rsidR="003A7929" w:rsidRPr="0058008F">
        <w:rPr>
          <w:rFonts w:ascii="Arial" w:hAnsi="Arial" w:cs="Arial"/>
          <w:color w:val="000000" w:themeColor="text1"/>
          <w:sz w:val="22"/>
          <w:szCs w:val="22"/>
        </w:rPr>
        <w:t>incremento</w:t>
      </w:r>
      <w:r w:rsidRPr="0058008F">
        <w:rPr>
          <w:rFonts w:ascii="Arial" w:hAnsi="Arial" w:cs="Arial"/>
          <w:color w:val="000000" w:themeColor="text1"/>
          <w:sz w:val="22"/>
          <w:szCs w:val="22"/>
        </w:rPr>
        <w:t>s</w:t>
      </w:r>
      <w:r w:rsidR="003A7929" w:rsidRPr="0058008F">
        <w:rPr>
          <w:rFonts w:ascii="Arial" w:hAnsi="Arial" w:cs="Arial"/>
          <w:color w:val="000000" w:themeColor="text1"/>
          <w:sz w:val="22"/>
          <w:szCs w:val="22"/>
        </w:rPr>
        <w:t xml:space="preserve"> de</w:t>
      </w:r>
      <w:r w:rsidRPr="0058008F">
        <w:rPr>
          <w:rFonts w:ascii="Arial" w:hAnsi="Arial" w:cs="Arial"/>
          <w:color w:val="000000" w:themeColor="text1"/>
          <w:sz w:val="22"/>
          <w:szCs w:val="22"/>
        </w:rPr>
        <w:t xml:space="preserve"> los</w:t>
      </w:r>
      <w:r w:rsidR="003A7929" w:rsidRPr="0058008F">
        <w:rPr>
          <w:rFonts w:ascii="Arial" w:hAnsi="Arial" w:cs="Arial"/>
          <w:color w:val="000000" w:themeColor="text1"/>
          <w:sz w:val="22"/>
          <w:szCs w:val="22"/>
        </w:rPr>
        <w:t xml:space="preserve"> valores de</w:t>
      </w:r>
      <w:r w:rsidR="00033115" w:rsidRPr="0058008F">
        <w:rPr>
          <w:rFonts w:ascii="Arial" w:hAnsi="Arial" w:cs="Arial"/>
          <w:color w:val="000000" w:themeColor="text1"/>
          <w:sz w:val="22"/>
          <w:szCs w:val="22"/>
        </w:rPr>
        <w:t xml:space="preserve">l servicio de </w:t>
      </w:r>
      <w:r w:rsidR="003A7929" w:rsidRPr="0058008F">
        <w:rPr>
          <w:rFonts w:ascii="Arial" w:hAnsi="Arial" w:cs="Arial"/>
          <w:color w:val="000000" w:themeColor="text1"/>
          <w:sz w:val="22"/>
          <w:szCs w:val="22"/>
        </w:rPr>
        <w:t>una vigencia a otra</w:t>
      </w:r>
      <w:r w:rsidR="00C668D4" w:rsidRPr="0058008F">
        <w:rPr>
          <w:rFonts w:ascii="Arial" w:hAnsi="Arial" w:cs="Arial"/>
          <w:color w:val="000000" w:themeColor="text1"/>
          <w:sz w:val="22"/>
          <w:szCs w:val="22"/>
        </w:rPr>
        <w:t xml:space="preserve">, </w:t>
      </w:r>
      <w:r w:rsidR="00EA69D5" w:rsidRPr="0058008F">
        <w:rPr>
          <w:rFonts w:ascii="Arial" w:hAnsi="Arial" w:cs="Arial"/>
          <w:color w:val="000000" w:themeColor="text1"/>
          <w:sz w:val="22"/>
          <w:szCs w:val="22"/>
        </w:rPr>
        <w:t>el cual</w:t>
      </w:r>
      <w:r w:rsidR="00C668D4" w:rsidRPr="0058008F">
        <w:rPr>
          <w:rFonts w:ascii="Arial" w:hAnsi="Arial" w:cs="Arial"/>
          <w:color w:val="000000" w:themeColor="text1"/>
          <w:sz w:val="22"/>
          <w:szCs w:val="22"/>
        </w:rPr>
        <w:t xml:space="preserve"> para los años 2019 al 2020</w:t>
      </w:r>
      <w:r w:rsidR="00EA69D5" w:rsidRPr="0058008F">
        <w:rPr>
          <w:rFonts w:ascii="Arial" w:hAnsi="Arial" w:cs="Arial"/>
          <w:color w:val="000000" w:themeColor="text1"/>
          <w:sz w:val="22"/>
          <w:szCs w:val="22"/>
        </w:rPr>
        <w:t xml:space="preserve"> fue del </w:t>
      </w:r>
      <w:r w:rsidR="003D31B9">
        <w:rPr>
          <w:rFonts w:ascii="Arial" w:hAnsi="Arial" w:cs="Arial"/>
          <w:color w:val="000000" w:themeColor="text1"/>
          <w:sz w:val="22"/>
          <w:szCs w:val="22"/>
        </w:rPr>
        <w:t>3,8</w:t>
      </w:r>
      <w:r w:rsidR="00EA69D5" w:rsidRPr="0058008F">
        <w:rPr>
          <w:rFonts w:ascii="Arial" w:hAnsi="Arial" w:cs="Arial"/>
          <w:color w:val="000000" w:themeColor="text1"/>
          <w:sz w:val="22"/>
          <w:szCs w:val="22"/>
        </w:rPr>
        <w:t>%, debido</w:t>
      </w:r>
      <w:r w:rsidR="00033115" w:rsidRPr="0058008F">
        <w:rPr>
          <w:rFonts w:ascii="Arial" w:hAnsi="Arial" w:cs="Arial"/>
          <w:color w:val="000000" w:themeColor="text1"/>
          <w:sz w:val="22"/>
          <w:szCs w:val="22"/>
        </w:rPr>
        <w:t xml:space="preserve"> a</w:t>
      </w:r>
      <w:r w:rsidR="00EA69D5" w:rsidRPr="0058008F">
        <w:rPr>
          <w:rFonts w:ascii="Arial" w:hAnsi="Arial" w:cs="Arial"/>
          <w:color w:val="000000" w:themeColor="text1"/>
          <w:sz w:val="22"/>
          <w:szCs w:val="22"/>
        </w:rPr>
        <w:t xml:space="preserve"> la actualización de modelos de los vehículos pasando de 2008 a 2020</w:t>
      </w:r>
      <w:r w:rsidR="00033115" w:rsidRPr="0058008F">
        <w:rPr>
          <w:rFonts w:ascii="Arial" w:hAnsi="Arial" w:cs="Arial"/>
          <w:color w:val="000000" w:themeColor="text1"/>
          <w:sz w:val="22"/>
          <w:szCs w:val="22"/>
        </w:rPr>
        <w:t xml:space="preserve">. Así mismo, </w:t>
      </w:r>
      <w:r w:rsidR="00EA69D5" w:rsidRPr="0058008F">
        <w:rPr>
          <w:rFonts w:ascii="Arial" w:hAnsi="Arial" w:cs="Arial"/>
          <w:color w:val="000000" w:themeColor="text1"/>
          <w:sz w:val="22"/>
          <w:szCs w:val="22"/>
        </w:rPr>
        <w:t>el aumento de medidas de seguridad para el convenio 7.001-</w:t>
      </w:r>
      <w:r w:rsidR="00033115" w:rsidRPr="0058008F">
        <w:rPr>
          <w:rFonts w:ascii="Arial" w:hAnsi="Arial" w:cs="Arial"/>
          <w:color w:val="000000" w:themeColor="text1"/>
          <w:sz w:val="22"/>
          <w:szCs w:val="22"/>
        </w:rPr>
        <w:t>2019, el</w:t>
      </w:r>
      <w:r w:rsidR="00EA69D5" w:rsidRPr="0058008F">
        <w:rPr>
          <w:rFonts w:ascii="Arial" w:hAnsi="Arial" w:cs="Arial"/>
          <w:color w:val="000000" w:themeColor="text1"/>
          <w:sz w:val="22"/>
          <w:szCs w:val="22"/>
        </w:rPr>
        <w:t xml:space="preserve"> cual </w:t>
      </w:r>
      <w:r w:rsidR="00033115" w:rsidRPr="0058008F">
        <w:rPr>
          <w:rFonts w:ascii="Arial" w:hAnsi="Arial" w:cs="Arial"/>
          <w:color w:val="000000" w:themeColor="text1"/>
          <w:sz w:val="22"/>
          <w:szCs w:val="22"/>
        </w:rPr>
        <w:t xml:space="preserve">se incrementó </w:t>
      </w:r>
      <w:r w:rsidR="00EA69D5" w:rsidRPr="0058008F">
        <w:rPr>
          <w:rFonts w:ascii="Arial" w:hAnsi="Arial" w:cs="Arial"/>
          <w:color w:val="000000" w:themeColor="text1"/>
          <w:sz w:val="22"/>
          <w:szCs w:val="22"/>
        </w:rPr>
        <w:t>en el número de vehículos y hombres de protección.</w:t>
      </w:r>
    </w:p>
    <w:p w14:paraId="257A2972" w14:textId="77777777" w:rsidR="00EA69D5" w:rsidRPr="0058008F" w:rsidRDefault="00EA69D5" w:rsidP="00FD6AC7">
      <w:pPr>
        <w:jc w:val="both"/>
        <w:rPr>
          <w:rFonts w:ascii="Arial" w:hAnsi="Arial" w:cs="Arial"/>
          <w:color w:val="000000" w:themeColor="text1"/>
          <w:sz w:val="22"/>
          <w:szCs w:val="22"/>
        </w:rPr>
      </w:pPr>
    </w:p>
    <w:p w14:paraId="7D2539DD" w14:textId="78B3D187" w:rsidR="00FD6AC7" w:rsidRPr="0058008F" w:rsidRDefault="00FD6AC7" w:rsidP="00FD6AC7">
      <w:pPr>
        <w:jc w:val="both"/>
        <w:rPr>
          <w:rFonts w:ascii="Arial" w:hAnsi="Arial" w:cs="Arial"/>
          <w:color w:val="000000" w:themeColor="text1"/>
          <w:sz w:val="22"/>
          <w:szCs w:val="22"/>
        </w:rPr>
      </w:pPr>
      <w:r w:rsidRPr="0058008F">
        <w:rPr>
          <w:rFonts w:ascii="Arial" w:hAnsi="Arial" w:cs="Arial"/>
          <w:color w:val="000000" w:themeColor="text1"/>
          <w:sz w:val="22"/>
          <w:szCs w:val="22"/>
        </w:rPr>
        <w:t xml:space="preserve">En términos globales, el valor del gasto por concepto de esquema de seguridad del Ministerio de Hacienda y Crédito Público para el primer trimestre de 2020 frente al mismo periodo del año 2019, se incrementó en un 22%, así: </w:t>
      </w:r>
    </w:p>
    <w:p w14:paraId="543E1D6A" w14:textId="060CD652" w:rsidR="00FD6AC7" w:rsidRPr="005045BF" w:rsidRDefault="00FD6AC7" w:rsidP="00FD6AC7">
      <w:pPr>
        <w:jc w:val="both"/>
        <w:rPr>
          <w:rFonts w:ascii="Arial" w:hAnsi="Arial" w:cs="Arial"/>
          <w:sz w:val="22"/>
          <w:szCs w:val="22"/>
        </w:rPr>
      </w:pPr>
    </w:p>
    <w:p w14:paraId="3586C335" w14:textId="77777777" w:rsidR="008F0738" w:rsidRPr="005045BF" w:rsidRDefault="008F0738" w:rsidP="00FD6AC7">
      <w:pPr>
        <w:jc w:val="both"/>
        <w:rPr>
          <w:rFonts w:ascii="Arial" w:hAnsi="Arial" w:cs="Arial"/>
          <w:sz w:val="22"/>
          <w:szCs w:val="22"/>
        </w:rPr>
      </w:pPr>
    </w:p>
    <w:tbl>
      <w:tblPr>
        <w:tblStyle w:val="Tablaconcuadrcula1clara-nfasis1"/>
        <w:tblW w:w="9640" w:type="dxa"/>
        <w:jc w:val="center"/>
        <w:tblLook w:val="04A0" w:firstRow="1" w:lastRow="0" w:firstColumn="1" w:lastColumn="0" w:noHBand="0" w:noVBand="1"/>
      </w:tblPr>
      <w:tblGrid>
        <w:gridCol w:w="4962"/>
        <w:gridCol w:w="2552"/>
        <w:gridCol w:w="2126"/>
      </w:tblGrid>
      <w:tr w:rsidR="0012458D" w:rsidRPr="005045BF" w14:paraId="45C5ABF2" w14:textId="77777777" w:rsidTr="008F0738">
        <w:trPr>
          <w:cnfStyle w:val="100000000000" w:firstRow="1" w:lastRow="0" w:firstColumn="0" w:lastColumn="0" w:oddVBand="0" w:evenVBand="0" w:oddHBand="0" w:evenHBand="0" w:firstRowFirstColumn="0" w:firstRowLastColumn="0" w:lastRowFirstColumn="0" w:lastRowLastColumn="0"/>
          <w:cantSplit/>
          <w:trHeight w:val="412"/>
          <w:jc w:val="center"/>
        </w:trPr>
        <w:tc>
          <w:tcPr>
            <w:cnfStyle w:val="001000000000" w:firstRow="0" w:lastRow="0" w:firstColumn="1" w:lastColumn="0" w:oddVBand="0" w:evenVBand="0" w:oddHBand="0" w:evenHBand="0" w:firstRowFirstColumn="0" w:firstRowLastColumn="0" w:lastRowFirstColumn="0" w:lastRowLastColumn="0"/>
            <w:tcW w:w="9640" w:type="dxa"/>
            <w:gridSpan w:val="3"/>
            <w:shd w:val="clear" w:color="auto" w:fill="4F81BD" w:themeFill="accent1"/>
            <w:vAlign w:val="center"/>
            <w:hideMark/>
          </w:tcPr>
          <w:p w14:paraId="524F42E2" w14:textId="67C885C2" w:rsidR="0012458D" w:rsidRPr="005045BF" w:rsidRDefault="0012458D" w:rsidP="008F0738">
            <w:pPr>
              <w:spacing w:before="20" w:after="20"/>
              <w:jc w:val="center"/>
              <w:rPr>
                <w:rFonts w:ascii="Arial" w:hAnsi="Arial" w:cs="Arial"/>
                <w:color w:val="000000" w:themeColor="text1"/>
                <w:sz w:val="20"/>
                <w:szCs w:val="20"/>
              </w:rPr>
            </w:pPr>
            <w:r w:rsidRPr="005045BF">
              <w:rPr>
                <w:rFonts w:ascii="Arial" w:hAnsi="Arial" w:cs="Arial"/>
                <w:color w:val="FFFFFF" w:themeColor="background1"/>
                <w:sz w:val="20"/>
                <w:szCs w:val="20"/>
              </w:rPr>
              <w:lastRenderedPageBreak/>
              <w:t xml:space="preserve">Gasto Esquema de Seguridad </w:t>
            </w:r>
          </w:p>
        </w:tc>
      </w:tr>
      <w:tr w:rsidR="0012458D" w:rsidRPr="005045BF" w14:paraId="5DAF3DEE" w14:textId="77777777" w:rsidTr="008F0738">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BE5F1" w:themeFill="accent1" w:themeFillTint="33"/>
            <w:vAlign w:val="center"/>
            <w:hideMark/>
          </w:tcPr>
          <w:p w14:paraId="4B624691" w14:textId="77777777" w:rsidR="0012458D" w:rsidRPr="005045BF" w:rsidRDefault="0012458D" w:rsidP="008F0738">
            <w:pPr>
              <w:spacing w:before="20" w:after="20"/>
              <w:jc w:val="center"/>
              <w:rPr>
                <w:rFonts w:ascii="Arial" w:hAnsi="Arial" w:cs="Arial"/>
                <w:color w:val="000000" w:themeColor="text1"/>
                <w:sz w:val="20"/>
                <w:szCs w:val="20"/>
              </w:rPr>
            </w:pPr>
            <w:r w:rsidRPr="005045BF">
              <w:rPr>
                <w:rFonts w:ascii="Arial" w:hAnsi="Arial" w:cs="Arial"/>
                <w:color w:val="000000" w:themeColor="text1"/>
                <w:sz w:val="20"/>
                <w:szCs w:val="20"/>
              </w:rPr>
              <w:t>Concepto</w:t>
            </w:r>
          </w:p>
        </w:tc>
        <w:tc>
          <w:tcPr>
            <w:tcW w:w="2552" w:type="dxa"/>
            <w:shd w:val="clear" w:color="auto" w:fill="DBE5F1" w:themeFill="accent1" w:themeFillTint="33"/>
            <w:vAlign w:val="center"/>
            <w:hideMark/>
          </w:tcPr>
          <w:p w14:paraId="143A18D9" w14:textId="511683BB" w:rsidR="0012458D" w:rsidRPr="005045BF" w:rsidRDefault="0051712C"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45BF">
              <w:rPr>
                <w:rFonts w:ascii="Arial" w:hAnsi="Arial" w:cs="Arial"/>
                <w:b/>
                <w:bCs/>
                <w:color w:val="000000" w:themeColor="text1"/>
                <w:sz w:val="20"/>
                <w:szCs w:val="20"/>
              </w:rPr>
              <w:t xml:space="preserve">I Trimestre </w:t>
            </w:r>
            <w:r w:rsidR="0012458D" w:rsidRPr="005045BF">
              <w:rPr>
                <w:rFonts w:ascii="Arial" w:hAnsi="Arial" w:cs="Arial"/>
                <w:b/>
                <w:bCs/>
                <w:color w:val="000000" w:themeColor="text1"/>
                <w:sz w:val="20"/>
                <w:szCs w:val="20"/>
              </w:rPr>
              <w:t>2020</w:t>
            </w:r>
          </w:p>
        </w:tc>
        <w:tc>
          <w:tcPr>
            <w:tcW w:w="2126" w:type="dxa"/>
            <w:shd w:val="clear" w:color="auto" w:fill="DBE5F1" w:themeFill="accent1" w:themeFillTint="33"/>
            <w:vAlign w:val="center"/>
            <w:hideMark/>
          </w:tcPr>
          <w:p w14:paraId="13D7ED17" w14:textId="3F2DF214" w:rsidR="0012458D" w:rsidRPr="005045BF" w:rsidRDefault="0051712C"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20"/>
                <w:szCs w:val="20"/>
              </w:rPr>
            </w:pPr>
            <w:r w:rsidRPr="005045BF">
              <w:rPr>
                <w:rFonts w:ascii="Arial" w:hAnsi="Arial" w:cs="Arial"/>
                <w:b/>
                <w:bCs/>
                <w:color w:val="000000" w:themeColor="text1"/>
                <w:sz w:val="20"/>
                <w:szCs w:val="20"/>
              </w:rPr>
              <w:t>I Trimestre 2019</w:t>
            </w:r>
          </w:p>
        </w:tc>
      </w:tr>
      <w:tr w:rsidR="005915AE" w:rsidRPr="005045BF" w14:paraId="0C44352B" w14:textId="77777777" w:rsidTr="008F0738">
        <w:trPr>
          <w:cantSplit/>
          <w:jc w:val="center"/>
        </w:trPr>
        <w:tc>
          <w:tcPr>
            <w:cnfStyle w:val="001000000000" w:firstRow="0" w:lastRow="0" w:firstColumn="1" w:lastColumn="0" w:oddVBand="0" w:evenVBand="0" w:oddHBand="0" w:evenHBand="0" w:firstRowFirstColumn="0" w:firstRowLastColumn="0" w:lastRowFirstColumn="0" w:lastRowLastColumn="0"/>
            <w:tcW w:w="4962" w:type="dxa"/>
            <w:vAlign w:val="center"/>
            <w:hideMark/>
          </w:tcPr>
          <w:p w14:paraId="26E7C49B" w14:textId="77777777" w:rsidR="0012458D" w:rsidRPr="005045BF" w:rsidRDefault="0012458D" w:rsidP="008F0738">
            <w:pPr>
              <w:spacing w:before="20" w:after="20"/>
              <w:jc w:val="both"/>
              <w:rPr>
                <w:rFonts w:ascii="Arial" w:hAnsi="Arial" w:cs="Arial"/>
                <w:b w:val="0"/>
                <w:bCs w:val="0"/>
                <w:color w:val="0F243E"/>
                <w:sz w:val="20"/>
                <w:szCs w:val="20"/>
              </w:rPr>
            </w:pPr>
            <w:r w:rsidRPr="005045BF">
              <w:rPr>
                <w:rFonts w:ascii="Arial" w:hAnsi="Arial" w:cs="Arial"/>
                <w:b w:val="0"/>
                <w:bCs w:val="0"/>
                <w:color w:val="0F243E"/>
                <w:sz w:val="20"/>
                <w:szCs w:val="20"/>
              </w:rPr>
              <w:t>Esquema de Seguridad del Ministro de Hacienda y Crédito Público</w:t>
            </w:r>
          </w:p>
        </w:tc>
        <w:tc>
          <w:tcPr>
            <w:tcW w:w="2552" w:type="dxa"/>
            <w:vAlign w:val="center"/>
            <w:hideMark/>
          </w:tcPr>
          <w:p w14:paraId="246E2C6D" w14:textId="36C30B26"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89.942.220 </w:t>
            </w:r>
          </w:p>
        </w:tc>
        <w:tc>
          <w:tcPr>
            <w:tcW w:w="2126" w:type="dxa"/>
            <w:vAlign w:val="center"/>
            <w:hideMark/>
          </w:tcPr>
          <w:p w14:paraId="31AB1B54" w14:textId="4699B294"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80.264.245 </w:t>
            </w:r>
          </w:p>
        </w:tc>
      </w:tr>
      <w:tr w:rsidR="005915AE" w:rsidRPr="005045BF" w14:paraId="34F73ACF" w14:textId="77777777" w:rsidTr="008F0738">
        <w:trPr>
          <w:cantSplit/>
          <w:trHeight w:val="438"/>
          <w:jc w:val="center"/>
        </w:trPr>
        <w:tc>
          <w:tcPr>
            <w:cnfStyle w:val="001000000000" w:firstRow="0" w:lastRow="0" w:firstColumn="1" w:lastColumn="0" w:oddVBand="0" w:evenVBand="0" w:oddHBand="0" w:evenHBand="0" w:firstRowFirstColumn="0" w:firstRowLastColumn="0" w:lastRowFirstColumn="0" w:lastRowLastColumn="0"/>
            <w:tcW w:w="4962" w:type="dxa"/>
            <w:vAlign w:val="center"/>
            <w:hideMark/>
          </w:tcPr>
          <w:p w14:paraId="2FB86952" w14:textId="677DBD9F" w:rsidR="0012458D" w:rsidRPr="005045BF" w:rsidRDefault="0012458D" w:rsidP="008F0738">
            <w:pPr>
              <w:spacing w:before="20" w:after="20"/>
              <w:jc w:val="both"/>
              <w:rPr>
                <w:rFonts w:ascii="Arial" w:hAnsi="Arial" w:cs="Arial"/>
                <w:b w:val="0"/>
                <w:bCs w:val="0"/>
                <w:color w:val="0F243E"/>
                <w:sz w:val="20"/>
                <w:szCs w:val="20"/>
              </w:rPr>
            </w:pPr>
            <w:r w:rsidRPr="005045BF">
              <w:rPr>
                <w:rFonts w:ascii="Arial" w:hAnsi="Arial" w:cs="Arial"/>
                <w:b w:val="0"/>
                <w:bCs w:val="0"/>
                <w:color w:val="0F243E"/>
                <w:sz w:val="20"/>
                <w:szCs w:val="20"/>
              </w:rPr>
              <w:t>Esquema de Seguridad de Viceministro</w:t>
            </w:r>
            <w:r w:rsidR="00D8793B" w:rsidRPr="005045BF">
              <w:rPr>
                <w:rFonts w:ascii="Arial" w:hAnsi="Arial" w:cs="Arial"/>
                <w:b w:val="0"/>
                <w:bCs w:val="0"/>
                <w:color w:val="0F243E"/>
                <w:sz w:val="20"/>
                <w:szCs w:val="20"/>
              </w:rPr>
              <w:t xml:space="preserve"> General</w:t>
            </w:r>
          </w:p>
        </w:tc>
        <w:tc>
          <w:tcPr>
            <w:tcW w:w="2552" w:type="dxa"/>
            <w:vAlign w:val="center"/>
            <w:hideMark/>
          </w:tcPr>
          <w:p w14:paraId="50AD3931" w14:textId="738F8F70"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  70.047.832 </w:t>
            </w:r>
          </w:p>
        </w:tc>
        <w:tc>
          <w:tcPr>
            <w:tcW w:w="2126" w:type="dxa"/>
            <w:vAlign w:val="center"/>
            <w:hideMark/>
          </w:tcPr>
          <w:p w14:paraId="2077F4CE" w14:textId="1164A58B"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sz w:val="20"/>
                <w:szCs w:val="20"/>
              </w:rPr>
            </w:pPr>
            <w:r w:rsidRPr="005045BF">
              <w:rPr>
                <w:rFonts w:ascii="Arial" w:hAnsi="Arial" w:cs="Arial"/>
                <w:color w:val="0F243E"/>
                <w:sz w:val="20"/>
                <w:szCs w:val="20"/>
              </w:rPr>
              <w:t xml:space="preserve">51.116.420 </w:t>
            </w:r>
          </w:p>
        </w:tc>
      </w:tr>
      <w:tr w:rsidR="005915AE" w:rsidRPr="005045BF" w14:paraId="54B45026" w14:textId="77777777" w:rsidTr="008F0738">
        <w:trPr>
          <w:cantSplit/>
          <w:trHeight w:val="307"/>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DBE5F1" w:themeFill="accent1" w:themeFillTint="33"/>
            <w:vAlign w:val="center"/>
            <w:hideMark/>
          </w:tcPr>
          <w:p w14:paraId="0B97E4FA" w14:textId="77777777" w:rsidR="0012458D" w:rsidRPr="005045BF" w:rsidRDefault="0012458D" w:rsidP="008F0738">
            <w:pPr>
              <w:spacing w:before="20" w:after="20"/>
              <w:jc w:val="center"/>
              <w:rPr>
                <w:rFonts w:ascii="Arial" w:hAnsi="Arial" w:cs="Arial"/>
                <w:color w:val="0F243E"/>
                <w:sz w:val="20"/>
                <w:szCs w:val="20"/>
              </w:rPr>
            </w:pPr>
            <w:r w:rsidRPr="005045BF">
              <w:rPr>
                <w:rFonts w:ascii="Arial" w:hAnsi="Arial" w:cs="Arial"/>
                <w:color w:val="0F243E"/>
                <w:sz w:val="20"/>
                <w:szCs w:val="20"/>
              </w:rPr>
              <w:t xml:space="preserve">Total </w:t>
            </w:r>
          </w:p>
        </w:tc>
        <w:tc>
          <w:tcPr>
            <w:tcW w:w="2552" w:type="dxa"/>
            <w:shd w:val="clear" w:color="auto" w:fill="DBE5F1" w:themeFill="accent1" w:themeFillTint="33"/>
            <w:vAlign w:val="center"/>
            <w:hideMark/>
          </w:tcPr>
          <w:p w14:paraId="5D381320" w14:textId="657EA556"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 xml:space="preserve">159.990.052 </w:t>
            </w:r>
          </w:p>
        </w:tc>
        <w:tc>
          <w:tcPr>
            <w:tcW w:w="2126" w:type="dxa"/>
            <w:shd w:val="clear" w:color="auto" w:fill="DBE5F1" w:themeFill="accent1" w:themeFillTint="33"/>
            <w:vAlign w:val="center"/>
            <w:hideMark/>
          </w:tcPr>
          <w:p w14:paraId="4B429754" w14:textId="5D2F8DCD" w:rsidR="0012458D" w:rsidRPr="005045BF" w:rsidRDefault="0012458D" w:rsidP="008F0738">
            <w:pPr>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131.380.665 </w:t>
            </w:r>
          </w:p>
        </w:tc>
      </w:tr>
      <w:tr w:rsidR="005915AE" w:rsidRPr="005045BF" w14:paraId="0BA6D95C" w14:textId="77777777" w:rsidTr="008F0738">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4F81BD" w:themeFill="accent1"/>
            <w:vAlign w:val="center"/>
            <w:hideMark/>
          </w:tcPr>
          <w:p w14:paraId="2473AB75" w14:textId="77777777" w:rsidR="0012458D" w:rsidRPr="005045BF" w:rsidRDefault="0012458D" w:rsidP="008F0738">
            <w:pPr>
              <w:spacing w:before="20" w:after="2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Absoluta $</w:t>
            </w:r>
          </w:p>
        </w:tc>
        <w:tc>
          <w:tcPr>
            <w:tcW w:w="4678" w:type="dxa"/>
            <w:gridSpan w:val="2"/>
            <w:shd w:val="clear" w:color="auto" w:fill="4F81BD" w:themeFill="accent1"/>
            <w:vAlign w:val="center"/>
            <w:hideMark/>
          </w:tcPr>
          <w:p w14:paraId="04855F54" w14:textId="271041EF" w:rsidR="0012458D" w:rsidRPr="005045BF" w:rsidRDefault="0012458D"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28.609.387</w:t>
            </w:r>
          </w:p>
        </w:tc>
      </w:tr>
      <w:tr w:rsidR="006E277F" w:rsidRPr="005045BF" w14:paraId="08D3FAB9" w14:textId="77777777" w:rsidTr="008F0738">
        <w:trPr>
          <w:cantSplit/>
          <w:jc w:val="center"/>
        </w:trPr>
        <w:tc>
          <w:tcPr>
            <w:cnfStyle w:val="001000000000" w:firstRow="0" w:lastRow="0" w:firstColumn="1" w:lastColumn="0" w:oddVBand="0" w:evenVBand="0" w:oddHBand="0" w:evenHBand="0" w:firstRowFirstColumn="0" w:firstRowLastColumn="0" w:lastRowFirstColumn="0" w:lastRowLastColumn="0"/>
            <w:tcW w:w="4962" w:type="dxa"/>
            <w:shd w:val="clear" w:color="auto" w:fill="4F81BD" w:themeFill="accent1"/>
            <w:vAlign w:val="center"/>
          </w:tcPr>
          <w:p w14:paraId="3CD168A7" w14:textId="765250B7" w:rsidR="006E277F" w:rsidRPr="005045BF" w:rsidRDefault="006E277F" w:rsidP="008F0738">
            <w:pPr>
              <w:spacing w:before="20" w:after="2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Variación Relativa %</w:t>
            </w:r>
          </w:p>
        </w:tc>
        <w:tc>
          <w:tcPr>
            <w:tcW w:w="4678" w:type="dxa"/>
            <w:gridSpan w:val="2"/>
            <w:shd w:val="clear" w:color="auto" w:fill="4F81BD" w:themeFill="accent1"/>
            <w:vAlign w:val="center"/>
          </w:tcPr>
          <w:p w14:paraId="48A8A523" w14:textId="4EEF86B9" w:rsidR="006E277F" w:rsidRPr="005045BF" w:rsidRDefault="006E277F" w:rsidP="008F0738">
            <w:pPr>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22%</w:t>
            </w:r>
          </w:p>
        </w:tc>
      </w:tr>
    </w:tbl>
    <w:p w14:paraId="5ED09446" w14:textId="59AD70DB" w:rsidR="00FD6AC7" w:rsidRPr="005045BF" w:rsidRDefault="005915AE" w:rsidP="00FD6AC7">
      <w:pPr>
        <w:jc w:val="both"/>
        <w:rPr>
          <w:rFonts w:ascii="Arial" w:hAnsi="Arial" w:cs="Arial"/>
          <w:sz w:val="18"/>
          <w:szCs w:val="18"/>
        </w:rPr>
      </w:pPr>
      <w:r w:rsidRPr="005045BF">
        <w:rPr>
          <w:rFonts w:ascii="Arial" w:hAnsi="Arial" w:cs="Arial"/>
          <w:sz w:val="22"/>
          <w:szCs w:val="22"/>
        </w:rPr>
        <w:t xml:space="preserve">        </w:t>
      </w:r>
      <w:r w:rsidRPr="005045BF">
        <w:rPr>
          <w:rFonts w:ascii="Arial" w:hAnsi="Arial" w:cs="Arial"/>
          <w:sz w:val="18"/>
          <w:szCs w:val="18"/>
        </w:rPr>
        <w:t xml:space="preserve">Cifras presentadas en pesos. </w:t>
      </w:r>
    </w:p>
    <w:p w14:paraId="03C0B74E" w14:textId="1344DDD7" w:rsidR="005915AE" w:rsidRPr="005045BF" w:rsidRDefault="005915AE" w:rsidP="008F0738">
      <w:pPr>
        <w:spacing w:line="168" w:lineRule="auto"/>
        <w:jc w:val="both"/>
        <w:rPr>
          <w:rFonts w:ascii="Arial" w:hAnsi="Arial" w:cs="Arial"/>
          <w:sz w:val="22"/>
          <w:szCs w:val="22"/>
        </w:rPr>
      </w:pPr>
      <w:r w:rsidRPr="005045BF">
        <w:rPr>
          <w:rFonts w:ascii="Arial" w:hAnsi="Arial" w:cs="Arial"/>
          <w:sz w:val="22"/>
          <w:szCs w:val="22"/>
        </w:rPr>
        <w:tab/>
      </w:r>
    </w:p>
    <w:p w14:paraId="0D7BCDE3" w14:textId="2F6B7D53" w:rsidR="006A01D0" w:rsidRPr="005045BF" w:rsidRDefault="00F54ECF" w:rsidP="003E57C8">
      <w:pPr>
        <w:jc w:val="both"/>
        <w:rPr>
          <w:rFonts w:ascii="Arial" w:hAnsi="Arial" w:cs="Arial"/>
          <w:sz w:val="22"/>
          <w:szCs w:val="22"/>
        </w:rPr>
      </w:pPr>
      <w:r w:rsidRPr="005045BF">
        <w:rPr>
          <w:rFonts w:ascii="Arial" w:hAnsi="Arial" w:cs="Arial"/>
          <w:sz w:val="22"/>
          <w:szCs w:val="22"/>
        </w:rPr>
        <w:t xml:space="preserve">Tal y como se mencionó anteriormente en este numeral, </w:t>
      </w:r>
      <w:r w:rsidR="006A01D0" w:rsidRPr="005045BF">
        <w:rPr>
          <w:rFonts w:ascii="Arial" w:hAnsi="Arial" w:cs="Arial"/>
          <w:sz w:val="22"/>
          <w:szCs w:val="22"/>
        </w:rPr>
        <w:t>para la vigencia 201</w:t>
      </w:r>
      <w:r w:rsidR="00D8793B" w:rsidRPr="005045BF">
        <w:rPr>
          <w:rFonts w:ascii="Arial" w:hAnsi="Arial" w:cs="Arial"/>
          <w:sz w:val="22"/>
          <w:szCs w:val="22"/>
        </w:rPr>
        <w:t>9</w:t>
      </w:r>
      <w:r w:rsidR="006A01D0" w:rsidRPr="005045BF">
        <w:rPr>
          <w:rFonts w:ascii="Arial" w:hAnsi="Arial" w:cs="Arial"/>
          <w:sz w:val="22"/>
          <w:szCs w:val="22"/>
        </w:rPr>
        <w:t xml:space="preserve"> </w:t>
      </w:r>
      <w:r w:rsidR="00D8793B" w:rsidRPr="005045BF">
        <w:rPr>
          <w:rFonts w:ascii="Arial" w:hAnsi="Arial" w:cs="Arial"/>
          <w:sz w:val="22"/>
          <w:szCs w:val="22"/>
        </w:rPr>
        <w:t xml:space="preserve">el convenio correspondiente al esquema de seguridad del Viceministro General </w:t>
      </w:r>
      <w:r w:rsidR="00586A9E" w:rsidRPr="005045BF">
        <w:rPr>
          <w:rFonts w:ascii="Arial" w:hAnsi="Arial" w:cs="Arial"/>
          <w:sz w:val="22"/>
          <w:szCs w:val="22"/>
        </w:rPr>
        <w:t>inició el 18</w:t>
      </w:r>
      <w:r w:rsidR="00D8793B" w:rsidRPr="005045BF">
        <w:rPr>
          <w:rFonts w:ascii="Arial" w:hAnsi="Arial" w:cs="Arial"/>
          <w:sz w:val="22"/>
          <w:szCs w:val="22"/>
        </w:rPr>
        <w:t xml:space="preserve"> de febrero de 2019, es decir que, para el mes de enero y parte de febrero de 2019 no se registró gasto por dicho concepto, </w:t>
      </w:r>
      <w:r w:rsidR="00447175" w:rsidRPr="005045BF">
        <w:rPr>
          <w:rFonts w:ascii="Arial" w:hAnsi="Arial" w:cs="Arial"/>
          <w:sz w:val="22"/>
          <w:szCs w:val="22"/>
        </w:rPr>
        <w:t xml:space="preserve">lo que permite </w:t>
      </w:r>
      <w:r w:rsidR="008662E2" w:rsidRPr="005045BF">
        <w:rPr>
          <w:rFonts w:ascii="Arial" w:hAnsi="Arial" w:cs="Arial"/>
          <w:sz w:val="22"/>
          <w:szCs w:val="22"/>
        </w:rPr>
        <w:t xml:space="preserve">concluir </w:t>
      </w:r>
      <w:r w:rsidR="00447175" w:rsidRPr="005045BF">
        <w:rPr>
          <w:rFonts w:ascii="Arial" w:hAnsi="Arial" w:cs="Arial"/>
          <w:sz w:val="22"/>
          <w:szCs w:val="22"/>
        </w:rPr>
        <w:t>que</w:t>
      </w:r>
      <w:r w:rsidR="008662E2" w:rsidRPr="005045BF">
        <w:rPr>
          <w:rFonts w:ascii="Arial" w:hAnsi="Arial" w:cs="Arial"/>
          <w:sz w:val="22"/>
          <w:szCs w:val="22"/>
        </w:rPr>
        <w:t xml:space="preserve">, </w:t>
      </w:r>
      <w:r w:rsidR="00447175" w:rsidRPr="005045BF">
        <w:rPr>
          <w:rFonts w:ascii="Arial" w:hAnsi="Arial" w:cs="Arial"/>
          <w:sz w:val="22"/>
          <w:szCs w:val="22"/>
        </w:rPr>
        <w:t xml:space="preserve">en parte </w:t>
      </w:r>
      <w:r w:rsidR="002A2781" w:rsidRPr="005045BF">
        <w:rPr>
          <w:rFonts w:ascii="Arial" w:hAnsi="Arial" w:cs="Arial"/>
          <w:sz w:val="22"/>
          <w:szCs w:val="22"/>
        </w:rPr>
        <w:t>el incremento presentado</w:t>
      </w:r>
      <w:r w:rsidR="00500766" w:rsidRPr="005045BF">
        <w:rPr>
          <w:rFonts w:ascii="Arial" w:hAnsi="Arial" w:cs="Arial"/>
          <w:sz w:val="22"/>
          <w:szCs w:val="22"/>
        </w:rPr>
        <w:t xml:space="preserve"> </w:t>
      </w:r>
      <w:r w:rsidR="008662E2" w:rsidRPr="005045BF">
        <w:rPr>
          <w:rFonts w:ascii="Arial" w:hAnsi="Arial" w:cs="Arial"/>
          <w:sz w:val="22"/>
          <w:szCs w:val="22"/>
        </w:rPr>
        <w:t xml:space="preserve">se derivó de </w:t>
      </w:r>
      <w:r w:rsidR="00500766" w:rsidRPr="005045BF">
        <w:rPr>
          <w:rFonts w:ascii="Arial" w:hAnsi="Arial" w:cs="Arial"/>
          <w:sz w:val="22"/>
          <w:szCs w:val="22"/>
        </w:rPr>
        <w:t>la situación antes descrita</w:t>
      </w:r>
      <w:r w:rsidR="00D1348F" w:rsidRPr="005045BF">
        <w:rPr>
          <w:rFonts w:ascii="Arial" w:hAnsi="Arial" w:cs="Arial"/>
          <w:sz w:val="22"/>
          <w:szCs w:val="22"/>
        </w:rPr>
        <w:t xml:space="preserve"> y la actualización de tarifas en cada vigencia. </w:t>
      </w:r>
    </w:p>
    <w:p w14:paraId="4D576355" w14:textId="51CD6632" w:rsidR="006A01D0" w:rsidRPr="005045BF" w:rsidRDefault="006A01D0" w:rsidP="008F0738">
      <w:pPr>
        <w:spacing w:line="168" w:lineRule="auto"/>
        <w:jc w:val="both"/>
        <w:rPr>
          <w:rFonts w:ascii="Arial" w:hAnsi="Arial" w:cs="Arial"/>
          <w:sz w:val="22"/>
          <w:szCs w:val="22"/>
          <w:highlight w:val="yellow"/>
        </w:rPr>
      </w:pPr>
    </w:p>
    <w:p w14:paraId="36C2822B" w14:textId="5E830F02" w:rsidR="00DE0205" w:rsidRPr="005045BF" w:rsidRDefault="00EF01BC" w:rsidP="003E57C8">
      <w:pPr>
        <w:jc w:val="both"/>
        <w:rPr>
          <w:rFonts w:ascii="Arial" w:hAnsi="Arial" w:cs="Arial"/>
          <w:i/>
          <w:color w:val="000000"/>
          <w:sz w:val="20"/>
          <w:szCs w:val="20"/>
        </w:rPr>
      </w:pPr>
      <w:r w:rsidRPr="005045BF">
        <w:rPr>
          <w:rFonts w:ascii="Arial" w:hAnsi="Arial" w:cs="Arial"/>
          <w:color w:val="000000"/>
          <w:sz w:val="22"/>
          <w:szCs w:val="22"/>
        </w:rPr>
        <w:t>Por otra parte, en el mismo numeral de la Directiva</w:t>
      </w:r>
      <w:r w:rsidR="00DE1655" w:rsidRPr="005045BF">
        <w:rPr>
          <w:rFonts w:ascii="Arial" w:hAnsi="Arial" w:cs="Arial"/>
          <w:color w:val="000000"/>
          <w:sz w:val="22"/>
          <w:szCs w:val="22"/>
        </w:rPr>
        <w:t xml:space="preserve"> 09 de 2018</w:t>
      </w:r>
      <w:r w:rsidRPr="005045BF">
        <w:rPr>
          <w:rFonts w:ascii="Arial" w:hAnsi="Arial" w:cs="Arial"/>
          <w:color w:val="000000"/>
          <w:sz w:val="22"/>
          <w:szCs w:val="22"/>
        </w:rPr>
        <w:t xml:space="preserve"> [Esquema de Seguridad y Vehículos Oficiales] se estableció lo siguiente</w:t>
      </w:r>
      <w:r w:rsidRPr="005045BF">
        <w:rPr>
          <w:rFonts w:ascii="Arial" w:hAnsi="Arial" w:cs="Arial"/>
          <w:color w:val="000000"/>
          <w:sz w:val="20"/>
          <w:szCs w:val="20"/>
        </w:rPr>
        <w:t xml:space="preserve">: </w:t>
      </w:r>
      <w:r w:rsidR="00DE0205" w:rsidRPr="005045BF">
        <w:rPr>
          <w:rFonts w:ascii="Arial" w:hAnsi="Arial" w:cs="Arial"/>
          <w:i/>
          <w:color w:val="000000"/>
          <w:sz w:val="20"/>
          <w:szCs w:val="20"/>
        </w:rPr>
        <w:t>Los funcionarios que tienen asignado el uso de vehículo</w:t>
      </w:r>
      <w:r w:rsidRPr="005045BF">
        <w:rPr>
          <w:rFonts w:ascii="Arial" w:hAnsi="Arial" w:cs="Arial"/>
          <w:i/>
          <w:color w:val="000000"/>
          <w:sz w:val="20"/>
          <w:szCs w:val="20"/>
        </w:rPr>
        <w:t xml:space="preserve">s oficiales propenderán por que </w:t>
      </w:r>
      <w:r w:rsidR="00DE0205" w:rsidRPr="005045BF">
        <w:rPr>
          <w:rFonts w:ascii="Arial" w:hAnsi="Arial" w:cs="Arial"/>
          <w:i/>
          <w:color w:val="000000"/>
          <w:sz w:val="20"/>
          <w:szCs w:val="20"/>
        </w:rPr>
        <w:t>los conductores respeten en todo momento las disposiciones de tránsito. Así mismo, los</w:t>
      </w:r>
      <w:r w:rsidR="00DE0205" w:rsidRPr="005045BF">
        <w:rPr>
          <w:rFonts w:ascii="Arial" w:hAnsi="Arial" w:cs="Arial"/>
          <w:i/>
          <w:color w:val="000000"/>
          <w:sz w:val="20"/>
          <w:szCs w:val="20"/>
        </w:rPr>
        <w:br/>
        <w:t>vehículos oficiales asignados a los funcionarios no podrán estacionarse en sitios prohibidos</w:t>
      </w:r>
      <w:r w:rsidR="00DE0205" w:rsidRPr="005045BF">
        <w:rPr>
          <w:rFonts w:ascii="Arial" w:hAnsi="Arial" w:cs="Arial"/>
          <w:i/>
          <w:color w:val="000000"/>
          <w:sz w:val="20"/>
          <w:szCs w:val="20"/>
        </w:rPr>
        <w:br/>
        <w:t>en la vía pública.</w:t>
      </w:r>
    </w:p>
    <w:p w14:paraId="5C77ADE3" w14:textId="77777777" w:rsidR="003076DB" w:rsidRPr="005045BF" w:rsidRDefault="003076DB" w:rsidP="008F0738">
      <w:pPr>
        <w:spacing w:line="168" w:lineRule="auto"/>
        <w:jc w:val="both"/>
        <w:rPr>
          <w:rFonts w:ascii="Arial" w:hAnsi="Arial" w:cs="Arial"/>
          <w:color w:val="000000"/>
          <w:sz w:val="20"/>
          <w:szCs w:val="20"/>
        </w:rPr>
      </w:pPr>
    </w:p>
    <w:p w14:paraId="764CF36E" w14:textId="6DA44BE2" w:rsidR="00206CEE" w:rsidRPr="005045BF" w:rsidRDefault="00157244" w:rsidP="00032D5F">
      <w:pPr>
        <w:spacing w:before="40" w:after="40"/>
        <w:jc w:val="both"/>
        <w:rPr>
          <w:rFonts w:ascii="Arial" w:hAnsi="Arial" w:cs="Arial"/>
          <w:sz w:val="22"/>
          <w:szCs w:val="22"/>
          <w:highlight w:val="yellow"/>
        </w:rPr>
      </w:pPr>
      <w:r w:rsidRPr="005045BF">
        <w:rPr>
          <w:rFonts w:ascii="Arial" w:hAnsi="Arial" w:cs="Arial"/>
          <w:sz w:val="22"/>
          <w:szCs w:val="22"/>
        </w:rPr>
        <w:t xml:space="preserve">Sobre el particular, </w:t>
      </w:r>
      <w:r w:rsidR="00DE0205" w:rsidRPr="005045BF">
        <w:rPr>
          <w:rFonts w:ascii="Arial" w:hAnsi="Arial" w:cs="Arial"/>
          <w:sz w:val="22"/>
          <w:szCs w:val="22"/>
        </w:rPr>
        <w:t>se efectúo la consulta</w:t>
      </w:r>
      <w:r w:rsidR="00032D5F" w:rsidRPr="005045BF">
        <w:rPr>
          <w:rFonts w:ascii="Arial" w:hAnsi="Arial" w:cs="Arial"/>
          <w:sz w:val="22"/>
          <w:szCs w:val="22"/>
        </w:rPr>
        <w:t xml:space="preserve"> [fecha: </w:t>
      </w:r>
      <w:r w:rsidR="000F71AA" w:rsidRPr="005045BF">
        <w:rPr>
          <w:rFonts w:ascii="Arial" w:hAnsi="Arial" w:cs="Arial"/>
          <w:sz w:val="22"/>
          <w:szCs w:val="22"/>
        </w:rPr>
        <w:t>18</w:t>
      </w:r>
      <w:r w:rsidR="00032D5F" w:rsidRPr="005045BF">
        <w:rPr>
          <w:rFonts w:ascii="Arial" w:hAnsi="Arial" w:cs="Arial"/>
          <w:sz w:val="22"/>
          <w:szCs w:val="22"/>
        </w:rPr>
        <w:t>/0</w:t>
      </w:r>
      <w:r w:rsidR="000F71AA" w:rsidRPr="005045BF">
        <w:rPr>
          <w:rFonts w:ascii="Arial" w:hAnsi="Arial" w:cs="Arial"/>
          <w:sz w:val="22"/>
          <w:szCs w:val="22"/>
        </w:rPr>
        <w:t>6</w:t>
      </w:r>
      <w:r w:rsidR="00032D5F" w:rsidRPr="005045BF">
        <w:rPr>
          <w:rFonts w:ascii="Arial" w:hAnsi="Arial" w:cs="Arial"/>
          <w:sz w:val="22"/>
          <w:szCs w:val="22"/>
        </w:rPr>
        <w:t xml:space="preserve">/2020] </w:t>
      </w:r>
      <w:r w:rsidR="00DE0205" w:rsidRPr="005045BF">
        <w:rPr>
          <w:rFonts w:ascii="Arial" w:hAnsi="Arial" w:cs="Arial"/>
          <w:sz w:val="22"/>
          <w:szCs w:val="22"/>
        </w:rPr>
        <w:t xml:space="preserve">en el </w:t>
      </w:r>
      <w:r w:rsidR="00DE0205" w:rsidRPr="005045BF">
        <w:rPr>
          <w:rFonts w:ascii="Arial" w:hAnsi="Arial" w:cs="Arial"/>
          <w:i/>
          <w:sz w:val="22"/>
          <w:szCs w:val="22"/>
        </w:rPr>
        <w:t>Sistema Integrado de Información sobre Multas y Sanciones por Infracciones de Tránsito</w:t>
      </w:r>
      <w:r w:rsidR="00AD1947" w:rsidRPr="005045BF">
        <w:rPr>
          <w:rFonts w:ascii="Arial" w:hAnsi="Arial" w:cs="Arial"/>
          <w:i/>
          <w:sz w:val="22"/>
          <w:szCs w:val="22"/>
        </w:rPr>
        <w:t xml:space="preserve"> -SIMIT</w:t>
      </w:r>
      <w:r w:rsidR="00DE0205" w:rsidRPr="005045BF">
        <w:rPr>
          <w:rFonts w:ascii="Arial" w:hAnsi="Arial" w:cs="Arial"/>
          <w:i/>
          <w:sz w:val="22"/>
          <w:szCs w:val="22"/>
        </w:rPr>
        <w:t xml:space="preserve"> </w:t>
      </w:r>
      <w:r w:rsidR="00DE0205" w:rsidRPr="005045BF">
        <w:rPr>
          <w:rFonts w:ascii="Arial" w:hAnsi="Arial" w:cs="Arial"/>
          <w:sz w:val="22"/>
          <w:szCs w:val="22"/>
        </w:rPr>
        <w:t>con el Nit 899999090 correspondiente al Ministerio de Hacienda y Crédito Público. Como result</w:t>
      </w:r>
      <w:r w:rsidR="00F07695" w:rsidRPr="005045BF">
        <w:rPr>
          <w:rFonts w:ascii="Arial" w:hAnsi="Arial" w:cs="Arial"/>
          <w:sz w:val="22"/>
          <w:szCs w:val="22"/>
        </w:rPr>
        <w:t xml:space="preserve">ado </w:t>
      </w:r>
      <w:r w:rsidR="00E07B7D" w:rsidRPr="005045BF">
        <w:rPr>
          <w:rFonts w:ascii="Arial" w:hAnsi="Arial" w:cs="Arial"/>
          <w:sz w:val="22"/>
          <w:szCs w:val="22"/>
        </w:rPr>
        <w:t xml:space="preserve">se evidenció que esta Entidad no posee registros en dicho Sistema por concepto de multas </w:t>
      </w:r>
      <w:r w:rsidR="0033561D" w:rsidRPr="005045BF">
        <w:rPr>
          <w:rFonts w:ascii="Arial" w:hAnsi="Arial" w:cs="Arial"/>
          <w:sz w:val="22"/>
          <w:szCs w:val="22"/>
        </w:rPr>
        <w:t>o</w:t>
      </w:r>
      <w:r w:rsidR="00FF50BC" w:rsidRPr="005045BF">
        <w:rPr>
          <w:rFonts w:ascii="Arial" w:hAnsi="Arial" w:cs="Arial"/>
          <w:sz w:val="22"/>
          <w:szCs w:val="22"/>
        </w:rPr>
        <w:t xml:space="preserve"> infracciones de tránsito, como se observa en la siguiente imagen: </w:t>
      </w:r>
    </w:p>
    <w:p w14:paraId="144B2723" w14:textId="424C42A4" w:rsidR="00157244" w:rsidRPr="005045BF" w:rsidRDefault="000F71AA" w:rsidP="00206CEE">
      <w:pPr>
        <w:rPr>
          <w:rFonts w:ascii="Arial" w:hAnsi="Arial" w:cs="Arial"/>
          <w:sz w:val="22"/>
          <w:szCs w:val="22"/>
          <w:highlight w:val="yellow"/>
        </w:rPr>
      </w:pPr>
      <w:r w:rsidRPr="005045BF">
        <w:rPr>
          <w:noProof/>
        </w:rPr>
        <w:drawing>
          <wp:inline distT="0" distB="0" distL="0" distR="0" wp14:anchorId="02A55789" wp14:editId="1F90F134">
            <wp:extent cx="6191250" cy="1600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191250" cy="1600200"/>
                    </a:xfrm>
                    <a:prstGeom prst="rect">
                      <a:avLst/>
                    </a:prstGeom>
                  </pic:spPr>
                </pic:pic>
              </a:graphicData>
            </a:graphic>
          </wp:inline>
        </w:drawing>
      </w:r>
    </w:p>
    <w:p w14:paraId="35935936" w14:textId="14774F5B" w:rsidR="00047367" w:rsidRPr="005045BF" w:rsidRDefault="00047367" w:rsidP="008F0738">
      <w:pPr>
        <w:spacing w:line="168" w:lineRule="auto"/>
        <w:jc w:val="both"/>
        <w:rPr>
          <w:rFonts w:ascii="Arial" w:hAnsi="Arial" w:cs="Arial"/>
          <w:b/>
          <w:sz w:val="22"/>
          <w:szCs w:val="22"/>
          <w:highlight w:val="yellow"/>
        </w:rPr>
      </w:pPr>
    </w:p>
    <w:p w14:paraId="402C135A" w14:textId="4D38B973" w:rsidR="00D152C8" w:rsidRPr="005045BF" w:rsidRDefault="00CD61E2" w:rsidP="00C67E96">
      <w:pPr>
        <w:jc w:val="both"/>
        <w:rPr>
          <w:rFonts w:ascii="Arial" w:hAnsi="Arial" w:cs="Arial"/>
          <w:bCs/>
          <w:sz w:val="22"/>
          <w:szCs w:val="22"/>
        </w:rPr>
      </w:pPr>
      <w:r w:rsidRPr="005045BF">
        <w:rPr>
          <w:rFonts w:ascii="Arial" w:hAnsi="Arial" w:cs="Arial"/>
          <w:bCs/>
          <w:sz w:val="22"/>
          <w:szCs w:val="22"/>
        </w:rPr>
        <w:t xml:space="preserve">Adicional a lo anterior, </w:t>
      </w:r>
      <w:r w:rsidR="00D152C8" w:rsidRPr="005045BF">
        <w:rPr>
          <w:rFonts w:ascii="Arial" w:hAnsi="Arial" w:cs="Arial"/>
          <w:bCs/>
          <w:sz w:val="22"/>
          <w:szCs w:val="22"/>
        </w:rPr>
        <w:t xml:space="preserve">en el citado aplicativo se consultó por número de cédula de </w:t>
      </w:r>
      <w:r w:rsidR="00C67E96" w:rsidRPr="005045BF">
        <w:rPr>
          <w:rFonts w:ascii="Arial" w:hAnsi="Arial" w:cs="Arial"/>
          <w:bCs/>
          <w:sz w:val="22"/>
          <w:szCs w:val="22"/>
        </w:rPr>
        <w:t xml:space="preserve">cada uno de </w:t>
      </w:r>
      <w:r w:rsidR="00D152C8" w:rsidRPr="005045BF">
        <w:rPr>
          <w:rFonts w:ascii="Arial" w:hAnsi="Arial" w:cs="Arial"/>
          <w:bCs/>
          <w:sz w:val="22"/>
          <w:szCs w:val="22"/>
        </w:rPr>
        <w:t xml:space="preserve">los funcionarios </w:t>
      </w:r>
      <w:r w:rsidR="00C67E96" w:rsidRPr="005045BF">
        <w:rPr>
          <w:rFonts w:ascii="Arial" w:hAnsi="Arial" w:cs="Arial"/>
          <w:bCs/>
          <w:sz w:val="22"/>
          <w:szCs w:val="22"/>
        </w:rPr>
        <w:t xml:space="preserve">que </w:t>
      </w:r>
      <w:r w:rsidR="00D152C8" w:rsidRPr="005045BF">
        <w:rPr>
          <w:rFonts w:ascii="Arial" w:hAnsi="Arial" w:cs="Arial"/>
          <w:bCs/>
          <w:sz w:val="22"/>
          <w:szCs w:val="22"/>
        </w:rPr>
        <w:t>a</w:t>
      </w:r>
      <w:r w:rsidR="00C67E96" w:rsidRPr="005045BF">
        <w:rPr>
          <w:rFonts w:ascii="Arial" w:hAnsi="Arial" w:cs="Arial"/>
          <w:bCs/>
          <w:sz w:val="22"/>
          <w:szCs w:val="22"/>
        </w:rPr>
        <w:t>l</w:t>
      </w:r>
      <w:r w:rsidR="00D152C8" w:rsidRPr="005045BF">
        <w:rPr>
          <w:rFonts w:ascii="Arial" w:hAnsi="Arial" w:cs="Arial"/>
          <w:bCs/>
          <w:sz w:val="22"/>
          <w:szCs w:val="22"/>
        </w:rPr>
        <w:t xml:space="preserve"> 31 de marzo de 2020</w:t>
      </w:r>
      <w:r w:rsidR="00C67E96" w:rsidRPr="005045BF">
        <w:rPr>
          <w:rFonts w:ascii="Arial" w:hAnsi="Arial" w:cs="Arial"/>
          <w:bCs/>
          <w:sz w:val="22"/>
          <w:szCs w:val="22"/>
        </w:rPr>
        <w:t xml:space="preserve"> </w:t>
      </w:r>
      <w:r w:rsidR="00D152C8" w:rsidRPr="005045BF">
        <w:rPr>
          <w:rFonts w:ascii="Arial" w:hAnsi="Arial" w:cs="Arial"/>
          <w:bCs/>
          <w:sz w:val="22"/>
          <w:szCs w:val="22"/>
        </w:rPr>
        <w:t xml:space="preserve">desempeñaban el cargo de conductor </w:t>
      </w:r>
      <w:r w:rsidR="00C67E96" w:rsidRPr="005045BF">
        <w:rPr>
          <w:rFonts w:ascii="Arial" w:hAnsi="Arial" w:cs="Arial"/>
          <w:bCs/>
          <w:sz w:val="22"/>
          <w:szCs w:val="22"/>
        </w:rPr>
        <w:t xml:space="preserve">de los vehículos que prestan los servicios a este Ministerio, evidenciando para dos casos los siguientes comparendos: </w:t>
      </w:r>
    </w:p>
    <w:p w14:paraId="695DED23" w14:textId="535F42C9" w:rsidR="00C67E96" w:rsidRPr="005045BF" w:rsidRDefault="00C67E96" w:rsidP="008F0738">
      <w:pPr>
        <w:spacing w:line="168" w:lineRule="auto"/>
        <w:jc w:val="both"/>
        <w:rPr>
          <w:rFonts w:ascii="Arial" w:hAnsi="Arial" w:cs="Arial"/>
          <w:bCs/>
          <w:sz w:val="22"/>
          <w:szCs w:val="22"/>
        </w:rPr>
      </w:pPr>
    </w:p>
    <w:tbl>
      <w:tblPr>
        <w:tblStyle w:val="Tablaconcuadrcula1clara-nfasis1"/>
        <w:tblW w:w="0" w:type="auto"/>
        <w:tblLook w:val="04A0" w:firstRow="1" w:lastRow="0" w:firstColumn="1" w:lastColumn="0" w:noHBand="0" w:noVBand="1"/>
      </w:tblPr>
      <w:tblGrid>
        <w:gridCol w:w="1983"/>
        <w:gridCol w:w="2441"/>
        <w:gridCol w:w="1322"/>
        <w:gridCol w:w="1123"/>
        <w:gridCol w:w="1393"/>
        <w:gridCol w:w="1290"/>
      </w:tblGrid>
      <w:tr w:rsidR="008B5569" w:rsidRPr="005045BF" w14:paraId="5C1CDE51" w14:textId="77777777" w:rsidTr="008B5569">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09B78F66" w14:textId="65E991C2" w:rsidR="00A73A45" w:rsidRPr="005045BF" w:rsidRDefault="00A73A45" w:rsidP="008B5569">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Número de Cédula</w:t>
            </w:r>
          </w:p>
        </w:tc>
        <w:tc>
          <w:tcPr>
            <w:tcW w:w="2329" w:type="dxa"/>
            <w:shd w:val="clear" w:color="auto" w:fill="4F81BD" w:themeFill="accent1"/>
            <w:noWrap/>
            <w:vAlign w:val="center"/>
            <w:hideMark/>
          </w:tcPr>
          <w:p w14:paraId="6204E484" w14:textId="4C89AEBF" w:rsidR="00A73A45" w:rsidRPr="005045BF" w:rsidRDefault="00A73A45" w:rsidP="008B55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Número de Comparendo</w:t>
            </w:r>
          </w:p>
        </w:tc>
        <w:tc>
          <w:tcPr>
            <w:tcW w:w="1322" w:type="dxa"/>
            <w:shd w:val="clear" w:color="auto" w:fill="4F81BD" w:themeFill="accent1"/>
            <w:noWrap/>
            <w:vAlign w:val="center"/>
            <w:hideMark/>
          </w:tcPr>
          <w:p w14:paraId="70BF7916" w14:textId="5901A51C" w:rsidR="00A73A45" w:rsidRPr="005045BF" w:rsidRDefault="00A73A45" w:rsidP="008B55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Fecha</w:t>
            </w:r>
          </w:p>
        </w:tc>
        <w:tc>
          <w:tcPr>
            <w:tcW w:w="1123" w:type="dxa"/>
            <w:shd w:val="clear" w:color="auto" w:fill="4F81BD" w:themeFill="accent1"/>
            <w:noWrap/>
            <w:vAlign w:val="center"/>
            <w:hideMark/>
          </w:tcPr>
          <w:p w14:paraId="7C9538B9" w14:textId="2F280734" w:rsidR="00A73A45" w:rsidRPr="005045BF" w:rsidRDefault="00A73A45" w:rsidP="008B55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Placa</w:t>
            </w:r>
          </w:p>
        </w:tc>
        <w:tc>
          <w:tcPr>
            <w:tcW w:w="1393" w:type="dxa"/>
            <w:shd w:val="clear" w:color="auto" w:fill="4F81BD" w:themeFill="accent1"/>
            <w:noWrap/>
            <w:vAlign w:val="center"/>
            <w:hideMark/>
          </w:tcPr>
          <w:p w14:paraId="03AE1B9B" w14:textId="61E6D1FF" w:rsidR="00A73A45" w:rsidRPr="005045BF" w:rsidRDefault="00A73A45" w:rsidP="008B55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Código </w:t>
            </w:r>
            <w:r w:rsidR="008B5569" w:rsidRPr="005045BF">
              <w:rPr>
                <w:rFonts w:ascii="Arial" w:hAnsi="Arial" w:cs="Arial"/>
                <w:color w:val="FFFFFF" w:themeColor="background1"/>
                <w:sz w:val="20"/>
                <w:szCs w:val="20"/>
              </w:rPr>
              <w:t>Infracción</w:t>
            </w:r>
            <w:r w:rsidR="008B5569" w:rsidRPr="005045BF">
              <w:rPr>
                <w:rStyle w:val="Refdenotaalpie"/>
                <w:rFonts w:ascii="Arial" w:hAnsi="Arial" w:cs="Arial"/>
                <w:color w:val="FFFFFF" w:themeColor="background1"/>
                <w:sz w:val="20"/>
                <w:szCs w:val="20"/>
              </w:rPr>
              <w:footnoteReference w:id="7"/>
            </w:r>
          </w:p>
        </w:tc>
        <w:tc>
          <w:tcPr>
            <w:tcW w:w="1290" w:type="dxa"/>
            <w:shd w:val="clear" w:color="auto" w:fill="4F81BD" w:themeFill="accent1"/>
            <w:noWrap/>
            <w:vAlign w:val="center"/>
            <w:hideMark/>
          </w:tcPr>
          <w:p w14:paraId="4965A94D" w14:textId="55CC41E6" w:rsidR="00A73A45" w:rsidRPr="005045BF" w:rsidRDefault="00A73A45" w:rsidP="008B5569">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Valor del Multa</w:t>
            </w:r>
            <w:r w:rsidR="008B5569" w:rsidRPr="005045BF">
              <w:rPr>
                <w:rFonts w:ascii="Arial" w:hAnsi="Arial" w:cs="Arial"/>
                <w:color w:val="FFFFFF" w:themeColor="background1"/>
                <w:sz w:val="20"/>
                <w:szCs w:val="20"/>
              </w:rPr>
              <w:t xml:space="preserve"> ($)</w:t>
            </w:r>
          </w:p>
        </w:tc>
      </w:tr>
      <w:tr w:rsidR="008B5569" w:rsidRPr="005045BF" w14:paraId="2C24039A" w14:textId="77777777" w:rsidTr="008B5569">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5A89A01E" w14:textId="5A662315" w:rsidR="00A73A45" w:rsidRPr="005045BF" w:rsidRDefault="00A73A45" w:rsidP="008B5569">
            <w:pPr>
              <w:spacing w:before="60" w:after="60"/>
              <w:jc w:val="cente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79.106.693</w:t>
            </w:r>
          </w:p>
        </w:tc>
        <w:tc>
          <w:tcPr>
            <w:tcW w:w="2329" w:type="dxa"/>
            <w:noWrap/>
            <w:vAlign w:val="center"/>
            <w:hideMark/>
          </w:tcPr>
          <w:p w14:paraId="6CD07ECE" w14:textId="605675E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11001000000025237554</w:t>
            </w:r>
          </w:p>
        </w:tc>
        <w:tc>
          <w:tcPr>
            <w:tcW w:w="1322" w:type="dxa"/>
            <w:noWrap/>
            <w:vAlign w:val="center"/>
            <w:hideMark/>
          </w:tcPr>
          <w:p w14:paraId="159D91DC"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16/02/2020</w:t>
            </w:r>
          </w:p>
        </w:tc>
        <w:tc>
          <w:tcPr>
            <w:tcW w:w="1123" w:type="dxa"/>
            <w:noWrap/>
            <w:vAlign w:val="center"/>
            <w:hideMark/>
          </w:tcPr>
          <w:p w14:paraId="58F1637C"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DCF049</w:t>
            </w:r>
          </w:p>
        </w:tc>
        <w:tc>
          <w:tcPr>
            <w:tcW w:w="1393" w:type="dxa"/>
            <w:noWrap/>
            <w:vAlign w:val="center"/>
            <w:hideMark/>
          </w:tcPr>
          <w:p w14:paraId="3F827F96"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D03</w:t>
            </w:r>
          </w:p>
        </w:tc>
        <w:tc>
          <w:tcPr>
            <w:tcW w:w="1290" w:type="dxa"/>
            <w:noWrap/>
            <w:vAlign w:val="center"/>
            <w:hideMark/>
          </w:tcPr>
          <w:p w14:paraId="0C657AC8" w14:textId="52A7FF09" w:rsidR="00A73A45" w:rsidRPr="005045BF" w:rsidRDefault="00A73A45" w:rsidP="008B556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438.900</w:t>
            </w:r>
          </w:p>
        </w:tc>
      </w:tr>
      <w:tr w:rsidR="008B5569" w:rsidRPr="005045BF" w14:paraId="0C0A8253" w14:textId="77777777" w:rsidTr="008B5569">
        <w:trPr>
          <w:cantSplit/>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14:paraId="7CAB0694" w14:textId="3A65B14A" w:rsidR="00A73A45" w:rsidRPr="005045BF" w:rsidRDefault="00A73A45" w:rsidP="008B5569">
            <w:pPr>
              <w:spacing w:before="60" w:after="60"/>
              <w:jc w:val="center"/>
              <w:rPr>
                <w:rFonts w:ascii="Arial" w:hAnsi="Arial" w:cs="Arial"/>
                <w:b w:val="0"/>
                <w:bCs w:val="0"/>
                <w:color w:val="0F243E" w:themeColor="text2" w:themeShade="80"/>
                <w:sz w:val="20"/>
                <w:szCs w:val="20"/>
              </w:rPr>
            </w:pPr>
            <w:r w:rsidRPr="005045BF">
              <w:rPr>
                <w:rFonts w:ascii="Arial" w:hAnsi="Arial" w:cs="Arial"/>
                <w:b w:val="0"/>
                <w:bCs w:val="0"/>
                <w:color w:val="0F243E" w:themeColor="text2" w:themeShade="80"/>
                <w:sz w:val="20"/>
                <w:szCs w:val="20"/>
              </w:rPr>
              <w:t>11.412.510</w:t>
            </w:r>
          </w:p>
        </w:tc>
        <w:tc>
          <w:tcPr>
            <w:tcW w:w="2329" w:type="dxa"/>
            <w:noWrap/>
            <w:vAlign w:val="center"/>
            <w:hideMark/>
          </w:tcPr>
          <w:p w14:paraId="48286196" w14:textId="6FF5FD7A"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11001000000025279295</w:t>
            </w:r>
          </w:p>
        </w:tc>
        <w:tc>
          <w:tcPr>
            <w:tcW w:w="1322" w:type="dxa"/>
            <w:noWrap/>
            <w:vAlign w:val="center"/>
            <w:hideMark/>
          </w:tcPr>
          <w:p w14:paraId="5034A137"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12/03/2020</w:t>
            </w:r>
          </w:p>
        </w:tc>
        <w:tc>
          <w:tcPr>
            <w:tcW w:w="1123" w:type="dxa"/>
            <w:noWrap/>
            <w:vAlign w:val="center"/>
            <w:hideMark/>
          </w:tcPr>
          <w:p w14:paraId="0E19A023"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DWN461</w:t>
            </w:r>
          </w:p>
        </w:tc>
        <w:tc>
          <w:tcPr>
            <w:tcW w:w="1393" w:type="dxa"/>
            <w:noWrap/>
            <w:vAlign w:val="center"/>
            <w:hideMark/>
          </w:tcPr>
          <w:p w14:paraId="08211A70" w14:textId="77777777" w:rsidR="00A73A45" w:rsidRPr="005045BF" w:rsidRDefault="00A73A45" w:rsidP="008B5569">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D05</w:t>
            </w:r>
          </w:p>
        </w:tc>
        <w:tc>
          <w:tcPr>
            <w:tcW w:w="1290" w:type="dxa"/>
            <w:noWrap/>
            <w:vAlign w:val="center"/>
            <w:hideMark/>
          </w:tcPr>
          <w:p w14:paraId="78FFE53E" w14:textId="7E5E6419" w:rsidR="00A73A45" w:rsidRPr="005045BF" w:rsidRDefault="00A73A45" w:rsidP="008B5569">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438.900</w:t>
            </w:r>
          </w:p>
        </w:tc>
      </w:tr>
    </w:tbl>
    <w:p w14:paraId="576AE76B" w14:textId="51C05764" w:rsidR="007A30BE" w:rsidRPr="005045BF" w:rsidRDefault="00715771" w:rsidP="007A30BE">
      <w:pPr>
        <w:jc w:val="both"/>
        <w:rPr>
          <w:rFonts w:ascii="Arial" w:hAnsi="Arial" w:cs="Arial"/>
          <w:bCs/>
          <w:sz w:val="22"/>
          <w:szCs w:val="22"/>
        </w:rPr>
      </w:pPr>
      <w:r w:rsidRPr="005045BF">
        <w:rPr>
          <w:rFonts w:ascii="Arial" w:hAnsi="Arial" w:cs="Arial"/>
          <w:bCs/>
          <w:sz w:val="22"/>
          <w:szCs w:val="22"/>
        </w:rPr>
        <w:lastRenderedPageBreak/>
        <w:t xml:space="preserve">Sobre el particular, la Subdirección de Servicios </w:t>
      </w:r>
      <w:r w:rsidR="007A30BE" w:rsidRPr="005045BF">
        <w:rPr>
          <w:rFonts w:ascii="Arial" w:hAnsi="Arial" w:cs="Arial"/>
          <w:bCs/>
          <w:sz w:val="22"/>
          <w:szCs w:val="22"/>
        </w:rPr>
        <w:t>remitió a esta Oficina los respectivos pagos efectuados por cada uno de los conductores responsables de cumplir con la sanción administrativa, constatando que dichos pagos, correspondieron a las obligaciones derivadas de los comparendos antes relacionados</w:t>
      </w:r>
      <w:r w:rsidR="00D40BE7">
        <w:rPr>
          <w:rFonts w:ascii="Arial" w:hAnsi="Arial" w:cs="Arial"/>
          <w:bCs/>
          <w:sz w:val="22"/>
          <w:szCs w:val="22"/>
        </w:rPr>
        <w:t xml:space="preserve"> los cuales fueron realizados de forma oportuna. </w:t>
      </w:r>
      <w:r w:rsidR="007A30BE" w:rsidRPr="005045BF">
        <w:rPr>
          <w:rFonts w:ascii="Arial" w:hAnsi="Arial" w:cs="Arial"/>
          <w:bCs/>
          <w:sz w:val="22"/>
          <w:szCs w:val="22"/>
        </w:rPr>
        <w:t xml:space="preserve"> </w:t>
      </w:r>
    </w:p>
    <w:p w14:paraId="276D2820" w14:textId="77777777" w:rsidR="007A30BE" w:rsidRPr="005045BF" w:rsidRDefault="007A30BE" w:rsidP="007A30BE">
      <w:pPr>
        <w:jc w:val="both"/>
        <w:rPr>
          <w:rFonts w:ascii="Arial" w:hAnsi="Arial" w:cs="Arial"/>
          <w:bCs/>
          <w:sz w:val="22"/>
          <w:szCs w:val="22"/>
        </w:rPr>
      </w:pPr>
    </w:p>
    <w:p w14:paraId="5A500F14" w14:textId="77777777" w:rsidR="004A3EF5" w:rsidRPr="005045BF" w:rsidRDefault="004A3EF5" w:rsidP="004A3EF5">
      <w:pPr>
        <w:jc w:val="both"/>
        <w:rPr>
          <w:rFonts w:ascii="Arial" w:hAnsi="Arial" w:cs="Arial"/>
          <w:bCs/>
          <w:sz w:val="22"/>
          <w:szCs w:val="22"/>
        </w:rPr>
      </w:pPr>
      <w:r w:rsidRPr="005045BF">
        <w:rPr>
          <w:rFonts w:ascii="Arial" w:hAnsi="Arial" w:cs="Arial"/>
          <w:bCs/>
          <w:sz w:val="22"/>
          <w:szCs w:val="22"/>
        </w:rPr>
        <w:t>Aunado a lo anterior, la S</w:t>
      </w:r>
      <w:r w:rsidR="00CD61E2" w:rsidRPr="005045BF">
        <w:rPr>
          <w:rFonts w:ascii="Arial" w:hAnsi="Arial" w:cs="Arial"/>
          <w:bCs/>
          <w:sz w:val="22"/>
          <w:szCs w:val="22"/>
        </w:rPr>
        <w:t>ubdirección de servicios</w:t>
      </w:r>
      <w:r w:rsidRPr="005045BF">
        <w:rPr>
          <w:rFonts w:ascii="Arial" w:hAnsi="Arial" w:cs="Arial"/>
          <w:bCs/>
          <w:sz w:val="22"/>
          <w:szCs w:val="22"/>
        </w:rPr>
        <w:t xml:space="preserve"> informó que tiene definido como control, </w:t>
      </w:r>
      <w:r w:rsidR="00CD61E2" w:rsidRPr="005045BF">
        <w:rPr>
          <w:rFonts w:ascii="Arial" w:hAnsi="Arial" w:cs="Arial"/>
          <w:bCs/>
          <w:sz w:val="22"/>
          <w:szCs w:val="22"/>
        </w:rPr>
        <w:t>efect</w:t>
      </w:r>
      <w:r w:rsidRPr="005045BF">
        <w:rPr>
          <w:rFonts w:ascii="Arial" w:hAnsi="Arial" w:cs="Arial"/>
          <w:bCs/>
          <w:sz w:val="22"/>
          <w:szCs w:val="22"/>
        </w:rPr>
        <w:t xml:space="preserve">uar </w:t>
      </w:r>
      <w:r w:rsidR="00CD61E2" w:rsidRPr="005045BF">
        <w:rPr>
          <w:rFonts w:ascii="Arial" w:hAnsi="Arial" w:cs="Arial"/>
          <w:bCs/>
          <w:sz w:val="22"/>
          <w:szCs w:val="22"/>
        </w:rPr>
        <w:t>un seguimiento mensual del estado de comparendos de los conductores de la Entidad y requiere a los</w:t>
      </w:r>
      <w:r w:rsidRPr="005045BF">
        <w:rPr>
          <w:rFonts w:ascii="Arial" w:hAnsi="Arial" w:cs="Arial"/>
          <w:bCs/>
          <w:sz w:val="22"/>
          <w:szCs w:val="22"/>
        </w:rPr>
        <w:t xml:space="preserve"> responsables de los mismos cuando es el caso, </w:t>
      </w:r>
      <w:r w:rsidR="00CD61E2" w:rsidRPr="005045BF">
        <w:rPr>
          <w:rFonts w:ascii="Arial" w:hAnsi="Arial" w:cs="Arial"/>
          <w:bCs/>
          <w:sz w:val="22"/>
          <w:szCs w:val="22"/>
        </w:rPr>
        <w:t xml:space="preserve">remitir la certificación de pago y con ello el estado de paz y salvo. </w:t>
      </w:r>
    </w:p>
    <w:p w14:paraId="00870782" w14:textId="77777777" w:rsidR="004A3EF5" w:rsidRPr="005045BF" w:rsidRDefault="004A3EF5" w:rsidP="009D1713">
      <w:pPr>
        <w:rPr>
          <w:rFonts w:ascii="Arial" w:hAnsi="Arial" w:cs="Arial"/>
          <w:bCs/>
          <w:sz w:val="22"/>
          <w:szCs w:val="22"/>
        </w:rPr>
      </w:pPr>
    </w:p>
    <w:p w14:paraId="3EBE0319" w14:textId="19A928B7" w:rsidR="00103485" w:rsidRPr="005045BF" w:rsidRDefault="00407872" w:rsidP="00EA6DEE">
      <w:pPr>
        <w:jc w:val="both"/>
        <w:rPr>
          <w:rFonts w:ascii="Arial" w:hAnsi="Arial" w:cs="Arial"/>
          <w:bCs/>
          <w:sz w:val="22"/>
          <w:szCs w:val="22"/>
        </w:rPr>
      </w:pPr>
      <w:r w:rsidRPr="005045BF">
        <w:rPr>
          <w:rFonts w:ascii="Arial" w:hAnsi="Arial" w:cs="Arial"/>
          <w:bCs/>
          <w:sz w:val="22"/>
          <w:szCs w:val="22"/>
        </w:rPr>
        <w:t xml:space="preserve">En conclusión, </w:t>
      </w:r>
      <w:r w:rsidR="005D1901" w:rsidRPr="005045BF">
        <w:rPr>
          <w:rFonts w:ascii="Arial" w:hAnsi="Arial" w:cs="Arial"/>
          <w:bCs/>
          <w:sz w:val="22"/>
          <w:szCs w:val="22"/>
        </w:rPr>
        <w:t xml:space="preserve">la Oficina de Control Interno </w:t>
      </w:r>
      <w:r w:rsidRPr="005045BF">
        <w:rPr>
          <w:rFonts w:ascii="Arial" w:hAnsi="Arial" w:cs="Arial"/>
          <w:bCs/>
          <w:sz w:val="22"/>
          <w:szCs w:val="22"/>
        </w:rPr>
        <w:t xml:space="preserve">evidenció que </w:t>
      </w:r>
      <w:r w:rsidR="00EA6DEE" w:rsidRPr="005045BF">
        <w:rPr>
          <w:rFonts w:ascii="Arial" w:hAnsi="Arial" w:cs="Arial"/>
          <w:bCs/>
          <w:sz w:val="22"/>
          <w:szCs w:val="22"/>
        </w:rPr>
        <w:t>las multas derivadas de los comparendos aplicados durante</w:t>
      </w:r>
      <w:r w:rsidR="00CD61E2" w:rsidRPr="005045BF">
        <w:rPr>
          <w:rFonts w:ascii="Arial" w:hAnsi="Arial" w:cs="Arial"/>
          <w:bCs/>
          <w:sz w:val="22"/>
          <w:szCs w:val="22"/>
        </w:rPr>
        <w:t xml:space="preserve"> el primer trimestre de la vigencia 2020,</w:t>
      </w:r>
      <w:r w:rsidR="00EA6DEE" w:rsidRPr="005045BF">
        <w:rPr>
          <w:rFonts w:ascii="Arial" w:hAnsi="Arial" w:cs="Arial"/>
          <w:bCs/>
          <w:sz w:val="22"/>
          <w:szCs w:val="22"/>
        </w:rPr>
        <w:t xml:space="preserve"> se encuentran al día en los pagos de la respectiva sanción</w:t>
      </w:r>
      <w:r w:rsidR="005D1901" w:rsidRPr="005045BF">
        <w:rPr>
          <w:rFonts w:ascii="Arial" w:hAnsi="Arial" w:cs="Arial"/>
          <w:bCs/>
          <w:sz w:val="22"/>
          <w:szCs w:val="22"/>
        </w:rPr>
        <w:t xml:space="preserve">, los cuales fueron asumidos por los conductores de los vehículos a cargo. </w:t>
      </w:r>
    </w:p>
    <w:p w14:paraId="2C93E069" w14:textId="77777777" w:rsidR="00103485" w:rsidRPr="005045BF" w:rsidRDefault="00103485" w:rsidP="00206CEE">
      <w:pPr>
        <w:rPr>
          <w:rFonts w:ascii="Arial" w:hAnsi="Arial" w:cs="Arial"/>
          <w:b/>
          <w:sz w:val="22"/>
          <w:szCs w:val="22"/>
          <w:highlight w:val="yellow"/>
        </w:rPr>
      </w:pPr>
    </w:p>
    <w:p w14:paraId="64604E84" w14:textId="77777777" w:rsidR="0034559A" w:rsidRPr="005045BF" w:rsidRDefault="0034559A" w:rsidP="00206CEE">
      <w:pPr>
        <w:rPr>
          <w:rFonts w:ascii="Arial" w:hAnsi="Arial" w:cs="Arial"/>
          <w:b/>
          <w:sz w:val="22"/>
          <w:szCs w:val="22"/>
          <w:highlight w:val="yellow"/>
        </w:rPr>
      </w:pPr>
    </w:p>
    <w:p w14:paraId="529E840A" w14:textId="752207D4" w:rsidR="00D907D8" w:rsidRPr="005045BF" w:rsidRDefault="00CA0518" w:rsidP="00206CEE">
      <w:pPr>
        <w:rPr>
          <w:rFonts w:ascii="Arial" w:hAnsi="Arial" w:cs="Arial"/>
          <w:b/>
          <w:sz w:val="22"/>
          <w:szCs w:val="22"/>
        </w:rPr>
      </w:pPr>
      <w:r w:rsidRPr="005045BF">
        <w:rPr>
          <w:rFonts w:ascii="Arial" w:hAnsi="Arial" w:cs="Arial"/>
          <w:b/>
          <w:sz w:val="22"/>
          <w:szCs w:val="22"/>
        </w:rPr>
        <w:t xml:space="preserve">5.1 </w:t>
      </w:r>
      <w:r w:rsidR="00B95188" w:rsidRPr="005045BF">
        <w:rPr>
          <w:rFonts w:ascii="Arial" w:hAnsi="Arial" w:cs="Arial"/>
          <w:b/>
          <w:sz w:val="22"/>
          <w:szCs w:val="22"/>
        </w:rPr>
        <w:t>MANTENIMIENTO PARQUE AUTOMOTOR</w:t>
      </w:r>
    </w:p>
    <w:p w14:paraId="263C6048" w14:textId="77777777" w:rsidR="00E85E89" w:rsidRPr="005045BF" w:rsidRDefault="00E85E89" w:rsidP="00206CEE">
      <w:pPr>
        <w:rPr>
          <w:rFonts w:ascii="Arial" w:hAnsi="Arial" w:cs="Arial"/>
          <w:b/>
          <w:sz w:val="22"/>
          <w:szCs w:val="22"/>
        </w:rPr>
      </w:pPr>
    </w:p>
    <w:p w14:paraId="754677A1" w14:textId="2C86AD68" w:rsidR="00C648A3" w:rsidRPr="005045BF" w:rsidRDefault="00D907D8" w:rsidP="00C648A3">
      <w:pPr>
        <w:jc w:val="both"/>
        <w:rPr>
          <w:rFonts w:ascii="Arial" w:hAnsi="Arial" w:cs="Arial"/>
          <w:sz w:val="22"/>
          <w:szCs w:val="22"/>
        </w:rPr>
      </w:pPr>
      <w:r w:rsidRPr="005045BF">
        <w:rPr>
          <w:rFonts w:ascii="Arial" w:hAnsi="Arial" w:cs="Arial"/>
          <w:sz w:val="22"/>
          <w:szCs w:val="22"/>
        </w:rPr>
        <w:t>El Ministerio de Hacienda y Crédito Público a 3</w:t>
      </w:r>
      <w:r w:rsidR="00D3619B" w:rsidRPr="005045BF">
        <w:rPr>
          <w:rFonts w:ascii="Arial" w:hAnsi="Arial" w:cs="Arial"/>
          <w:sz w:val="22"/>
          <w:szCs w:val="22"/>
        </w:rPr>
        <w:t>1</w:t>
      </w:r>
      <w:r w:rsidRPr="005045BF">
        <w:rPr>
          <w:rFonts w:ascii="Arial" w:hAnsi="Arial" w:cs="Arial"/>
          <w:sz w:val="22"/>
          <w:szCs w:val="22"/>
        </w:rPr>
        <w:t xml:space="preserve"> de </w:t>
      </w:r>
      <w:r w:rsidR="00750FB1" w:rsidRPr="005045BF">
        <w:rPr>
          <w:rFonts w:ascii="Arial" w:hAnsi="Arial" w:cs="Arial"/>
          <w:sz w:val="22"/>
          <w:szCs w:val="22"/>
        </w:rPr>
        <w:t xml:space="preserve">marzo </w:t>
      </w:r>
      <w:r w:rsidR="00D3619B" w:rsidRPr="005045BF">
        <w:rPr>
          <w:rFonts w:ascii="Arial" w:hAnsi="Arial" w:cs="Arial"/>
          <w:sz w:val="22"/>
          <w:szCs w:val="22"/>
        </w:rPr>
        <w:t>d</w:t>
      </w:r>
      <w:r w:rsidRPr="005045BF">
        <w:rPr>
          <w:rFonts w:ascii="Arial" w:hAnsi="Arial" w:cs="Arial"/>
          <w:sz w:val="22"/>
          <w:szCs w:val="22"/>
        </w:rPr>
        <w:t>e 20</w:t>
      </w:r>
      <w:r w:rsidR="00750FB1" w:rsidRPr="005045BF">
        <w:rPr>
          <w:rFonts w:ascii="Arial" w:hAnsi="Arial" w:cs="Arial"/>
          <w:sz w:val="22"/>
          <w:szCs w:val="22"/>
        </w:rPr>
        <w:t>20</w:t>
      </w:r>
      <w:r w:rsidRPr="005045BF">
        <w:rPr>
          <w:rFonts w:ascii="Arial" w:hAnsi="Arial" w:cs="Arial"/>
          <w:sz w:val="22"/>
          <w:szCs w:val="22"/>
        </w:rPr>
        <w:t xml:space="preserve">, </w:t>
      </w:r>
      <w:r w:rsidR="00C648A3" w:rsidRPr="005045BF">
        <w:rPr>
          <w:rFonts w:ascii="Arial" w:hAnsi="Arial" w:cs="Arial"/>
          <w:sz w:val="22"/>
          <w:szCs w:val="22"/>
        </w:rPr>
        <w:t xml:space="preserve">contaba con </w:t>
      </w:r>
      <w:r w:rsidR="00AA08FD" w:rsidRPr="005045BF">
        <w:rPr>
          <w:rFonts w:ascii="Arial" w:hAnsi="Arial" w:cs="Arial"/>
          <w:sz w:val="22"/>
          <w:szCs w:val="22"/>
        </w:rPr>
        <w:t>2</w:t>
      </w:r>
      <w:r w:rsidR="00987ABD" w:rsidRPr="005045BF">
        <w:rPr>
          <w:rFonts w:ascii="Arial" w:hAnsi="Arial" w:cs="Arial"/>
          <w:sz w:val="22"/>
          <w:szCs w:val="22"/>
        </w:rPr>
        <w:t>7</w:t>
      </w:r>
      <w:r w:rsidR="00AA08FD" w:rsidRPr="005045BF">
        <w:rPr>
          <w:rFonts w:ascii="Arial" w:hAnsi="Arial" w:cs="Arial"/>
          <w:sz w:val="22"/>
          <w:szCs w:val="22"/>
        </w:rPr>
        <w:t xml:space="preserve"> vehículos para cumplir con las funciones de traslado de funcionarios </w:t>
      </w:r>
      <w:r w:rsidR="00C601C5" w:rsidRPr="005045BF">
        <w:rPr>
          <w:rFonts w:ascii="Arial" w:hAnsi="Arial" w:cs="Arial"/>
          <w:sz w:val="22"/>
          <w:szCs w:val="22"/>
        </w:rPr>
        <w:t>de</w:t>
      </w:r>
      <w:r w:rsidR="00D86160" w:rsidRPr="005045BF">
        <w:rPr>
          <w:rFonts w:ascii="Arial" w:hAnsi="Arial" w:cs="Arial"/>
          <w:sz w:val="22"/>
          <w:szCs w:val="22"/>
        </w:rPr>
        <w:t>l</w:t>
      </w:r>
      <w:r w:rsidR="00C601C5" w:rsidRPr="005045BF">
        <w:rPr>
          <w:rFonts w:ascii="Arial" w:hAnsi="Arial" w:cs="Arial"/>
          <w:sz w:val="22"/>
          <w:szCs w:val="22"/>
        </w:rPr>
        <w:t xml:space="preserve"> nivel </w:t>
      </w:r>
      <w:r w:rsidR="00AA08FD" w:rsidRPr="005045BF">
        <w:rPr>
          <w:rFonts w:ascii="Arial" w:hAnsi="Arial" w:cs="Arial"/>
          <w:sz w:val="22"/>
          <w:szCs w:val="22"/>
        </w:rPr>
        <w:t>directivo, operativos y esquema de seguridad. Es de precisar, de los 2</w:t>
      </w:r>
      <w:r w:rsidR="00987ABD" w:rsidRPr="005045BF">
        <w:rPr>
          <w:rFonts w:ascii="Arial" w:hAnsi="Arial" w:cs="Arial"/>
          <w:sz w:val="22"/>
          <w:szCs w:val="22"/>
        </w:rPr>
        <w:t>7</w:t>
      </w:r>
      <w:r w:rsidR="00D3619B" w:rsidRPr="005045BF">
        <w:rPr>
          <w:rFonts w:ascii="Arial" w:hAnsi="Arial" w:cs="Arial"/>
          <w:sz w:val="22"/>
          <w:szCs w:val="22"/>
        </w:rPr>
        <w:t xml:space="preserve"> vehículos, </w:t>
      </w:r>
      <w:r w:rsidR="00987ABD" w:rsidRPr="005045BF">
        <w:rPr>
          <w:rFonts w:ascii="Arial" w:hAnsi="Arial" w:cs="Arial"/>
          <w:sz w:val="22"/>
          <w:szCs w:val="22"/>
        </w:rPr>
        <w:t>5</w:t>
      </w:r>
      <w:r w:rsidR="00AA08FD" w:rsidRPr="005045BF">
        <w:rPr>
          <w:rFonts w:ascii="Arial" w:hAnsi="Arial" w:cs="Arial"/>
          <w:sz w:val="22"/>
          <w:szCs w:val="22"/>
        </w:rPr>
        <w:t xml:space="preserve"> de ellos, pertenecen a la Unidad Nacional de Protección</w:t>
      </w:r>
      <w:r w:rsidR="00C601C5" w:rsidRPr="005045BF">
        <w:rPr>
          <w:rFonts w:ascii="Arial" w:hAnsi="Arial" w:cs="Arial"/>
          <w:sz w:val="22"/>
          <w:szCs w:val="22"/>
        </w:rPr>
        <w:t xml:space="preserve"> (UNP)</w:t>
      </w:r>
      <w:r w:rsidR="00AA08FD" w:rsidRPr="005045BF">
        <w:rPr>
          <w:rFonts w:ascii="Arial" w:hAnsi="Arial" w:cs="Arial"/>
          <w:sz w:val="22"/>
          <w:szCs w:val="22"/>
        </w:rPr>
        <w:t xml:space="preserve">, los cuales son utilizados para el esquema de seguridad del Ministro y Viceministro General. </w:t>
      </w:r>
      <w:r w:rsidR="00B94346" w:rsidRPr="005045BF">
        <w:rPr>
          <w:rFonts w:ascii="Arial" w:hAnsi="Arial" w:cs="Arial"/>
          <w:sz w:val="22"/>
          <w:szCs w:val="22"/>
        </w:rPr>
        <w:t xml:space="preserve"> </w:t>
      </w:r>
    </w:p>
    <w:p w14:paraId="2B6854A6" w14:textId="61651A1F" w:rsidR="00D907D8" w:rsidRPr="005045BF" w:rsidRDefault="00B44404" w:rsidP="00C648A3">
      <w:pPr>
        <w:jc w:val="both"/>
        <w:rPr>
          <w:rFonts w:ascii="Arial" w:hAnsi="Arial" w:cs="Arial"/>
          <w:sz w:val="22"/>
          <w:szCs w:val="22"/>
        </w:rPr>
      </w:pPr>
      <w:r w:rsidRPr="005045BF">
        <w:rPr>
          <w:noProof/>
          <w:lang w:eastAsia="en-US"/>
        </w:rPr>
        <w:drawing>
          <wp:inline distT="0" distB="0" distL="0" distR="0" wp14:anchorId="0B6F675C" wp14:editId="1E1F03F4">
            <wp:extent cx="5972175" cy="4067175"/>
            <wp:effectExtent l="0" t="57150" r="0" b="85725"/>
            <wp:docPr id="85" name="Diagrama 85">
              <a:extLst xmlns:a="http://schemas.openxmlformats.org/drawingml/2006/main">
                <a:ext uri="{FF2B5EF4-FFF2-40B4-BE49-F238E27FC236}">
                  <a16:creationId xmlns:a16="http://schemas.microsoft.com/office/drawing/2014/main" id="{B9FAD0C8-C23C-48F3-AC19-6575CD3A18C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7929BEF0" w14:textId="77777777" w:rsidR="00774C4D" w:rsidRPr="005045BF" w:rsidRDefault="00774C4D" w:rsidP="00C648A3">
      <w:pPr>
        <w:jc w:val="both"/>
        <w:rPr>
          <w:rFonts w:ascii="Arial" w:hAnsi="Arial" w:cs="Arial"/>
          <w:sz w:val="22"/>
          <w:szCs w:val="22"/>
        </w:rPr>
      </w:pPr>
      <w:bookmarkStart w:id="5" w:name="_Hlk35934953"/>
    </w:p>
    <w:p w14:paraId="56AD35FE" w14:textId="7E756828" w:rsidR="00D907D8" w:rsidRPr="005045BF" w:rsidRDefault="00D907D8" w:rsidP="00C648A3">
      <w:pPr>
        <w:jc w:val="both"/>
        <w:rPr>
          <w:rFonts w:ascii="Arial" w:hAnsi="Arial" w:cs="Arial"/>
          <w:sz w:val="22"/>
          <w:szCs w:val="22"/>
        </w:rPr>
      </w:pPr>
      <w:r w:rsidRPr="005045BF">
        <w:rPr>
          <w:rFonts w:ascii="Arial" w:hAnsi="Arial" w:cs="Arial"/>
          <w:sz w:val="22"/>
          <w:szCs w:val="22"/>
        </w:rPr>
        <w:t xml:space="preserve">Para el mantenimiento </w:t>
      </w:r>
      <w:r w:rsidR="00DC5504" w:rsidRPr="005045BF">
        <w:rPr>
          <w:rFonts w:ascii="Arial" w:hAnsi="Arial" w:cs="Arial"/>
          <w:sz w:val="22"/>
          <w:szCs w:val="22"/>
        </w:rPr>
        <w:t>básico, preventivo y correctivo de los vehículos al servicio d</w:t>
      </w:r>
      <w:r w:rsidR="00C648A3" w:rsidRPr="005045BF">
        <w:rPr>
          <w:rFonts w:ascii="Arial" w:hAnsi="Arial" w:cs="Arial"/>
          <w:sz w:val="22"/>
          <w:szCs w:val="22"/>
        </w:rPr>
        <w:t>el Ministerio de Hacienda y Crédito público</w:t>
      </w:r>
      <w:r w:rsidR="00DC5504" w:rsidRPr="005045BF">
        <w:rPr>
          <w:rFonts w:ascii="Arial" w:hAnsi="Arial" w:cs="Arial"/>
          <w:sz w:val="22"/>
          <w:szCs w:val="22"/>
        </w:rPr>
        <w:t xml:space="preserve">, </w:t>
      </w:r>
      <w:r w:rsidR="00F34BE5" w:rsidRPr="005045BF">
        <w:rPr>
          <w:rFonts w:ascii="Arial" w:hAnsi="Arial" w:cs="Arial"/>
          <w:sz w:val="22"/>
          <w:szCs w:val="22"/>
        </w:rPr>
        <w:t xml:space="preserve">a 31 de </w:t>
      </w:r>
      <w:r w:rsidR="00DC5504" w:rsidRPr="005045BF">
        <w:rPr>
          <w:rFonts w:ascii="Arial" w:hAnsi="Arial" w:cs="Arial"/>
          <w:sz w:val="22"/>
          <w:szCs w:val="22"/>
        </w:rPr>
        <w:t xml:space="preserve">marzo </w:t>
      </w:r>
      <w:r w:rsidR="009538E3" w:rsidRPr="005045BF">
        <w:rPr>
          <w:rFonts w:ascii="Arial" w:hAnsi="Arial" w:cs="Arial"/>
          <w:sz w:val="22"/>
          <w:szCs w:val="22"/>
        </w:rPr>
        <w:t>de 20</w:t>
      </w:r>
      <w:r w:rsidR="00DC5504" w:rsidRPr="005045BF">
        <w:rPr>
          <w:rFonts w:ascii="Arial" w:hAnsi="Arial" w:cs="Arial"/>
          <w:sz w:val="22"/>
          <w:szCs w:val="22"/>
        </w:rPr>
        <w:t>20</w:t>
      </w:r>
      <w:r w:rsidR="009538E3" w:rsidRPr="005045BF">
        <w:rPr>
          <w:rFonts w:ascii="Arial" w:hAnsi="Arial" w:cs="Arial"/>
          <w:sz w:val="22"/>
          <w:szCs w:val="22"/>
        </w:rPr>
        <w:t xml:space="preserve"> </w:t>
      </w:r>
      <w:r w:rsidR="00DC5504" w:rsidRPr="005045BF">
        <w:rPr>
          <w:rFonts w:ascii="Arial" w:hAnsi="Arial" w:cs="Arial"/>
          <w:sz w:val="22"/>
          <w:szCs w:val="22"/>
        </w:rPr>
        <w:t xml:space="preserve">estaban </w:t>
      </w:r>
      <w:r w:rsidR="009538E3" w:rsidRPr="005045BF">
        <w:rPr>
          <w:rFonts w:ascii="Arial" w:hAnsi="Arial" w:cs="Arial"/>
          <w:sz w:val="22"/>
          <w:szCs w:val="22"/>
        </w:rPr>
        <w:t xml:space="preserve">vigentes </w:t>
      </w:r>
      <w:r w:rsidR="00DC59F9" w:rsidRPr="005045BF">
        <w:rPr>
          <w:rFonts w:ascii="Arial" w:hAnsi="Arial" w:cs="Arial"/>
          <w:sz w:val="22"/>
          <w:szCs w:val="22"/>
        </w:rPr>
        <w:t>los siguientes contratos</w:t>
      </w:r>
      <w:r w:rsidR="00DC5504" w:rsidRPr="005045BF">
        <w:rPr>
          <w:rFonts w:ascii="Arial" w:hAnsi="Arial" w:cs="Arial"/>
          <w:sz w:val="22"/>
          <w:szCs w:val="22"/>
        </w:rPr>
        <w:t>:</w:t>
      </w:r>
    </w:p>
    <w:bookmarkEnd w:id="5"/>
    <w:p w14:paraId="5D5013CA" w14:textId="6414185A" w:rsidR="001D6EAF" w:rsidRPr="005045BF" w:rsidRDefault="001D6EAF" w:rsidP="00C648A3">
      <w:pPr>
        <w:jc w:val="both"/>
        <w:rPr>
          <w:rFonts w:ascii="Arial" w:hAnsi="Arial" w:cs="Arial"/>
          <w:sz w:val="22"/>
          <w:szCs w:val="22"/>
          <w:highlight w:val="yellow"/>
        </w:rPr>
      </w:pPr>
    </w:p>
    <w:tbl>
      <w:tblPr>
        <w:tblStyle w:val="Tablaconcuadrcula1clara-nfasis1"/>
        <w:tblW w:w="9634" w:type="dxa"/>
        <w:tblLayout w:type="fixed"/>
        <w:tblLook w:val="04A0" w:firstRow="1" w:lastRow="0" w:firstColumn="1" w:lastColumn="0" w:noHBand="0" w:noVBand="1"/>
      </w:tblPr>
      <w:tblGrid>
        <w:gridCol w:w="1063"/>
        <w:gridCol w:w="1484"/>
        <w:gridCol w:w="1417"/>
        <w:gridCol w:w="2552"/>
        <w:gridCol w:w="1701"/>
        <w:gridCol w:w="1417"/>
      </w:tblGrid>
      <w:tr w:rsidR="00EA6FE5" w:rsidRPr="005045BF" w14:paraId="29F9B249" w14:textId="77777777" w:rsidTr="000273DC">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063" w:type="dxa"/>
            <w:shd w:val="clear" w:color="auto" w:fill="4F81BD" w:themeFill="accent1"/>
            <w:vAlign w:val="center"/>
            <w:hideMark/>
          </w:tcPr>
          <w:p w14:paraId="053D985F" w14:textId="55E8DCF5" w:rsidR="00EA6FE5" w:rsidRPr="005045BF" w:rsidRDefault="00EA6FE5" w:rsidP="000273DC">
            <w:pPr>
              <w:spacing w:before="80" w:after="80"/>
              <w:jc w:val="center"/>
              <w:rPr>
                <w:rFonts w:ascii="Arial" w:hAnsi="Arial" w:cs="Arial"/>
                <w:color w:val="FFFFFF" w:themeColor="background1"/>
                <w:sz w:val="20"/>
                <w:szCs w:val="20"/>
                <w:lang w:eastAsia="en-US"/>
              </w:rPr>
            </w:pPr>
            <w:r w:rsidRPr="005045BF">
              <w:rPr>
                <w:rFonts w:ascii="Arial" w:hAnsi="Arial" w:cs="Arial"/>
                <w:sz w:val="22"/>
                <w:szCs w:val="22"/>
              </w:rPr>
              <w:lastRenderedPageBreak/>
              <w:br w:type="page"/>
            </w:r>
            <w:r w:rsidRPr="005045BF">
              <w:rPr>
                <w:rFonts w:ascii="Arial" w:hAnsi="Arial" w:cs="Arial"/>
                <w:color w:val="FFFFFF" w:themeColor="background1"/>
                <w:sz w:val="20"/>
                <w:szCs w:val="20"/>
                <w:lang w:eastAsia="en-US"/>
              </w:rPr>
              <w:t>Número Contrato</w:t>
            </w:r>
          </w:p>
        </w:tc>
        <w:tc>
          <w:tcPr>
            <w:tcW w:w="1484" w:type="dxa"/>
            <w:shd w:val="clear" w:color="auto" w:fill="4F81BD" w:themeFill="accent1"/>
            <w:vAlign w:val="center"/>
            <w:hideMark/>
          </w:tcPr>
          <w:p w14:paraId="270B395F" w14:textId="77777777" w:rsidR="00EA6FE5" w:rsidRPr="005045BF"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 xml:space="preserve">Contratista </w:t>
            </w:r>
          </w:p>
        </w:tc>
        <w:tc>
          <w:tcPr>
            <w:tcW w:w="1417" w:type="dxa"/>
            <w:shd w:val="clear" w:color="auto" w:fill="4F81BD" w:themeFill="accent1"/>
            <w:vAlign w:val="center"/>
            <w:hideMark/>
          </w:tcPr>
          <w:p w14:paraId="74A4C893" w14:textId="69CD1009" w:rsidR="00EA6FE5" w:rsidRPr="005045BF"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Valor del Contrato</w:t>
            </w:r>
            <w:r w:rsidR="00F34BE5" w:rsidRPr="005045BF">
              <w:rPr>
                <w:rFonts w:ascii="Arial" w:hAnsi="Arial" w:cs="Arial"/>
                <w:color w:val="FFFFFF" w:themeColor="background1"/>
                <w:sz w:val="20"/>
                <w:szCs w:val="20"/>
                <w:lang w:eastAsia="en-US"/>
              </w:rPr>
              <w:t xml:space="preserve"> ($)</w:t>
            </w:r>
          </w:p>
        </w:tc>
        <w:tc>
          <w:tcPr>
            <w:tcW w:w="2552" w:type="dxa"/>
            <w:shd w:val="clear" w:color="auto" w:fill="4F81BD" w:themeFill="accent1"/>
            <w:vAlign w:val="center"/>
            <w:hideMark/>
          </w:tcPr>
          <w:p w14:paraId="70AFB226" w14:textId="77777777" w:rsidR="00EA6FE5" w:rsidRPr="005045BF"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 xml:space="preserve">Objeto </w:t>
            </w:r>
          </w:p>
        </w:tc>
        <w:tc>
          <w:tcPr>
            <w:tcW w:w="1701" w:type="dxa"/>
            <w:shd w:val="clear" w:color="auto" w:fill="4F81BD" w:themeFill="accent1"/>
            <w:vAlign w:val="center"/>
            <w:hideMark/>
          </w:tcPr>
          <w:p w14:paraId="1F525AA9" w14:textId="41C7EEAD" w:rsidR="00EA6FE5" w:rsidRPr="005045BF"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Fecha de Suscripción</w:t>
            </w:r>
          </w:p>
        </w:tc>
        <w:tc>
          <w:tcPr>
            <w:tcW w:w="1417" w:type="dxa"/>
            <w:shd w:val="clear" w:color="auto" w:fill="4F81BD" w:themeFill="accent1"/>
            <w:vAlign w:val="center"/>
            <w:hideMark/>
          </w:tcPr>
          <w:p w14:paraId="356CCCCD" w14:textId="77777777" w:rsidR="00EA6FE5" w:rsidRPr="005045BF" w:rsidRDefault="00EA6FE5" w:rsidP="000273DC">
            <w:pPr>
              <w:spacing w:before="8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 xml:space="preserve">Fecha de Terminación </w:t>
            </w:r>
          </w:p>
        </w:tc>
      </w:tr>
      <w:tr w:rsidR="00EE586C" w:rsidRPr="005045BF" w14:paraId="67B6A5A1" w14:textId="77777777" w:rsidTr="000273DC">
        <w:trPr>
          <w:trHeight w:val="51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B395DE1" w14:textId="43D17C13" w:rsidR="00EE586C" w:rsidRPr="005045BF" w:rsidRDefault="00EE586C" w:rsidP="000273DC">
            <w:pPr>
              <w:spacing w:before="80" w:after="80"/>
              <w:jc w:val="center"/>
              <w:rPr>
                <w:rFonts w:ascii="Arial" w:hAnsi="Arial" w:cs="Arial"/>
                <w:color w:val="0F243E" w:themeColor="text2" w:themeShade="80"/>
                <w:sz w:val="20"/>
                <w:szCs w:val="20"/>
                <w:lang w:eastAsia="en-US"/>
              </w:rPr>
            </w:pPr>
            <w:r w:rsidRPr="005045BF">
              <w:rPr>
                <w:rFonts w:ascii="Arial" w:hAnsi="Arial" w:cs="Arial"/>
                <w:b w:val="0"/>
                <w:bCs w:val="0"/>
                <w:color w:val="0F243E" w:themeColor="text2" w:themeShade="80"/>
                <w:sz w:val="20"/>
                <w:szCs w:val="20"/>
              </w:rPr>
              <w:t>3.119-2020</w:t>
            </w:r>
          </w:p>
        </w:tc>
        <w:tc>
          <w:tcPr>
            <w:tcW w:w="1484" w:type="dxa"/>
            <w:vAlign w:val="center"/>
          </w:tcPr>
          <w:p w14:paraId="12D365E5" w14:textId="5691BDD7"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CARCO S.A</w:t>
            </w:r>
          </w:p>
        </w:tc>
        <w:tc>
          <w:tcPr>
            <w:tcW w:w="1417" w:type="dxa"/>
            <w:vAlign w:val="center"/>
          </w:tcPr>
          <w:p w14:paraId="52F8BE0F" w14:textId="302CD240"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28.000.000</w:t>
            </w:r>
          </w:p>
        </w:tc>
        <w:tc>
          <w:tcPr>
            <w:tcW w:w="2552" w:type="dxa"/>
            <w:vAlign w:val="center"/>
          </w:tcPr>
          <w:p w14:paraId="2BA0244F" w14:textId="4EB2EF5A" w:rsidR="00EE586C" w:rsidRPr="005045BF"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Mantenimiento preventivo y correctivo para los vehículos de marca Toyota</w:t>
            </w:r>
            <w:r w:rsidR="000273DC" w:rsidRPr="005045BF">
              <w:rPr>
                <w:rFonts w:ascii="Arial" w:hAnsi="Arial" w:cs="Arial"/>
                <w:color w:val="0F243E" w:themeColor="text2" w:themeShade="80"/>
                <w:sz w:val="20"/>
                <w:szCs w:val="20"/>
              </w:rPr>
              <w:t>.</w:t>
            </w:r>
          </w:p>
        </w:tc>
        <w:tc>
          <w:tcPr>
            <w:tcW w:w="1701" w:type="dxa"/>
            <w:vAlign w:val="center"/>
          </w:tcPr>
          <w:p w14:paraId="399DC2E4" w14:textId="5B10A2E0"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20/02/2020</w:t>
            </w:r>
          </w:p>
        </w:tc>
        <w:tc>
          <w:tcPr>
            <w:tcW w:w="1417" w:type="dxa"/>
            <w:vAlign w:val="center"/>
          </w:tcPr>
          <w:p w14:paraId="744A76A6" w14:textId="28456164"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30/11/2020</w:t>
            </w:r>
          </w:p>
        </w:tc>
      </w:tr>
      <w:tr w:rsidR="00EE586C" w:rsidRPr="005045BF" w14:paraId="767B499F" w14:textId="77777777" w:rsidTr="000273DC">
        <w:trPr>
          <w:trHeight w:val="102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64FCFDE8" w14:textId="08B5F008" w:rsidR="00EE586C" w:rsidRPr="005045BF" w:rsidRDefault="00EE586C" w:rsidP="000273DC">
            <w:pPr>
              <w:spacing w:before="80" w:after="80"/>
              <w:jc w:val="center"/>
              <w:rPr>
                <w:rFonts w:ascii="Arial" w:hAnsi="Arial" w:cs="Arial"/>
                <w:color w:val="0F243E" w:themeColor="text2" w:themeShade="80"/>
                <w:sz w:val="20"/>
                <w:szCs w:val="20"/>
                <w:lang w:eastAsia="en-US"/>
              </w:rPr>
            </w:pPr>
            <w:r w:rsidRPr="005045BF">
              <w:rPr>
                <w:rFonts w:ascii="Arial" w:hAnsi="Arial" w:cs="Arial"/>
                <w:b w:val="0"/>
                <w:bCs w:val="0"/>
                <w:color w:val="0F243E" w:themeColor="text2" w:themeShade="80"/>
                <w:sz w:val="20"/>
                <w:szCs w:val="20"/>
              </w:rPr>
              <w:t>3.284-2019</w:t>
            </w:r>
          </w:p>
        </w:tc>
        <w:tc>
          <w:tcPr>
            <w:tcW w:w="1484" w:type="dxa"/>
            <w:vAlign w:val="center"/>
          </w:tcPr>
          <w:p w14:paraId="58A5A71D" w14:textId="46C606F2"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Centro CAR 19 Limitada</w:t>
            </w:r>
          </w:p>
        </w:tc>
        <w:tc>
          <w:tcPr>
            <w:tcW w:w="1417" w:type="dxa"/>
            <w:vAlign w:val="center"/>
          </w:tcPr>
          <w:p w14:paraId="6608EAB6" w14:textId="360559EA"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41.025.033</w:t>
            </w:r>
          </w:p>
        </w:tc>
        <w:tc>
          <w:tcPr>
            <w:tcW w:w="2552" w:type="dxa"/>
            <w:vAlign w:val="center"/>
          </w:tcPr>
          <w:p w14:paraId="7F212686" w14:textId="06574459" w:rsidR="00EE586C" w:rsidRPr="005045BF"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 xml:space="preserve">Mantenimiento básico al parque automotor, entre otros, lavados de motor, exterior y general con chorro de agua a presión, polichados, limpieza de tapicería y cojinería, grafitados y servicio de montallantas. </w:t>
            </w:r>
          </w:p>
        </w:tc>
        <w:tc>
          <w:tcPr>
            <w:tcW w:w="1701" w:type="dxa"/>
            <w:vAlign w:val="center"/>
          </w:tcPr>
          <w:p w14:paraId="35CFDDCA" w14:textId="5CE5B1BE"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5/08/2019</w:t>
            </w:r>
          </w:p>
        </w:tc>
        <w:tc>
          <w:tcPr>
            <w:tcW w:w="1417" w:type="dxa"/>
            <w:vAlign w:val="center"/>
          </w:tcPr>
          <w:p w14:paraId="027C52A6" w14:textId="72E0B4B1"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31/07/2022</w:t>
            </w:r>
          </w:p>
        </w:tc>
      </w:tr>
      <w:tr w:rsidR="00EE586C" w:rsidRPr="005045BF" w14:paraId="0D16466D" w14:textId="77777777" w:rsidTr="000273DC">
        <w:trPr>
          <w:trHeight w:val="510"/>
        </w:trPr>
        <w:tc>
          <w:tcPr>
            <w:cnfStyle w:val="001000000000" w:firstRow="0" w:lastRow="0" w:firstColumn="1" w:lastColumn="0" w:oddVBand="0" w:evenVBand="0" w:oddHBand="0" w:evenHBand="0" w:firstRowFirstColumn="0" w:firstRowLastColumn="0" w:lastRowFirstColumn="0" w:lastRowLastColumn="0"/>
            <w:tcW w:w="1063" w:type="dxa"/>
            <w:vAlign w:val="center"/>
          </w:tcPr>
          <w:p w14:paraId="72C4561E" w14:textId="3180CF01" w:rsidR="00EE586C" w:rsidRPr="005045BF" w:rsidRDefault="00EE586C" w:rsidP="000273DC">
            <w:pPr>
              <w:spacing w:before="80" w:after="80"/>
              <w:jc w:val="center"/>
              <w:rPr>
                <w:rFonts w:ascii="Arial" w:hAnsi="Arial" w:cs="Arial"/>
                <w:color w:val="0F243E" w:themeColor="text2" w:themeShade="80"/>
                <w:sz w:val="20"/>
                <w:szCs w:val="20"/>
                <w:lang w:eastAsia="en-US"/>
              </w:rPr>
            </w:pPr>
            <w:r w:rsidRPr="005045BF">
              <w:rPr>
                <w:rFonts w:ascii="Arial" w:hAnsi="Arial" w:cs="Arial"/>
                <w:b w:val="0"/>
                <w:bCs w:val="0"/>
                <w:color w:val="0F243E" w:themeColor="text2" w:themeShade="80"/>
                <w:sz w:val="20"/>
                <w:szCs w:val="20"/>
              </w:rPr>
              <w:t>3.400-2019</w:t>
            </w:r>
          </w:p>
        </w:tc>
        <w:tc>
          <w:tcPr>
            <w:tcW w:w="1484" w:type="dxa"/>
            <w:vAlign w:val="center"/>
          </w:tcPr>
          <w:p w14:paraId="7128A951" w14:textId="35923800"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Casa Toro Automotriz S.A.</w:t>
            </w:r>
          </w:p>
        </w:tc>
        <w:tc>
          <w:tcPr>
            <w:tcW w:w="1417" w:type="dxa"/>
            <w:vAlign w:val="center"/>
          </w:tcPr>
          <w:p w14:paraId="3FF48256" w14:textId="457B1B49" w:rsidR="00EE586C" w:rsidRPr="005045BF" w:rsidRDefault="00EE586C" w:rsidP="000273DC">
            <w:pPr>
              <w:spacing w:before="8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317.971.951</w:t>
            </w:r>
          </w:p>
        </w:tc>
        <w:tc>
          <w:tcPr>
            <w:tcW w:w="2552" w:type="dxa"/>
            <w:vAlign w:val="center"/>
          </w:tcPr>
          <w:p w14:paraId="2238E51A" w14:textId="1ED29DB5" w:rsidR="00EE586C" w:rsidRPr="005045BF" w:rsidRDefault="00EE586C" w:rsidP="000273DC">
            <w:pPr>
              <w:spacing w:before="80" w:after="8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 xml:space="preserve">Mantenimiento preventivo y correctivo a los vehículos de propiedad del Ministerio de Hacienda y Crédito Público [Vehículos Renault]. </w:t>
            </w:r>
          </w:p>
        </w:tc>
        <w:tc>
          <w:tcPr>
            <w:tcW w:w="1701" w:type="dxa"/>
            <w:vAlign w:val="center"/>
          </w:tcPr>
          <w:p w14:paraId="7BB9D156" w14:textId="10F8E899"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16/12/2019</w:t>
            </w:r>
          </w:p>
        </w:tc>
        <w:tc>
          <w:tcPr>
            <w:tcW w:w="1417" w:type="dxa"/>
            <w:vAlign w:val="center"/>
          </w:tcPr>
          <w:p w14:paraId="22A0C79B" w14:textId="37FFDFC4" w:rsidR="00EE586C" w:rsidRPr="005045BF" w:rsidRDefault="00EE586C" w:rsidP="000273DC">
            <w:pPr>
              <w:spacing w:before="8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rPr>
              <w:t>31/07/2022</w:t>
            </w:r>
          </w:p>
        </w:tc>
      </w:tr>
    </w:tbl>
    <w:p w14:paraId="2620767B" w14:textId="77777777" w:rsidR="0078566B" w:rsidRPr="005045BF" w:rsidRDefault="0078566B" w:rsidP="006E2879">
      <w:pPr>
        <w:jc w:val="both"/>
        <w:rPr>
          <w:rFonts w:ascii="Arial" w:hAnsi="Arial" w:cs="Arial"/>
          <w:sz w:val="22"/>
          <w:szCs w:val="22"/>
        </w:rPr>
      </w:pPr>
    </w:p>
    <w:p w14:paraId="6289E314" w14:textId="466E17E9" w:rsidR="00232170" w:rsidRPr="005045BF" w:rsidRDefault="00D907D8" w:rsidP="000273DC">
      <w:pPr>
        <w:jc w:val="both"/>
        <w:rPr>
          <w:rFonts w:ascii="Arial" w:hAnsi="Arial" w:cs="Arial"/>
          <w:sz w:val="22"/>
          <w:szCs w:val="22"/>
        </w:rPr>
      </w:pPr>
      <w:r w:rsidRPr="005045BF">
        <w:rPr>
          <w:rFonts w:ascii="Arial" w:hAnsi="Arial" w:cs="Arial"/>
          <w:sz w:val="22"/>
          <w:szCs w:val="22"/>
        </w:rPr>
        <w:t>Tomando como referencia la información suministrada po</w:t>
      </w:r>
      <w:r w:rsidR="000F7AC6" w:rsidRPr="005045BF">
        <w:rPr>
          <w:rFonts w:ascii="Arial" w:hAnsi="Arial" w:cs="Arial"/>
          <w:sz w:val="22"/>
          <w:szCs w:val="22"/>
        </w:rPr>
        <w:t xml:space="preserve">r la Subdirección de Servicios y contrastada con las obligaciones registradas en el </w:t>
      </w:r>
      <w:r w:rsidR="00D872B4" w:rsidRPr="005045BF">
        <w:rPr>
          <w:rFonts w:ascii="Arial" w:hAnsi="Arial" w:cs="Arial"/>
          <w:sz w:val="22"/>
          <w:szCs w:val="22"/>
        </w:rPr>
        <w:t>SIIF, a</w:t>
      </w:r>
      <w:r w:rsidRPr="005045BF">
        <w:rPr>
          <w:rFonts w:ascii="Arial" w:hAnsi="Arial" w:cs="Arial"/>
          <w:sz w:val="22"/>
          <w:szCs w:val="22"/>
        </w:rPr>
        <w:t xml:space="preserve"> continuación, se </w:t>
      </w:r>
      <w:r w:rsidR="00DC59F9" w:rsidRPr="005045BF">
        <w:rPr>
          <w:rFonts w:ascii="Arial" w:hAnsi="Arial" w:cs="Arial"/>
          <w:sz w:val="22"/>
          <w:szCs w:val="22"/>
        </w:rPr>
        <w:t xml:space="preserve">presenta el </w:t>
      </w:r>
      <w:r w:rsidRPr="005045BF">
        <w:rPr>
          <w:rFonts w:ascii="Arial" w:hAnsi="Arial" w:cs="Arial"/>
          <w:sz w:val="22"/>
          <w:szCs w:val="22"/>
        </w:rPr>
        <w:t xml:space="preserve">comparativo </w:t>
      </w:r>
      <w:r w:rsidR="008B6C6D" w:rsidRPr="005045BF">
        <w:rPr>
          <w:rFonts w:ascii="Arial" w:hAnsi="Arial" w:cs="Arial"/>
          <w:sz w:val="22"/>
          <w:szCs w:val="22"/>
        </w:rPr>
        <w:t xml:space="preserve">correspondiente al </w:t>
      </w:r>
      <w:r w:rsidR="00223CD6" w:rsidRPr="005045BF">
        <w:rPr>
          <w:rFonts w:ascii="Arial" w:hAnsi="Arial" w:cs="Arial"/>
          <w:sz w:val="22"/>
          <w:szCs w:val="22"/>
        </w:rPr>
        <w:t xml:space="preserve">primer </w:t>
      </w:r>
      <w:r w:rsidR="008B6C6D" w:rsidRPr="005045BF">
        <w:rPr>
          <w:rFonts w:ascii="Arial" w:hAnsi="Arial" w:cs="Arial"/>
          <w:sz w:val="22"/>
          <w:szCs w:val="22"/>
        </w:rPr>
        <w:t>trimestre de 20</w:t>
      </w:r>
      <w:r w:rsidR="00223CD6" w:rsidRPr="005045BF">
        <w:rPr>
          <w:rFonts w:ascii="Arial" w:hAnsi="Arial" w:cs="Arial"/>
          <w:sz w:val="22"/>
          <w:szCs w:val="22"/>
        </w:rPr>
        <w:t>20</w:t>
      </w:r>
      <w:r w:rsidR="008B6C6D" w:rsidRPr="005045BF">
        <w:rPr>
          <w:rFonts w:ascii="Arial" w:hAnsi="Arial" w:cs="Arial"/>
          <w:sz w:val="22"/>
          <w:szCs w:val="22"/>
        </w:rPr>
        <w:t xml:space="preserve"> – 201</w:t>
      </w:r>
      <w:r w:rsidR="00223CD6" w:rsidRPr="005045BF">
        <w:rPr>
          <w:rFonts w:ascii="Arial" w:hAnsi="Arial" w:cs="Arial"/>
          <w:sz w:val="22"/>
          <w:szCs w:val="22"/>
        </w:rPr>
        <w:t>9</w:t>
      </w:r>
      <w:r w:rsidR="008B6C6D" w:rsidRPr="005045BF">
        <w:rPr>
          <w:rFonts w:ascii="Arial" w:hAnsi="Arial" w:cs="Arial"/>
          <w:sz w:val="22"/>
          <w:szCs w:val="22"/>
        </w:rPr>
        <w:t xml:space="preserve"> </w:t>
      </w:r>
      <w:r w:rsidR="00223CD6" w:rsidRPr="005045BF">
        <w:rPr>
          <w:rFonts w:ascii="Arial" w:hAnsi="Arial" w:cs="Arial"/>
          <w:sz w:val="22"/>
          <w:szCs w:val="22"/>
        </w:rPr>
        <w:t xml:space="preserve">referente </w:t>
      </w:r>
      <w:r w:rsidR="00891FC0" w:rsidRPr="005045BF">
        <w:rPr>
          <w:rFonts w:ascii="Arial" w:hAnsi="Arial" w:cs="Arial"/>
          <w:sz w:val="22"/>
          <w:szCs w:val="22"/>
        </w:rPr>
        <w:t xml:space="preserve">al </w:t>
      </w:r>
      <w:r w:rsidRPr="005045BF">
        <w:rPr>
          <w:rFonts w:ascii="Arial" w:hAnsi="Arial" w:cs="Arial"/>
          <w:sz w:val="22"/>
          <w:szCs w:val="22"/>
        </w:rPr>
        <w:t>valor facturado</w:t>
      </w:r>
      <w:r w:rsidR="008B6C6D" w:rsidRPr="005045BF">
        <w:rPr>
          <w:rFonts w:ascii="Arial" w:hAnsi="Arial" w:cs="Arial"/>
          <w:sz w:val="22"/>
          <w:szCs w:val="22"/>
        </w:rPr>
        <w:t xml:space="preserve"> para los servicios de mantenimiento de vehículos</w:t>
      </w:r>
      <w:r w:rsidR="00FE0CE3" w:rsidRPr="005045BF">
        <w:rPr>
          <w:rFonts w:ascii="Arial" w:hAnsi="Arial" w:cs="Arial"/>
          <w:sz w:val="22"/>
          <w:szCs w:val="22"/>
        </w:rPr>
        <w:t xml:space="preserve"> </w:t>
      </w:r>
      <w:r w:rsidR="008B6C6D" w:rsidRPr="005045BF">
        <w:rPr>
          <w:rFonts w:ascii="Arial" w:hAnsi="Arial" w:cs="Arial"/>
          <w:sz w:val="22"/>
          <w:szCs w:val="22"/>
        </w:rPr>
        <w:t>de este Ministerio</w:t>
      </w:r>
      <w:r w:rsidR="00FE0CE3" w:rsidRPr="005045BF">
        <w:rPr>
          <w:rFonts w:ascii="Arial" w:hAnsi="Arial" w:cs="Arial"/>
          <w:sz w:val="22"/>
          <w:szCs w:val="22"/>
        </w:rPr>
        <w:t xml:space="preserve">. </w:t>
      </w:r>
    </w:p>
    <w:p w14:paraId="7698F1D1" w14:textId="6481C61A" w:rsidR="00FE0CE3" w:rsidRPr="005045BF" w:rsidRDefault="00FE0CE3" w:rsidP="000273DC">
      <w:pPr>
        <w:jc w:val="both"/>
        <w:rPr>
          <w:rFonts w:ascii="Arial" w:hAnsi="Arial" w:cs="Arial"/>
          <w:sz w:val="22"/>
          <w:szCs w:val="22"/>
        </w:rPr>
      </w:pPr>
    </w:p>
    <w:p w14:paraId="6199B1EE" w14:textId="6EBA2676" w:rsidR="00FE0CE3" w:rsidRPr="005045BF" w:rsidRDefault="007425ED" w:rsidP="000273DC">
      <w:pPr>
        <w:jc w:val="both"/>
        <w:rPr>
          <w:rFonts w:ascii="Arial" w:hAnsi="Arial" w:cs="Arial"/>
          <w:sz w:val="22"/>
          <w:szCs w:val="22"/>
        </w:rPr>
      </w:pPr>
      <w:r w:rsidRPr="005045BF">
        <w:rPr>
          <w:rFonts w:ascii="Arial" w:hAnsi="Arial" w:cs="Arial"/>
          <w:sz w:val="22"/>
          <w:szCs w:val="22"/>
        </w:rPr>
        <w:t xml:space="preserve">Es de precisar que, </w:t>
      </w:r>
      <w:r w:rsidR="004529E3" w:rsidRPr="005045BF">
        <w:rPr>
          <w:rFonts w:ascii="Arial" w:hAnsi="Arial" w:cs="Arial"/>
          <w:sz w:val="22"/>
          <w:szCs w:val="22"/>
        </w:rPr>
        <w:t xml:space="preserve">para el primer el trimestre de 2020 </w:t>
      </w:r>
      <w:r w:rsidR="008F51F8" w:rsidRPr="005045BF">
        <w:rPr>
          <w:rFonts w:ascii="Arial" w:hAnsi="Arial" w:cs="Arial"/>
          <w:sz w:val="22"/>
          <w:szCs w:val="22"/>
        </w:rPr>
        <w:t xml:space="preserve">este Ministerio no </w:t>
      </w:r>
      <w:r w:rsidR="00AA2B83">
        <w:rPr>
          <w:rFonts w:ascii="Arial" w:hAnsi="Arial" w:cs="Arial"/>
          <w:sz w:val="22"/>
          <w:szCs w:val="22"/>
        </w:rPr>
        <w:t xml:space="preserve">se </w:t>
      </w:r>
      <w:r w:rsidR="004529E3" w:rsidRPr="005045BF">
        <w:rPr>
          <w:rFonts w:ascii="Arial" w:hAnsi="Arial" w:cs="Arial"/>
          <w:sz w:val="22"/>
          <w:szCs w:val="22"/>
        </w:rPr>
        <w:t xml:space="preserve">había suscrito </w:t>
      </w:r>
      <w:r w:rsidR="008F51F8" w:rsidRPr="005045BF">
        <w:rPr>
          <w:rFonts w:ascii="Arial" w:hAnsi="Arial" w:cs="Arial"/>
          <w:sz w:val="22"/>
          <w:szCs w:val="22"/>
        </w:rPr>
        <w:t xml:space="preserve">el contrato </w:t>
      </w:r>
      <w:r w:rsidR="004529E3" w:rsidRPr="005045BF">
        <w:rPr>
          <w:rFonts w:ascii="Arial" w:hAnsi="Arial" w:cs="Arial"/>
          <w:sz w:val="22"/>
          <w:szCs w:val="22"/>
        </w:rPr>
        <w:t>para la prestación del servicio de</w:t>
      </w:r>
      <w:r w:rsidR="00FE0CE3" w:rsidRPr="005045BF">
        <w:rPr>
          <w:rFonts w:ascii="Arial" w:hAnsi="Arial" w:cs="Arial"/>
          <w:sz w:val="22"/>
          <w:szCs w:val="22"/>
        </w:rPr>
        <w:t xml:space="preserve"> mantenimiento </w:t>
      </w:r>
      <w:r w:rsidR="00331329" w:rsidRPr="005045BF">
        <w:rPr>
          <w:rFonts w:ascii="Arial" w:hAnsi="Arial" w:cs="Arial"/>
          <w:sz w:val="22"/>
          <w:szCs w:val="22"/>
        </w:rPr>
        <w:t xml:space="preserve">preventivo y correctivo </w:t>
      </w:r>
      <w:r w:rsidR="00FE0CE3" w:rsidRPr="005045BF">
        <w:rPr>
          <w:rFonts w:ascii="Arial" w:hAnsi="Arial" w:cs="Arial"/>
          <w:sz w:val="22"/>
          <w:szCs w:val="22"/>
        </w:rPr>
        <w:t>de motocicletas</w:t>
      </w:r>
      <w:r w:rsidR="00AA2B83">
        <w:rPr>
          <w:rFonts w:ascii="Arial" w:hAnsi="Arial" w:cs="Arial"/>
          <w:sz w:val="22"/>
          <w:szCs w:val="22"/>
        </w:rPr>
        <w:t xml:space="preserve">. </w:t>
      </w:r>
      <w:r w:rsidR="00020732" w:rsidRPr="005045BF">
        <w:rPr>
          <w:rFonts w:ascii="Arial" w:hAnsi="Arial" w:cs="Arial"/>
          <w:sz w:val="22"/>
          <w:szCs w:val="22"/>
        </w:rPr>
        <w:t xml:space="preserve">Por tal razón, no </w:t>
      </w:r>
      <w:r w:rsidRPr="005045BF">
        <w:rPr>
          <w:rFonts w:ascii="Arial" w:hAnsi="Arial" w:cs="Arial"/>
          <w:sz w:val="22"/>
          <w:szCs w:val="22"/>
        </w:rPr>
        <w:t xml:space="preserve">se </w:t>
      </w:r>
      <w:r w:rsidR="00020732" w:rsidRPr="005045BF">
        <w:rPr>
          <w:rFonts w:ascii="Arial" w:hAnsi="Arial" w:cs="Arial"/>
          <w:sz w:val="22"/>
          <w:szCs w:val="22"/>
        </w:rPr>
        <w:t xml:space="preserve">establecieron </w:t>
      </w:r>
      <w:r w:rsidR="00420BDC" w:rsidRPr="005045BF">
        <w:rPr>
          <w:rFonts w:ascii="Arial" w:hAnsi="Arial" w:cs="Arial"/>
          <w:sz w:val="22"/>
          <w:szCs w:val="22"/>
        </w:rPr>
        <w:t>las variaciones del valor del gasto</w:t>
      </w:r>
      <w:r w:rsidR="00F35290" w:rsidRPr="005045BF">
        <w:rPr>
          <w:rFonts w:ascii="Arial" w:hAnsi="Arial" w:cs="Arial"/>
          <w:sz w:val="22"/>
          <w:szCs w:val="22"/>
        </w:rPr>
        <w:t xml:space="preserve"> frente al primer trimestre de 2019. </w:t>
      </w:r>
      <w:r w:rsidR="00020732" w:rsidRPr="005045BF">
        <w:rPr>
          <w:rFonts w:ascii="Arial" w:hAnsi="Arial" w:cs="Arial"/>
          <w:sz w:val="22"/>
          <w:szCs w:val="22"/>
        </w:rPr>
        <w:t xml:space="preserve"> </w:t>
      </w:r>
    </w:p>
    <w:p w14:paraId="5253A048" w14:textId="6D38B89B" w:rsidR="00274F24" w:rsidRPr="005045BF" w:rsidRDefault="00274F24" w:rsidP="000273DC">
      <w:pPr>
        <w:jc w:val="both"/>
        <w:rPr>
          <w:rFonts w:ascii="Arial" w:hAnsi="Arial" w:cs="Arial"/>
          <w:sz w:val="22"/>
          <w:szCs w:val="22"/>
        </w:rPr>
      </w:pPr>
    </w:p>
    <w:p w14:paraId="340EF2F8" w14:textId="489A8160" w:rsidR="00274F24" w:rsidRPr="005045BF" w:rsidRDefault="00274F24" w:rsidP="000273DC">
      <w:pPr>
        <w:jc w:val="both"/>
        <w:rPr>
          <w:rFonts w:ascii="Arial" w:hAnsi="Arial" w:cs="Arial"/>
          <w:sz w:val="22"/>
          <w:szCs w:val="22"/>
        </w:rPr>
      </w:pPr>
      <w:r w:rsidRPr="005045BF">
        <w:rPr>
          <w:rFonts w:ascii="Arial" w:hAnsi="Arial" w:cs="Arial"/>
          <w:sz w:val="22"/>
          <w:szCs w:val="22"/>
        </w:rPr>
        <w:t>Respecto al mantenimiento preventivo y correctivo, la Subdirección de Servicios informó que para la vigencia 2019, el contrato de mantenimiento por dicho concepto se suscribió al finalizar el mes de marzo de 2019, motivo por el cual, durante el primer trimestre de 2019 no se registraron obligaciones. En consecuencia, para el primer trimestre de 2020 comparado con el mismo periodo de 2019, no se presentaron cifras que permitiera</w:t>
      </w:r>
      <w:r w:rsidR="000F660F" w:rsidRPr="005045BF">
        <w:rPr>
          <w:rFonts w:ascii="Arial" w:hAnsi="Arial" w:cs="Arial"/>
          <w:sz w:val="22"/>
          <w:szCs w:val="22"/>
        </w:rPr>
        <w:t>n</w:t>
      </w:r>
      <w:r w:rsidRPr="005045BF">
        <w:rPr>
          <w:rFonts w:ascii="Arial" w:hAnsi="Arial" w:cs="Arial"/>
          <w:sz w:val="22"/>
          <w:szCs w:val="22"/>
        </w:rPr>
        <w:t xml:space="preserve"> establecer las respectivas variaciones.</w:t>
      </w:r>
    </w:p>
    <w:p w14:paraId="43FFD559" w14:textId="04573098" w:rsidR="007C66B7" w:rsidRPr="005045BF" w:rsidRDefault="007C66B7" w:rsidP="000273DC">
      <w:pPr>
        <w:rPr>
          <w:rFonts w:ascii="Arial" w:hAnsi="Arial" w:cs="Arial"/>
          <w:b/>
          <w:sz w:val="22"/>
          <w:szCs w:val="22"/>
          <w:highlight w:val="yellow"/>
        </w:rPr>
      </w:pPr>
    </w:p>
    <w:p w14:paraId="30F908A7" w14:textId="766276EC" w:rsidR="00480829" w:rsidRPr="005045BF" w:rsidRDefault="00480829" w:rsidP="000273DC">
      <w:pPr>
        <w:jc w:val="both"/>
        <w:rPr>
          <w:rFonts w:ascii="Arial" w:hAnsi="Arial" w:cs="Arial"/>
          <w:sz w:val="22"/>
          <w:szCs w:val="22"/>
        </w:rPr>
      </w:pPr>
      <w:r w:rsidRPr="005045BF">
        <w:rPr>
          <w:rFonts w:ascii="Arial" w:hAnsi="Arial" w:cs="Arial"/>
          <w:sz w:val="22"/>
          <w:szCs w:val="22"/>
        </w:rPr>
        <w:t xml:space="preserve">De acuerdo con la información consultada en el SIIF correspondiente a las obligaciones registradas para el concepto de mantenimiento básico </w:t>
      </w:r>
      <w:r w:rsidR="00032F56" w:rsidRPr="005045BF">
        <w:rPr>
          <w:rFonts w:ascii="Arial" w:hAnsi="Arial" w:cs="Arial"/>
          <w:sz w:val="22"/>
          <w:szCs w:val="22"/>
        </w:rPr>
        <w:t xml:space="preserve">para </w:t>
      </w:r>
      <w:r w:rsidRPr="005045BF">
        <w:rPr>
          <w:rFonts w:ascii="Arial" w:hAnsi="Arial" w:cs="Arial"/>
          <w:sz w:val="22"/>
          <w:szCs w:val="22"/>
        </w:rPr>
        <w:t xml:space="preserve">los periodos </w:t>
      </w:r>
      <w:r w:rsidR="00032F56" w:rsidRPr="005045BF">
        <w:rPr>
          <w:rFonts w:ascii="Arial" w:hAnsi="Arial" w:cs="Arial"/>
          <w:sz w:val="22"/>
          <w:szCs w:val="22"/>
        </w:rPr>
        <w:t xml:space="preserve">de enero, febrero y marzo, </w:t>
      </w:r>
      <w:r w:rsidRPr="005045BF">
        <w:rPr>
          <w:rFonts w:ascii="Arial" w:hAnsi="Arial" w:cs="Arial"/>
          <w:sz w:val="22"/>
          <w:szCs w:val="22"/>
        </w:rPr>
        <w:t xml:space="preserve">se </w:t>
      </w:r>
      <w:r w:rsidR="00AA63C2" w:rsidRPr="005045BF">
        <w:rPr>
          <w:rFonts w:ascii="Arial" w:hAnsi="Arial" w:cs="Arial"/>
          <w:sz w:val="22"/>
          <w:szCs w:val="22"/>
        </w:rPr>
        <w:t xml:space="preserve">comparó </w:t>
      </w:r>
      <w:r w:rsidRPr="005045BF">
        <w:rPr>
          <w:rFonts w:ascii="Arial" w:hAnsi="Arial" w:cs="Arial"/>
          <w:sz w:val="22"/>
          <w:szCs w:val="22"/>
        </w:rPr>
        <w:t>el valor del gasto</w:t>
      </w:r>
      <w:r w:rsidR="00AA63C2" w:rsidRPr="005045BF">
        <w:rPr>
          <w:rFonts w:ascii="Arial" w:hAnsi="Arial" w:cs="Arial"/>
          <w:sz w:val="22"/>
          <w:szCs w:val="22"/>
        </w:rPr>
        <w:t xml:space="preserve"> de los servicios presentados durante el primer trimestre de 2020 frente </w:t>
      </w:r>
      <w:r w:rsidR="006C5D5E" w:rsidRPr="005045BF">
        <w:rPr>
          <w:rFonts w:ascii="Arial" w:hAnsi="Arial" w:cs="Arial"/>
          <w:sz w:val="22"/>
          <w:szCs w:val="22"/>
        </w:rPr>
        <w:t>al mismo</w:t>
      </w:r>
      <w:r w:rsidR="00AA63C2" w:rsidRPr="005045BF">
        <w:rPr>
          <w:rFonts w:ascii="Arial" w:hAnsi="Arial" w:cs="Arial"/>
          <w:sz w:val="22"/>
          <w:szCs w:val="22"/>
        </w:rPr>
        <w:t xml:space="preserve"> periodo de 2019, estableciendo las respectivas variaciones</w:t>
      </w:r>
      <w:r w:rsidR="006540FD" w:rsidRPr="005045BF">
        <w:rPr>
          <w:rFonts w:ascii="Arial" w:hAnsi="Arial" w:cs="Arial"/>
          <w:sz w:val="22"/>
          <w:szCs w:val="22"/>
        </w:rPr>
        <w:t xml:space="preserve">, así: </w:t>
      </w:r>
    </w:p>
    <w:p w14:paraId="5BD748D0" w14:textId="5320103B" w:rsidR="00480829" w:rsidRPr="005045BF" w:rsidRDefault="00480829" w:rsidP="0078566B">
      <w:pPr>
        <w:rPr>
          <w:rFonts w:ascii="Arial" w:hAnsi="Arial" w:cs="Arial"/>
          <w:b/>
          <w:sz w:val="22"/>
          <w:szCs w:val="22"/>
          <w:highlight w:val="yellow"/>
        </w:rPr>
      </w:pPr>
    </w:p>
    <w:p w14:paraId="101B8C11" w14:textId="77777777" w:rsidR="004C3AAE" w:rsidRPr="005045BF" w:rsidRDefault="004C3AAE" w:rsidP="0078566B">
      <w:pPr>
        <w:rPr>
          <w:rFonts w:ascii="Arial" w:hAnsi="Arial" w:cs="Arial"/>
          <w:b/>
          <w:sz w:val="22"/>
          <w:szCs w:val="22"/>
          <w:highlight w:val="yellow"/>
        </w:rPr>
      </w:pPr>
    </w:p>
    <w:p w14:paraId="5ED9715F" w14:textId="6F88B9FC" w:rsidR="00D907D8" w:rsidRPr="005045BF" w:rsidRDefault="001A3504" w:rsidP="006E2879">
      <w:pPr>
        <w:rPr>
          <w:rFonts w:ascii="Arial" w:hAnsi="Arial" w:cs="Arial"/>
          <w:b/>
          <w:sz w:val="22"/>
          <w:szCs w:val="22"/>
        </w:rPr>
      </w:pPr>
      <w:r w:rsidRPr="005045BF">
        <w:rPr>
          <w:rFonts w:ascii="Arial" w:hAnsi="Arial" w:cs="Arial"/>
          <w:b/>
          <w:sz w:val="22"/>
          <w:szCs w:val="22"/>
        </w:rPr>
        <w:t xml:space="preserve">5.1.1 </w:t>
      </w:r>
      <w:r w:rsidR="00D907D8" w:rsidRPr="005045BF">
        <w:rPr>
          <w:rFonts w:ascii="Arial" w:hAnsi="Arial" w:cs="Arial"/>
          <w:b/>
          <w:sz w:val="22"/>
          <w:szCs w:val="22"/>
        </w:rPr>
        <w:t xml:space="preserve">Mantenimiento Básico </w:t>
      </w:r>
    </w:p>
    <w:p w14:paraId="6B53F12E" w14:textId="77777777" w:rsidR="006E2879" w:rsidRPr="005045BF" w:rsidRDefault="006E2879" w:rsidP="006E2879">
      <w:pPr>
        <w:rPr>
          <w:rFonts w:ascii="Arial" w:hAnsi="Arial" w:cs="Arial"/>
          <w:b/>
          <w:sz w:val="22"/>
          <w:szCs w:val="22"/>
        </w:rPr>
      </w:pPr>
    </w:p>
    <w:p w14:paraId="56DF340F" w14:textId="5B0F06EE" w:rsidR="00D907D8" w:rsidRPr="005045BF" w:rsidRDefault="00A91436" w:rsidP="006E2879">
      <w:pPr>
        <w:jc w:val="both"/>
        <w:rPr>
          <w:rFonts w:ascii="Arial" w:hAnsi="Arial" w:cs="Arial"/>
          <w:sz w:val="22"/>
          <w:szCs w:val="22"/>
          <w:highlight w:val="yellow"/>
        </w:rPr>
      </w:pPr>
      <w:r w:rsidRPr="005045BF">
        <w:rPr>
          <w:rFonts w:ascii="Arial" w:hAnsi="Arial" w:cs="Arial"/>
          <w:sz w:val="22"/>
          <w:szCs w:val="22"/>
        </w:rPr>
        <w:t>S</w:t>
      </w:r>
      <w:r w:rsidR="00D907D8" w:rsidRPr="005045BF">
        <w:rPr>
          <w:rFonts w:ascii="Arial" w:hAnsi="Arial" w:cs="Arial"/>
          <w:sz w:val="22"/>
          <w:szCs w:val="22"/>
        </w:rPr>
        <w:t>obre este punto, cabe mencionar que el mantenimiento básico consiste entre otros</w:t>
      </w:r>
      <w:r w:rsidR="007C66B7" w:rsidRPr="005045BF">
        <w:rPr>
          <w:rFonts w:ascii="Arial" w:hAnsi="Arial" w:cs="Arial"/>
          <w:sz w:val="22"/>
          <w:szCs w:val="22"/>
        </w:rPr>
        <w:t>,</w:t>
      </w:r>
      <w:r w:rsidR="00D907D8" w:rsidRPr="005045BF">
        <w:rPr>
          <w:rFonts w:ascii="Arial" w:hAnsi="Arial" w:cs="Arial"/>
          <w:sz w:val="22"/>
          <w:szCs w:val="22"/>
        </w:rPr>
        <w:t xml:space="preserve"> el lavado de motor, exterior y general con chorro de agua a presión, polichados, limpieza de tapicería y cojinería, grafitados y servicio de montallantas</w:t>
      </w:r>
      <w:r w:rsidR="006A2FDE" w:rsidRPr="005045BF">
        <w:rPr>
          <w:rFonts w:ascii="Arial" w:hAnsi="Arial" w:cs="Arial"/>
          <w:sz w:val="22"/>
          <w:szCs w:val="22"/>
        </w:rPr>
        <w:t xml:space="preserve">, motivo por el cual, </w:t>
      </w:r>
      <w:r w:rsidR="00D907D8" w:rsidRPr="005045BF">
        <w:rPr>
          <w:rFonts w:ascii="Arial" w:hAnsi="Arial" w:cs="Arial"/>
          <w:sz w:val="22"/>
          <w:szCs w:val="22"/>
        </w:rPr>
        <w:t xml:space="preserve">dicho mantenimiento se realiza de acuerdo </w:t>
      </w:r>
      <w:r w:rsidR="006A2FDE" w:rsidRPr="005045BF">
        <w:rPr>
          <w:rFonts w:ascii="Arial" w:hAnsi="Arial" w:cs="Arial"/>
          <w:sz w:val="22"/>
          <w:szCs w:val="22"/>
        </w:rPr>
        <w:t>con l</w:t>
      </w:r>
      <w:r w:rsidR="00D907D8" w:rsidRPr="005045BF">
        <w:rPr>
          <w:rFonts w:ascii="Arial" w:hAnsi="Arial" w:cs="Arial"/>
          <w:sz w:val="22"/>
          <w:szCs w:val="22"/>
        </w:rPr>
        <w:t>as necesidades del servicio.</w:t>
      </w:r>
    </w:p>
    <w:p w14:paraId="27FF5DAE" w14:textId="77777777" w:rsidR="009F5763" w:rsidRPr="005045BF" w:rsidRDefault="009F5763" w:rsidP="006E2879">
      <w:pPr>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2339"/>
        <w:gridCol w:w="1767"/>
        <w:gridCol w:w="1559"/>
        <w:gridCol w:w="1418"/>
        <w:gridCol w:w="1106"/>
      </w:tblGrid>
      <w:tr w:rsidR="00FE1A98" w:rsidRPr="005045BF" w14:paraId="1A28EF56" w14:textId="77777777" w:rsidTr="0096268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4BDD0887" w14:textId="77777777" w:rsidR="00FE1A98" w:rsidRPr="005045BF" w:rsidRDefault="00FE1A98" w:rsidP="007C1419">
            <w:pPr>
              <w:spacing w:before="120" w:after="120"/>
              <w:jc w:val="center"/>
              <w:rPr>
                <w:rFonts w:ascii="Arial" w:hAnsi="Arial" w:cs="Arial"/>
                <w:color w:val="FFFFFF" w:themeColor="background1"/>
                <w:sz w:val="20"/>
                <w:szCs w:val="20"/>
              </w:rPr>
            </w:pPr>
            <w:r w:rsidRPr="005045BF">
              <w:rPr>
                <w:rFonts w:ascii="Arial" w:hAnsi="Arial" w:cs="Arial"/>
                <w:color w:val="FFFFFF" w:themeColor="background1"/>
                <w:sz w:val="20"/>
                <w:szCs w:val="20"/>
              </w:rPr>
              <w:lastRenderedPageBreak/>
              <w:t>Mantenimiento Básico</w:t>
            </w:r>
          </w:p>
        </w:tc>
        <w:tc>
          <w:tcPr>
            <w:tcW w:w="1767" w:type="dxa"/>
            <w:vMerge w:val="restart"/>
            <w:shd w:val="clear" w:color="auto" w:fill="4F81BD" w:themeFill="accent1"/>
            <w:vAlign w:val="center"/>
            <w:hideMark/>
          </w:tcPr>
          <w:p w14:paraId="799CFE27" w14:textId="10FE5076" w:rsidR="00FE1A98" w:rsidRPr="005045BF" w:rsidRDefault="00FE1A98" w:rsidP="007C14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w:t>
            </w:r>
            <w:r w:rsidR="00454154" w:rsidRPr="005045BF">
              <w:rPr>
                <w:rFonts w:ascii="Arial" w:hAnsi="Arial" w:cs="Arial"/>
                <w:color w:val="FFFFFF" w:themeColor="background1"/>
                <w:sz w:val="20"/>
                <w:szCs w:val="20"/>
              </w:rPr>
              <w:t>I</w:t>
            </w:r>
            <w:r w:rsidR="006103AB"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w:t>
            </w:r>
            <w:r w:rsidR="000520E1"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20</w:t>
            </w:r>
            <w:r w:rsidR="006103AB" w:rsidRPr="005045BF">
              <w:rPr>
                <w:rFonts w:ascii="Arial" w:hAnsi="Arial" w:cs="Arial"/>
                <w:color w:val="FFFFFF" w:themeColor="background1"/>
                <w:sz w:val="20"/>
                <w:szCs w:val="20"/>
              </w:rPr>
              <w:t>20</w:t>
            </w:r>
            <w:r w:rsidRPr="005045BF">
              <w:rPr>
                <w:rFonts w:ascii="Arial" w:hAnsi="Arial" w:cs="Arial"/>
                <w:color w:val="FFFFFF" w:themeColor="background1"/>
                <w:sz w:val="20"/>
                <w:szCs w:val="20"/>
              </w:rPr>
              <w:t xml:space="preserve"> </w:t>
            </w:r>
          </w:p>
        </w:tc>
        <w:tc>
          <w:tcPr>
            <w:tcW w:w="1559" w:type="dxa"/>
            <w:vMerge w:val="restart"/>
            <w:shd w:val="clear" w:color="auto" w:fill="4F81BD" w:themeFill="accent1"/>
            <w:vAlign w:val="center"/>
            <w:hideMark/>
          </w:tcPr>
          <w:p w14:paraId="16CF1994" w14:textId="790F2C71" w:rsidR="00FE1A98" w:rsidRPr="005045BF" w:rsidRDefault="00264D9E" w:rsidP="007C14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I</w:t>
            </w:r>
            <w:r w:rsidR="00FE1A98"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w:t>
            </w:r>
            <w:r w:rsidR="000520E1" w:rsidRPr="005045BF">
              <w:rPr>
                <w:rFonts w:ascii="Arial" w:hAnsi="Arial" w:cs="Arial"/>
                <w:color w:val="FFFFFF" w:themeColor="background1"/>
                <w:sz w:val="20"/>
                <w:szCs w:val="20"/>
              </w:rPr>
              <w:t xml:space="preserve"> </w:t>
            </w:r>
            <w:r w:rsidR="00FE1A98" w:rsidRPr="005045BF">
              <w:rPr>
                <w:rFonts w:ascii="Arial" w:hAnsi="Arial" w:cs="Arial"/>
                <w:color w:val="FFFFFF" w:themeColor="background1"/>
                <w:sz w:val="20"/>
                <w:szCs w:val="20"/>
              </w:rPr>
              <w:t>201</w:t>
            </w:r>
            <w:r w:rsidR="006103AB" w:rsidRPr="005045BF">
              <w:rPr>
                <w:rFonts w:ascii="Arial" w:hAnsi="Arial" w:cs="Arial"/>
                <w:color w:val="FFFFFF" w:themeColor="background1"/>
                <w:sz w:val="20"/>
                <w:szCs w:val="20"/>
              </w:rPr>
              <w:t>9</w:t>
            </w:r>
            <w:r w:rsidR="00FE1A98" w:rsidRPr="005045BF">
              <w:rPr>
                <w:rFonts w:ascii="Arial" w:hAnsi="Arial" w:cs="Arial"/>
                <w:color w:val="FFFFFF" w:themeColor="background1"/>
                <w:sz w:val="20"/>
                <w:szCs w:val="20"/>
              </w:rPr>
              <w:t xml:space="preserve"> </w:t>
            </w:r>
          </w:p>
        </w:tc>
        <w:tc>
          <w:tcPr>
            <w:tcW w:w="2524" w:type="dxa"/>
            <w:gridSpan w:val="2"/>
            <w:shd w:val="clear" w:color="auto" w:fill="4F81BD" w:themeFill="accent1"/>
            <w:noWrap/>
            <w:vAlign w:val="center"/>
            <w:hideMark/>
          </w:tcPr>
          <w:p w14:paraId="2214FC8A" w14:textId="77777777" w:rsidR="00FE1A98" w:rsidRPr="005045BF" w:rsidRDefault="00FE1A98" w:rsidP="007C141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r>
      <w:tr w:rsidR="000520E1" w:rsidRPr="005045BF" w14:paraId="4BCA4008" w14:textId="77777777" w:rsidTr="0096268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2F72685F" w14:textId="4799779D" w:rsidR="00FE1A98" w:rsidRPr="005045BF" w:rsidRDefault="000B312C" w:rsidP="007C1419">
            <w:pPr>
              <w:spacing w:before="120" w:after="120"/>
              <w:rPr>
                <w:rFonts w:ascii="Arial" w:hAnsi="Arial" w:cs="Arial"/>
                <w:color w:val="FFFFFF" w:themeColor="background1"/>
                <w:sz w:val="20"/>
                <w:szCs w:val="20"/>
              </w:rPr>
            </w:pPr>
            <w:r w:rsidRPr="005045BF">
              <w:rPr>
                <w:rFonts w:ascii="Arial" w:hAnsi="Arial" w:cs="Arial"/>
                <w:color w:val="FFFFFF" w:themeColor="background1"/>
                <w:sz w:val="20"/>
                <w:szCs w:val="20"/>
              </w:rPr>
              <w:t>V</w:t>
            </w:r>
            <w:r w:rsidR="00847490" w:rsidRPr="005045BF">
              <w:rPr>
                <w:rFonts w:ascii="Arial" w:hAnsi="Arial" w:cs="Arial"/>
                <w:color w:val="FFFFFF" w:themeColor="background1"/>
                <w:sz w:val="20"/>
                <w:szCs w:val="20"/>
              </w:rPr>
              <w:t>alor del Gasto</w:t>
            </w:r>
          </w:p>
        </w:tc>
        <w:tc>
          <w:tcPr>
            <w:tcW w:w="1767" w:type="dxa"/>
            <w:vMerge/>
            <w:tcBorders>
              <w:bottom w:val="nil"/>
            </w:tcBorders>
            <w:shd w:val="clear" w:color="auto" w:fill="4F81BD" w:themeFill="accent1"/>
            <w:vAlign w:val="center"/>
            <w:hideMark/>
          </w:tcPr>
          <w:p w14:paraId="531ACBD8" w14:textId="77777777" w:rsidR="00FE1A98" w:rsidRPr="005045BF" w:rsidRDefault="00FE1A98" w:rsidP="007C14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559" w:type="dxa"/>
            <w:vMerge/>
            <w:tcBorders>
              <w:bottom w:val="nil"/>
            </w:tcBorders>
            <w:shd w:val="clear" w:color="auto" w:fill="4F81BD" w:themeFill="accent1"/>
            <w:vAlign w:val="center"/>
            <w:hideMark/>
          </w:tcPr>
          <w:p w14:paraId="460AF450" w14:textId="77777777" w:rsidR="00FE1A98" w:rsidRPr="005045BF" w:rsidRDefault="00FE1A98" w:rsidP="007C1419">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tcBorders>
              <w:bottom w:val="nil"/>
            </w:tcBorders>
            <w:shd w:val="clear" w:color="auto" w:fill="4F81BD" w:themeFill="accent1"/>
            <w:noWrap/>
            <w:vAlign w:val="center"/>
            <w:hideMark/>
          </w:tcPr>
          <w:p w14:paraId="2D4B688C" w14:textId="77777777" w:rsidR="00FE1A98" w:rsidRPr="005045BF" w:rsidRDefault="00FE1A98"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106" w:type="dxa"/>
            <w:tcBorders>
              <w:bottom w:val="nil"/>
            </w:tcBorders>
            <w:shd w:val="clear" w:color="auto" w:fill="4F81BD" w:themeFill="accent1"/>
            <w:noWrap/>
            <w:vAlign w:val="center"/>
            <w:hideMark/>
          </w:tcPr>
          <w:p w14:paraId="40F68146" w14:textId="77777777" w:rsidR="00FE1A98" w:rsidRPr="005045BF" w:rsidRDefault="00FE1A98"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r>
      <w:tr w:rsidR="0096268B" w:rsidRPr="005045BF" w14:paraId="7C9D0B3B" w14:textId="77777777" w:rsidTr="0096268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tcPr>
          <w:p w14:paraId="29075870" w14:textId="2A7C8728" w:rsidR="0096268B" w:rsidRPr="005045BF" w:rsidRDefault="0096268B" w:rsidP="007C1419">
            <w:pPr>
              <w:spacing w:before="120" w:after="120"/>
              <w:jc w:val="center"/>
              <w:rPr>
                <w:rFonts w:ascii="Arial" w:hAnsi="Arial" w:cs="Arial"/>
                <w:color w:val="0F243E" w:themeColor="text2" w:themeShade="80"/>
                <w:sz w:val="20"/>
                <w:szCs w:val="20"/>
              </w:rPr>
            </w:pPr>
            <w:r w:rsidRPr="005045BF">
              <w:rPr>
                <w:rFonts w:ascii="Arial" w:hAnsi="Arial" w:cs="Arial"/>
                <w:b w:val="0"/>
                <w:bCs w:val="0"/>
                <w:color w:val="0F243E"/>
                <w:sz w:val="20"/>
                <w:szCs w:val="20"/>
              </w:rPr>
              <w:t xml:space="preserve">Enero </w:t>
            </w:r>
          </w:p>
        </w:tc>
        <w:tc>
          <w:tcPr>
            <w:tcW w:w="1767" w:type="dxa"/>
            <w:tcBorders>
              <w:top w:val="nil"/>
              <w:left w:val="nil"/>
              <w:bottom w:val="nil"/>
              <w:right w:val="nil"/>
            </w:tcBorders>
            <w:noWrap/>
            <w:vAlign w:val="center"/>
          </w:tcPr>
          <w:p w14:paraId="19D878E3" w14:textId="2C539436"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956.900 </w:t>
            </w:r>
          </w:p>
        </w:tc>
        <w:tc>
          <w:tcPr>
            <w:tcW w:w="1559" w:type="dxa"/>
            <w:tcBorders>
              <w:top w:val="nil"/>
              <w:left w:val="nil"/>
              <w:bottom w:val="nil"/>
              <w:right w:val="nil"/>
            </w:tcBorders>
            <w:noWrap/>
            <w:vAlign w:val="center"/>
          </w:tcPr>
          <w:p w14:paraId="20A258C9" w14:textId="1D69B23D" w:rsidR="0096268B" w:rsidRPr="005045BF" w:rsidRDefault="0096268B" w:rsidP="007C1419">
            <w:pPr>
              <w:spacing w:before="120" w:after="120"/>
              <w:ind w:firstLineChars="100" w:firstLine="2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559.237 </w:t>
            </w:r>
          </w:p>
        </w:tc>
        <w:tc>
          <w:tcPr>
            <w:tcW w:w="1418" w:type="dxa"/>
            <w:tcBorders>
              <w:top w:val="nil"/>
              <w:left w:val="nil"/>
              <w:bottom w:val="nil"/>
              <w:right w:val="nil"/>
            </w:tcBorders>
            <w:noWrap/>
            <w:vAlign w:val="center"/>
          </w:tcPr>
          <w:p w14:paraId="0F34D2F7" w14:textId="284A81C7"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397.663 </w:t>
            </w:r>
          </w:p>
        </w:tc>
        <w:tc>
          <w:tcPr>
            <w:tcW w:w="1106" w:type="dxa"/>
            <w:tcBorders>
              <w:top w:val="nil"/>
              <w:left w:val="nil"/>
              <w:bottom w:val="nil"/>
              <w:right w:val="nil"/>
            </w:tcBorders>
            <w:noWrap/>
            <w:vAlign w:val="center"/>
          </w:tcPr>
          <w:p w14:paraId="788E0D31" w14:textId="03E62484" w:rsidR="0096268B" w:rsidRPr="005045BF" w:rsidRDefault="0096268B"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71%</w:t>
            </w:r>
          </w:p>
        </w:tc>
      </w:tr>
      <w:tr w:rsidR="0096268B" w:rsidRPr="005045BF" w14:paraId="28AF12A2" w14:textId="77777777" w:rsidTr="0096268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tcPr>
          <w:p w14:paraId="2FC4CF25" w14:textId="33DD4F5E" w:rsidR="0096268B" w:rsidRPr="005045BF" w:rsidRDefault="0096268B" w:rsidP="007C1419">
            <w:pPr>
              <w:spacing w:before="120" w:after="120"/>
              <w:jc w:val="center"/>
              <w:rPr>
                <w:rFonts w:ascii="Arial" w:hAnsi="Arial" w:cs="Arial"/>
                <w:color w:val="0F243E" w:themeColor="text2" w:themeShade="80"/>
                <w:sz w:val="20"/>
                <w:szCs w:val="20"/>
              </w:rPr>
            </w:pPr>
            <w:r w:rsidRPr="005045BF">
              <w:rPr>
                <w:rFonts w:ascii="Arial" w:hAnsi="Arial" w:cs="Arial"/>
                <w:b w:val="0"/>
                <w:bCs w:val="0"/>
                <w:color w:val="0F243E"/>
                <w:sz w:val="20"/>
                <w:szCs w:val="20"/>
              </w:rPr>
              <w:t xml:space="preserve">Febrero </w:t>
            </w:r>
          </w:p>
        </w:tc>
        <w:tc>
          <w:tcPr>
            <w:tcW w:w="1767" w:type="dxa"/>
            <w:tcBorders>
              <w:top w:val="nil"/>
              <w:left w:val="nil"/>
              <w:bottom w:val="nil"/>
              <w:right w:val="nil"/>
            </w:tcBorders>
            <w:noWrap/>
            <w:vAlign w:val="center"/>
          </w:tcPr>
          <w:p w14:paraId="2C4B89E5" w14:textId="7AE780BC"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792.900 </w:t>
            </w:r>
          </w:p>
        </w:tc>
        <w:tc>
          <w:tcPr>
            <w:tcW w:w="1559" w:type="dxa"/>
            <w:tcBorders>
              <w:top w:val="nil"/>
              <w:left w:val="nil"/>
              <w:bottom w:val="nil"/>
              <w:right w:val="nil"/>
            </w:tcBorders>
            <w:noWrap/>
            <w:vAlign w:val="center"/>
          </w:tcPr>
          <w:p w14:paraId="68F5ECA8" w14:textId="7C9EB650"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856.652 </w:t>
            </w:r>
          </w:p>
        </w:tc>
        <w:tc>
          <w:tcPr>
            <w:tcW w:w="1418" w:type="dxa"/>
            <w:tcBorders>
              <w:top w:val="nil"/>
              <w:left w:val="nil"/>
              <w:bottom w:val="nil"/>
              <w:right w:val="nil"/>
            </w:tcBorders>
            <w:noWrap/>
            <w:vAlign w:val="center"/>
          </w:tcPr>
          <w:p w14:paraId="3D84DA66" w14:textId="4176DD84"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(63.752)</w:t>
            </w:r>
          </w:p>
        </w:tc>
        <w:tc>
          <w:tcPr>
            <w:tcW w:w="1106" w:type="dxa"/>
            <w:tcBorders>
              <w:top w:val="nil"/>
              <w:left w:val="nil"/>
              <w:bottom w:val="nil"/>
              <w:right w:val="nil"/>
            </w:tcBorders>
            <w:noWrap/>
            <w:vAlign w:val="center"/>
          </w:tcPr>
          <w:p w14:paraId="2CBB4E14" w14:textId="3553E4B1" w:rsidR="0096268B" w:rsidRPr="005045BF" w:rsidRDefault="0096268B"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w:t>
            </w:r>
          </w:p>
        </w:tc>
      </w:tr>
      <w:tr w:rsidR="0096268B" w:rsidRPr="005045BF" w14:paraId="456E5757" w14:textId="77777777" w:rsidTr="0096268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tcPr>
          <w:p w14:paraId="5F6AA19F" w14:textId="6BB49BB2" w:rsidR="0096268B" w:rsidRPr="005045BF" w:rsidRDefault="0096268B" w:rsidP="007C1419">
            <w:pPr>
              <w:spacing w:before="120" w:after="120"/>
              <w:jc w:val="center"/>
              <w:rPr>
                <w:rFonts w:ascii="Arial" w:hAnsi="Arial" w:cs="Arial"/>
                <w:color w:val="0F243E" w:themeColor="text2" w:themeShade="80"/>
                <w:sz w:val="20"/>
                <w:szCs w:val="20"/>
              </w:rPr>
            </w:pPr>
            <w:r w:rsidRPr="005045BF">
              <w:rPr>
                <w:rFonts w:ascii="Arial" w:hAnsi="Arial" w:cs="Arial"/>
                <w:b w:val="0"/>
                <w:bCs w:val="0"/>
                <w:color w:val="0F243E"/>
                <w:sz w:val="20"/>
                <w:szCs w:val="20"/>
              </w:rPr>
              <w:t xml:space="preserve">Marzo </w:t>
            </w:r>
          </w:p>
        </w:tc>
        <w:tc>
          <w:tcPr>
            <w:tcW w:w="1767" w:type="dxa"/>
            <w:tcBorders>
              <w:top w:val="nil"/>
              <w:left w:val="nil"/>
              <w:bottom w:val="double" w:sz="4" w:space="0" w:color="4F81BD" w:themeColor="accent1"/>
              <w:right w:val="nil"/>
            </w:tcBorders>
            <w:noWrap/>
            <w:vAlign w:val="center"/>
          </w:tcPr>
          <w:p w14:paraId="18C749A0" w14:textId="1E429D71"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655.300 </w:t>
            </w:r>
          </w:p>
        </w:tc>
        <w:tc>
          <w:tcPr>
            <w:tcW w:w="1559" w:type="dxa"/>
            <w:tcBorders>
              <w:top w:val="nil"/>
              <w:left w:val="nil"/>
              <w:bottom w:val="double" w:sz="4" w:space="0" w:color="4F81BD" w:themeColor="accent1"/>
              <w:right w:val="nil"/>
            </w:tcBorders>
            <w:noWrap/>
            <w:vAlign w:val="center"/>
          </w:tcPr>
          <w:p w14:paraId="30603214" w14:textId="6FC51917"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926.911 </w:t>
            </w:r>
          </w:p>
        </w:tc>
        <w:tc>
          <w:tcPr>
            <w:tcW w:w="1418" w:type="dxa"/>
            <w:tcBorders>
              <w:top w:val="nil"/>
              <w:left w:val="nil"/>
              <w:bottom w:val="double" w:sz="4" w:space="0" w:color="4F81BD" w:themeColor="accent1"/>
              <w:right w:val="nil"/>
            </w:tcBorders>
            <w:noWrap/>
            <w:vAlign w:val="center"/>
          </w:tcPr>
          <w:p w14:paraId="756DF085" w14:textId="327BF3F6"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 xml:space="preserve">(271.611) </w:t>
            </w:r>
          </w:p>
        </w:tc>
        <w:tc>
          <w:tcPr>
            <w:tcW w:w="1106" w:type="dxa"/>
            <w:tcBorders>
              <w:top w:val="nil"/>
              <w:left w:val="nil"/>
              <w:bottom w:val="double" w:sz="4" w:space="0" w:color="4F81BD" w:themeColor="accent1"/>
              <w:right w:val="nil"/>
            </w:tcBorders>
            <w:noWrap/>
            <w:vAlign w:val="center"/>
          </w:tcPr>
          <w:p w14:paraId="15B1148E" w14:textId="26779195" w:rsidR="0096268B" w:rsidRPr="005045BF" w:rsidRDefault="0096268B"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(29%)</w:t>
            </w:r>
          </w:p>
        </w:tc>
      </w:tr>
      <w:tr w:rsidR="0096268B" w:rsidRPr="005045BF" w14:paraId="50676300" w14:textId="77777777" w:rsidTr="0096268B">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double" w:sz="4" w:space="0" w:color="4F81BD" w:themeColor="accent1"/>
              <w:right w:val="nil"/>
            </w:tcBorders>
            <w:noWrap/>
            <w:vAlign w:val="center"/>
          </w:tcPr>
          <w:p w14:paraId="35197095" w14:textId="5919E430" w:rsidR="0096268B" w:rsidRPr="005045BF" w:rsidRDefault="0096268B" w:rsidP="007C1419">
            <w:pPr>
              <w:spacing w:before="120" w:after="120"/>
              <w:jc w:val="center"/>
              <w:rPr>
                <w:rFonts w:ascii="Arial" w:hAnsi="Arial" w:cs="Arial"/>
                <w:color w:val="0F243E" w:themeColor="text2" w:themeShade="80"/>
                <w:sz w:val="20"/>
                <w:szCs w:val="20"/>
              </w:rPr>
            </w:pPr>
            <w:r w:rsidRPr="005045BF">
              <w:rPr>
                <w:rFonts w:ascii="Arial" w:hAnsi="Arial" w:cs="Arial"/>
                <w:b w:val="0"/>
                <w:bCs w:val="0"/>
                <w:color w:val="0F243E"/>
                <w:sz w:val="20"/>
                <w:szCs w:val="20"/>
              </w:rPr>
              <w:t>Total</w:t>
            </w:r>
          </w:p>
        </w:tc>
        <w:tc>
          <w:tcPr>
            <w:tcW w:w="1767" w:type="dxa"/>
            <w:tcBorders>
              <w:top w:val="double" w:sz="4" w:space="0" w:color="4F81BD" w:themeColor="accent1"/>
              <w:left w:val="nil"/>
              <w:bottom w:val="double" w:sz="4" w:space="0" w:color="4F81BD" w:themeColor="accent1"/>
              <w:right w:val="nil"/>
            </w:tcBorders>
            <w:noWrap/>
            <w:vAlign w:val="center"/>
          </w:tcPr>
          <w:p w14:paraId="2C00E503" w14:textId="77607546" w:rsidR="0096268B" w:rsidRPr="005045BF" w:rsidRDefault="0096268B" w:rsidP="00B951C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 xml:space="preserve">2.405.100 </w:t>
            </w:r>
          </w:p>
        </w:tc>
        <w:tc>
          <w:tcPr>
            <w:tcW w:w="1559" w:type="dxa"/>
            <w:tcBorders>
              <w:top w:val="double" w:sz="4" w:space="0" w:color="4F81BD" w:themeColor="accent1"/>
              <w:left w:val="nil"/>
              <w:bottom w:val="double" w:sz="4" w:space="0" w:color="4F81BD" w:themeColor="accent1"/>
              <w:right w:val="nil"/>
            </w:tcBorders>
            <w:noWrap/>
            <w:vAlign w:val="center"/>
          </w:tcPr>
          <w:p w14:paraId="395E789C" w14:textId="4A7FEA40" w:rsidR="0096268B" w:rsidRPr="005045BF" w:rsidRDefault="0096268B" w:rsidP="00B951CC">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 xml:space="preserve">2.342.800 </w:t>
            </w:r>
          </w:p>
        </w:tc>
        <w:tc>
          <w:tcPr>
            <w:tcW w:w="1418" w:type="dxa"/>
            <w:tcBorders>
              <w:top w:val="double" w:sz="4" w:space="0" w:color="4F81BD" w:themeColor="accent1"/>
              <w:left w:val="nil"/>
              <w:bottom w:val="double" w:sz="4" w:space="0" w:color="4F81BD" w:themeColor="accent1"/>
              <w:right w:val="nil"/>
            </w:tcBorders>
            <w:noWrap/>
            <w:vAlign w:val="center"/>
          </w:tcPr>
          <w:p w14:paraId="7845CE50" w14:textId="7655FEFC" w:rsidR="0096268B" w:rsidRPr="005045BF" w:rsidRDefault="0096268B" w:rsidP="007C1419">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 xml:space="preserve">62.300 </w:t>
            </w:r>
          </w:p>
        </w:tc>
        <w:tc>
          <w:tcPr>
            <w:tcW w:w="1106" w:type="dxa"/>
            <w:tcBorders>
              <w:top w:val="double" w:sz="4" w:space="0" w:color="4F81BD" w:themeColor="accent1"/>
              <w:left w:val="nil"/>
              <w:bottom w:val="double" w:sz="4" w:space="0" w:color="4F81BD" w:themeColor="accent1"/>
              <w:right w:val="nil"/>
            </w:tcBorders>
            <w:noWrap/>
            <w:vAlign w:val="center"/>
          </w:tcPr>
          <w:p w14:paraId="2908C481" w14:textId="729E6332" w:rsidR="0096268B" w:rsidRPr="005045BF" w:rsidRDefault="0096268B" w:rsidP="007C141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sz w:val="20"/>
                <w:szCs w:val="20"/>
              </w:rPr>
              <w:t>3%</w:t>
            </w:r>
          </w:p>
        </w:tc>
      </w:tr>
    </w:tbl>
    <w:p w14:paraId="294DE48C" w14:textId="77777777" w:rsidR="00454154" w:rsidRPr="005045BF" w:rsidRDefault="00454154" w:rsidP="006E2879">
      <w:pPr>
        <w:rPr>
          <w:rFonts w:ascii="Arial" w:hAnsi="Arial" w:cs="Arial"/>
          <w:sz w:val="22"/>
          <w:szCs w:val="22"/>
          <w:highlight w:val="yellow"/>
        </w:rPr>
      </w:pPr>
    </w:p>
    <w:p w14:paraId="2C4597C4" w14:textId="2A70E17E" w:rsidR="0026757D" w:rsidRPr="005045BF" w:rsidRDefault="007804A9" w:rsidP="006E2879">
      <w:pPr>
        <w:jc w:val="both"/>
        <w:rPr>
          <w:rFonts w:ascii="Arial" w:hAnsi="Arial" w:cs="Arial"/>
          <w:sz w:val="22"/>
          <w:szCs w:val="22"/>
        </w:rPr>
      </w:pPr>
      <w:r w:rsidRPr="005045BF">
        <w:rPr>
          <w:rFonts w:ascii="Arial" w:hAnsi="Arial" w:cs="Arial"/>
          <w:sz w:val="22"/>
          <w:szCs w:val="22"/>
        </w:rPr>
        <w:t xml:space="preserve">Como resultado de la comparación </w:t>
      </w:r>
      <w:r w:rsidR="00891FC0" w:rsidRPr="005045BF">
        <w:rPr>
          <w:rFonts w:ascii="Arial" w:hAnsi="Arial" w:cs="Arial"/>
          <w:sz w:val="22"/>
          <w:szCs w:val="22"/>
        </w:rPr>
        <w:t xml:space="preserve">para el </w:t>
      </w:r>
      <w:r w:rsidR="00573AEE" w:rsidRPr="005045BF">
        <w:rPr>
          <w:rFonts w:ascii="Arial" w:hAnsi="Arial" w:cs="Arial"/>
          <w:sz w:val="22"/>
          <w:szCs w:val="22"/>
        </w:rPr>
        <w:t xml:space="preserve">primer </w:t>
      </w:r>
      <w:r w:rsidRPr="005045BF">
        <w:rPr>
          <w:rFonts w:ascii="Arial" w:hAnsi="Arial" w:cs="Arial"/>
          <w:sz w:val="22"/>
          <w:szCs w:val="22"/>
        </w:rPr>
        <w:t>trimestre de 20</w:t>
      </w:r>
      <w:r w:rsidR="00573AEE" w:rsidRPr="005045BF">
        <w:rPr>
          <w:rFonts w:ascii="Arial" w:hAnsi="Arial" w:cs="Arial"/>
          <w:sz w:val="22"/>
          <w:szCs w:val="22"/>
        </w:rPr>
        <w:t>20</w:t>
      </w:r>
      <w:r w:rsidR="00EE491A" w:rsidRPr="005045BF">
        <w:rPr>
          <w:rFonts w:ascii="Arial" w:hAnsi="Arial" w:cs="Arial"/>
          <w:sz w:val="22"/>
          <w:szCs w:val="22"/>
        </w:rPr>
        <w:t>-</w:t>
      </w:r>
      <w:r w:rsidRPr="005045BF">
        <w:rPr>
          <w:rFonts w:ascii="Arial" w:hAnsi="Arial" w:cs="Arial"/>
          <w:sz w:val="22"/>
          <w:szCs w:val="22"/>
        </w:rPr>
        <w:t>201</w:t>
      </w:r>
      <w:r w:rsidR="00573AEE" w:rsidRPr="005045BF">
        <w:rPr>
          <w:rFonts w:ascii="Arial" w:hAnsi="Arial" w:cs="Arial"/>
          <w:sz w:val="22"/>
          <w:szCs w:val="22"/>
        </w:rPr>
        <w:t>9</w:t>
      </w:r>
      <w:r w:rsidRPr="005045BF">
        <w:rPr>
          <w:rFonts w:ascii="Arial" w:hAnsi="Arial" w:cs="Arial"/>
          <w:sz w:val="22"/>
          <w:szCs w:val="22"/>
        </w:rPr>
        <w:t xml:space="preserve">, </w:t>
      </w:r>
      <w:r w:rsidR="0096268B" w:rsidRPr="005045BF">
        <w:rPr>
          <w:rFonts w:ascii="Arial" w:hAnsi="Arial" w:cs="Arial"/>
          <w:sz w:val="22"/>
          <w:szCs w:val="22"/>
        </w:rPr>
        <w:t xml:space="preserve">se obtuvo que el gasto de mantenimiento básico de los vehículos al servicio de este Ministerio presentó </w:t>
      </w:r>
      <w:r w:rsidR="00D907D8" w:rsidRPr="005045BF">
        <w:rPr>
          <w:rFonts w:ascii="Arial" w:hAnsi="Arial" w:cs="Arial"/>
          <w:sz w:val="22"/>
          <w:szCs w:val="22"/>
        </w:rPr>
        <w:t>un</w:t>
      </w:r>
      <w:r w:rsidR="00573AEE" w:rsidRPr="005045BF">
        <w:rPr>
          <w:rFonts w:ascii="Arial" w:hAnsi="Arial" w:cs="Arial"/>
          <w:sz w:val="22"/>
          <w:szCs w:val="22"/>
        </w:rPr>
        <w:t>a</w:t>
      </w:r>
      <w:r w:rsidR="00D16854" w:rsidRPr="005045BF">
        <w:rPr>
          <w:rFonts w:ascii="Arial" w:hAnsi="Arial" w:cs="Arial"/>
          <w:sz w:val="22"/>
          <w:szCs w:val="22"/>
        </w:rPr>
        <w:t xml:space="preserve"> </w:t>
      </w:r>
      <w:r w:rsidR="00573AEE" w:rsidRPr="005045BF">
        <w:rPr>
          <w:rFonts w:ascii="Arial" w:hAnsi="Arial" w:cs="Arial"/>
          <w:sz w:val="22"/>
          <w:szCs w:val="22"/>
        </w:rPr>
        <w:t xml:space="preserve">variación </w:t>
      </w:r>
      <w:r w:rsidR="0096268B" w:rsidRPr="005045BF">
        <w:rPr>
          <w:rFonts w:ascii="Arial" w:hAnsi="Arial" w:cs="Arial"/>
          <w:sz w:val="22"/>
          <w:szCs w:val="22"/>
        </w:rPr>
        <w:t xml:space="preserve">positiva, </w:t>
      </w:r>
      <w:r w:rsidR="00573AEE" w:rsidRPr="005045BF">
        <w:rPr>
          <w:rFonts w:ascii="Arial" w:hAnsi="Arial" w:cs="Arial"/>
          <w:sz w:val="22"/>
          <w:szCs w:val="22"/>
        </w:rPr>
        <w:t xml:space="preserve">equivalente a </w:t>
      </w:r>
      <w:r w:rsidR="0096268B" w:rsidRPr="005045BF">
        <w:rPr>
          <w:rFonts w:ascii="Arial" w:hAnsi="Arial" w:cs="Arial"/>
          <w:sz w:val="22"/>
          <w:szCs w:val="22"/>
        </w:rPr>
        <w:t xml:space="preserve">un incremento del </w:t>
      </w:r>
      <w:r w:rsidR="00573AEE" w:rsidRPr="005045BF">
        <w:rPr>
          <w:rFonts w:ascii="Arial" w:hAnsi="Arial" w:cs="Arial"/>
          <w:sz w:val="22"/>
          <w:szCs w:val="22"/>
        </w:rPr>
        <w:t>3</w:t>
      </w:r>
      <w:r w:rsidR="00D16854" w:rsidRPr="005045BF">
        <w:rPr>
          <w:rFonts w:ascii="Arial" w:hAnsi="Arial" w:cs="Arial"/>
          <w:sz w:val="22"/>
          <w:szCs w:val="22"/>
        </w:rPr>
        <w:t xml:space="preserve">%. </w:t>
      </w:r>
    </w:p>
    <w:p w14:paraId="33DC84D4" w14:textId="2DE08046" w:rsidR="0026528C" w:rsidRPr="005045BF" w:rsidRDefault="0026528C" w:rsidP="006E2879">
      <w:pPr>
        <w:jc w:val="both"/>
        <w:rPr>
          <w:rFonts w:ascii="Arial" w:hAnsi="Arial" w:cs="Arial"/>
          <w:sz w:val="22"/>
          <w:szCs w:val="22"/>
        </w:rPr>
      </w:pPr>
    </w:p>
    <w:p w14:paraId="3B3A017D" w14:textId="77777777" w:rsidR="00BD2496" w:rsidRPr="005045BF" w:rsidRDefault="00BD2496" w:rsidP="006E2879">
      <w:pPr>
        <w:rPr>
          <w:rFonts w:ascii="Arial" w:hAnsi="Arial" w:cs="Arial"/>
          <w:sz w:val="22"/>
          <w:szCs w:val="22"/>
          <w:highlight w:val="yellow"/>
        </w:rPr>
      </w:pPr>
    </w:p>
    <w:p w14:paraId="4B554CD5" w14:textId="3D8F612F" w:rsidR="00BB72E3" w:rsidRPr="005045BF" w:rsidRDefault="00E234F0" w:rsidP="00D63504">
      <w:pPr>
        <w:rPr>
          <w:rFonts w:ascii="Arial" w:hAnsi="Arial" w:cs="Arial"/>
          <w:b/>
          <w:sz w:val="22"/>
          <w:szCs w:val="22"/>
        </w:rPr>
      </w:pPr>
      <w:r w:rsidRPr="005045BF">
        <w:rPr>
          <w:rFonts w:ascii="Arial" w:hAnsi="Arial" w:cs="Arial"/>
          <w:b/>
          <w:sz w:val="22"/>
          <w:szCs w:val="22"/>
        </w:rPr>
        <w:t xml:space="preserve">5.2 </w:t>
      </w:r>
      <w:r w:rsidR="00BB72E3" w:rsidRPr="005045BF">
        <w:rPr>
          <w:rFonts w:ascii="Arial" w:hAnsi="Arial" w:cs="Arial"/>
          <w:b/>
          <w:sz w:val="22"/>
          <w:szCs w:val="22"/>
        </w:rPr>
        <w:t>COMBUSTIBLES</w:t>
      </w:r>
      <w:r w:rsidR="00E27005" w:rsidRPr="005045BF">
        <w:rPr>
          <w:rStyle w:val="Refdenotaalpie"/>
          <w:rFonts w:ascii="Arial" w:hAnsi="Arial" w:cs="Arial"/>
          <w:b/>
          <w:sz w:val="22"/>
          <w:szCs w:val="22"/>
        </w:rPr>
        <w:footnoteReference w:id="8"/>
      </w:r>
    </w:p>
    <w:p w14:paraId="6825D3E9" w14:textId="22902353" w:rsidR="00EA6FE5" w:rsidRPr="005045BF" w:rsidRDefault="00EA6FE5" w:rsidP="007C1419">
      <w:pPr>
        <w:rPr>
          <w:rFonts w:ascii="Arial" w:hAnsi="Arial" w:cs="Arial"/>
          <w:b/>
          <w:sz w:val="22"/>
          <w:szCs w:val="22"/>
        </w:rPr>
      </w:pPr>
    </w:p>
    <w:p w14:paraId="3AD10307" w14:textId="0EFF2CBC" w:rsidR="00F33E12" w:rsidRPr="005045BF" w:rsidRDefault="00E462C5" w:rsidP="007C1419">
      <w:pPr>
        <w:jc w:val="both"/>
        <w:rPr>
          <w:rFonts w:ascii="Arial" w:hAnsi="Arial" w:cs="Arial"/>
          <w:sz w:val="22"/>
          <w:szCs w:val="22"/>
        </w:rPr>
      </w:pPr>
      <w:r w:rsidRPr="005045BF">
        <w:rPr>
          <w:rFonts w:ascii="Arial" w:hAnsi="Arial" w:cs="Arial"/>
          <w:bCs/>
          <w:sz w:val="22"/>
          <w:szCs w:val="22"/>
        </w:rPr>
        <w:t xml:space="preserve">Referente al gasto de combustible para los vehículos que </w:t>
      </w:r>
      <w:r w:rsidR="002D6B4A" w:rsidRPr="005045BF">
        <w:rPr>
          <w:rFonts w:ascii="Arial" w:hAnsi="Arial" w:cs="Arial"/>
          <w:bCs/>
          <w:sz w:val="22"/>
          <w:szCs w:val="22"/>
        </w:rPr>
        <w:t xml:space="preserve">conforma el </w:t>
      </w:r>
      <w:r w:rsidRPr="005045BF">
        <w:rPr>
          <w:rFonts w:ascii="Arial" w:hAnsi="Arial" w:cs="Arial"/>
          <w:bCs/>
          <w:sz w:val="22"/>
          <w:szCs w:val="22"/>
        </w:rPr>
        <w:t xml:space="preserve">parque automotor de este Ministerio, </w:t>
      </w:r>
      <w:r w:rsidR="003F0784" w:rsidRPr="005045BF">
        <w:rPr>
          <w:rFonts w:ascii="Arial" w:hAnsi="Arial" w:cs="Arial"/>
          <w:bCs/>
          <w:sz w:val="22"/>
          <w:szCs w:val="22"/>
        </w:rPr>
        <w:t xml:space="preserve">a 31 de marzo de 2020 </w:t>
      </w:r>
      <w:r w:rsidRPr="005045BF">
        <w:rPr>
          <w:rFonts w:ascii="Arial" w:hAnsi="Arial" w:cs="Arial"/>
          <w:bCs/>
          <w:sz w:val="22"/>
          <w:szCs w:val="22"/>
        </w:rPr>
        <w:t>se tiene suscrito</w:t>
      </w:r>
      <w:r w:rsidR="003F0784" w:rsidRPr="005045BF">
        <w:rPr>
          <w:rFonts w:ascii="Arial" w:hAnsi="Arial" w:cs="Arial"/>
          <w:bCs/>
          <w:sz w:val="22"/>
          <w:szCs w:val="22"/>
        </w:rPr>
        <w:t xml:space="preserve"> </w:t>
      </w:r>
      <w:r w:rsidR="00F33E12" w:rsidRPr="005045BF">
        <w:rPr>
          <w:rFonts w:ascii="Arial" w:hAnsi="Arial" w:cs="Arial"/>
          <w:bCs/>
          <w:sz w:val="22"/>
          <w:szCs w:val="22"/>
        </w:rPr>
        <w:t xml:space="preserve">el contrato </w:t>
      </w:r>
      <w:r w:rsidR="00EA6FE5" w:rsidRPr="005045BF">
        <w:rPr>
          <w:rFonts w:ascii="Arial" w:hAnsi="Arial" w:cs="Arial"/>
          <w:sz w:val="22"/>
          <w:szCs w:val="22"/>
        </w:rPr>
        <w:t xml:space="preserve">No. </w:t>
      </w:r>
      <w:r w:rsidR="00E86826" w:rsidRPr="005045BF">
        <w:rPr>
          <w:rFonts w:ascii="Arial" w:hAnsi="Arial" w:cs="Arial"/>
          <w:sz w:val="22"/>
          <w:szCs w:val="22"/>
        </w:rPr>
        <w:t xml:space="preserve">11.005-2019 </w:t>
      </w:r>
      <w:r w:rsidRPr="005045BF">
        <w:rPr>
          <w:rFonts w:ascii="Arial" w:hAnsi="Arial" w:cs="Arial"/>
          <w:sz w:val="22"/>
          <w:szCs w:val="22"/>
        </w:rPr>
        <w:t xml:space="preserve">con la </w:t>
      </w:r>
      <w:r w:rsidR="00EA6FE5" w:rsidRPr="005045BF">
        <w:rPr>
          <w:rFonts w:ascii="Arial" w:hAnsi="Arial" w:cs="Arial"/>
          <w:sz w:val="22"/>
          <w:szCs w:val="22"/>
        </w:rPr>
        <w:t>Organización Terpel S.A</w:t>
      </w:r>
      <w:r w:rsidR="002D6B4A" w:rsidRPr="005045BF">
        <w:rPr>
          <w:rFonts w:ascii="Arial" w:hAnsi="Arial" w:cs="Arial"/>
          <w:sz w:val="22"/>
          <w:szCs w:val="22"/>
        </w:rPr>
        <w:t xml:space="preserve"> </w:t>
      </w:r>
      <w:r w:rsidR="002D6B4A" w:rsidRPr="005045BF">
        <w:rPr>
          <w:rFonts w:ascii="Arial" w:hAnsi="Arial" w:cs="Arial"/>
          <w:i/>
          <w:iCs/>
          <w:sz w:val="22"/>
          <w:szCs w:val="22"/>
        </w:rPr>
        <w:t>suministro</w:t>
      </w:r>
      <w:r w:rsidR="00EA6FE5" w:rsidRPr="005045BF">
        <w:rPr>
          <w:rFonts w:ascii="Arial" w:hAnsi="Arial" w:cs="Arial"/>
          <w:i/>
          <w:iCs/>
          <w:sz w:val="22"/>
          <w:szCs w:val="22"/>
        </w:rPr>
        <w:t xml:space="preserve"> de </w:t>
      </w:r>
      <w:r w:rsidR="002D6B4A" w:rsidRPr="005045BF">
        <w:rPr>
          <w:rFonts w:ascii="Arial" w:hAnsi="Arial" w:cs="Arial"/>
          <w:i/>
          <w:iCs/>
          <w:sz w:val="22"/>
          <w:szCs w:val="22"/>
        </w:rPr>
        <w:t>bio</w:t>
      </w:r>
      <w:r w:rsidR="00E86826" w:rsidRPr="005045BF">
        <w:rPr>
          <w:rFonts w:ascii="Arial" w:hAnsi="Arial" w:cs="Arial"/>
          <w:i/>
          <w:iCs/>
          <w:sz w:val="22"/>
          <w:szCs w:val="22"/>
        </w:rPr>
        <w:t>gasolina motor corriente, extra y diésel para los automotores del Ministerio de Hacienda y Crédito Público</w:t>
      </w:r>
      <w:r w:rsidR="00E71E03" w:rsidRPr="005045BF">
        <w:rPr>
          <w:rFonts w:ascii="Arial" w:hAnsi="Arial" w:cs="Arial"/>
          <w:i/>
          <w:iCs/>
          <w:sz w:val="22"/>
          <w:szCs w:val="22"/>
        </w:rPr>
        <w:t>.</w:t>
      </w:r>
      <w:r w:rsidR="007D7CD2" w:rsidRPr="005045BF">
        <w:rPr>
          <w:rFonts w:ascii="Arial" w:hAnsi="Arial" w:cs="Arial"/>
          <w:i/>
          <w:iCs/>
          <w:sz w:val="22"/>
          <w:szCs w:val="22"/>
        </w:rPr>
        <w:t xml:space="preserve"> </w:t>
      </w:r>
    </w:p>
    <w:p w14:paraId="36377176" w14:textId="0D3A1ACB" w:rsidR="00F33E12" w:rsidRPr="005045BF" w:rsidRDefault="00F33E12" w:rsidP="007C1419">
      <w:pPr>
        <w:jc w:val="both"/>
        <w:rPr>
          <w:rFonts w:ascii="Arial" w:hAnsi="Arial" w:cs="Arial"/>
          <w:sz w:val="22"/>
          <w:szCs w:val="22"/>
        </w:rPr>
      </w:pPr>
    </w:p>
    <w:p w14:paraId="79CC56BE" w14:textId="77777777" w:rsidR="005D72A3" w:rsidRPr="005045BF" w:rsidRDefault="00F33E12" w:rsidP="007C1419">
      <w:pPr>
        <w:jc w:val="both"/>
        <w:rPr>
          <w:rFonts w:ascii="Arial" w:hAnsi="Arial" w:cs="Arial"/>
          <w:sz w:val="22"/>
          <w:szCs w:val="22"/>
        </w:rPr>
      </w:pPr>
      <w:r w:rsidRPr="005045BF">
        <w:rPr>
          <w:rFonts w:ascii="Arial" w:hAnsi="Arial" w:cs="Arial"/>
          <w:sz w:val="22"/>
          <w:szCs w:val="22"/>
        </w:rPr>
        <w:t xml:space="preserve">En este punto, es importante mencionar que en la vigencia 2019, este Ministerio suscribió el contrato No. 11.004-2019 por valor de $ 10.000.000 el cual tiene como objeto de </w:t>
      </w:r>
      <w:r w:rsidRPr="005045BF">
        <w:rPr>
          <w:rFonts w:ascii="Arial" w:hAnsi="Arial" w:cs="Arial"/>
          <w:i/>
          <w:iCs/>
          <w:sz w:val="22"/>
          <w:szCs w:val="22"/>
        </w:rPr>
        <w:t>Suministrar biogasolina motor corriente, extra y diésel para los automotores al servicio del Ministerio de Hacienda y Crédito Público. Adquisición de medios de pago alternativo o bonos para suministro de combustible de conformidad con el acuerdo marco de precios (categoría D)</w:t>
      </w:r>
      <w:r w:rsidR="005356E5" w:rsidRPr="005045BF">
        <w:rPr>
          <w:rFonts w:ascii="Arial" w:hAnsi="Arial" w:cs="Arial"/>
          <w:i/>
          <w:iCs/>
          <w:sz w:val="22"/>
          <w:szCs w:val="22"/>
        </w:rPr>
        <w:t>.</w:t>
      </w:r>
      <w:r w:rsidR="00E80572" w:rsidRPr="005045BF">
        <w:rPr>
          <w:rFonts w:ascii="Arial" w:hAnsi="Arial" w:cs="Arial"/>
          <w:sz w:val="22"/>
          <w:szCs w:val="22"/>
        </w:rPr>
        <w:t xml:space="preserve"> </w:t>
      </w:r>
    </w:p>
    <w:p w14:paraId="486039F0" w14:textId="77777777" w:rsidR="005D72A3" w:rsidRPr="005045BF" w:rsidRDefault="005D72A3" w:rsidP="007C1419">
      <w:pPr>
        <w:jc w:val="both"/>
        <w:rPr>
          <w:rFonts w:ascii="Arial" w:hAnsi="Arial" w:cs="Arial"/>
          <w:sz w:val="22"/>
          <w:szCs w:val="22"/>
        </w:rPr>
      </w:pPr>
    </w:p>
    <w:p w14:paraId="0922A049" w14:textId="5FA02A31" w:rsidR="00F33E12" w:rsidRPr="005045BF" w:rsidRDefault="00661898" w:rsidP="007C1419">
      <w:pPr>
        <w:jc w:val="both"/>
        <w:rPr>
          <w:rFonts w:ascii="Arial" w:hAnsi="Arial" w:cs="Arial"/>
          <w:sz w:val="22"/>
          <w:szCs w:val="22"/>
        </w:rPr>
      </w:pPr>
      <w:r w:rsidRPr="005045BF">
        <w:rPr>
          <w:rFonts w:ascii="Arial" w:hAnsi="Arial" w:cs="Arial"/>
          <w:sz w:val="22"/>
          <w:szCs w:val="22"/>
        </w:rPr>
        <w:t xml:space="preserve">Si bien, </w:t>
      </w:r>
      <w:r w:rsidR="00D64027" w:rsidRPr="005045BF">
        <w:rPr>
          <w:rFonts w:ascii="Arial" w:hAnsi="Arial" w:cs="Arial"/>
          <w:sz w:val="22"/>
          <w:szCs w:val="22"/>
        </w:rPr>
        <w:t xml:space="preserve">el citado </w:t>
      </w:r>
      <w:r w:rsidRPr="005045BF">
        <w:rPr>
          <w:rFonts w:ascii="Arial" w:hAnsi="Arial" w:cs="Arial"/>
          <w:sz w:val="22"/>
          <w:szCs w:val="22"/>
        </w:rPr>
        <w:t>contrato venció el 31 de diciembre de 20</w:t>
      </w:r>
      <w:r w:rsidR="0097411D" w:rsidRPr="005045BF">
        <w:rPr>
          <w:rFonts w:ascii="Arial" w:hAnsi="Arial" w:cs="Arial"/>
          <w:sz w:val="22"/>
          <w:szCs w:val="22"/>
        </w:rPr>
        <w:t>19</w:t>
      </w:r>
      <w:r w:rsidRPr="005045BF">
        <w:rPr>
          <w:rFonts w:ascii="Arial" w:hAnsi="Arial" w:cs="Arial"/>
          <w:sz w:val="22"/>
          <w:szCs w:val="22"/>
        </w:rPr>
        <w:t xml:space="preserve">, </w:t>
      </w:r>
      <w:r w:rsidR="0097411D" w:rsidRPr="005045BF">
        <w:rPr>
          <w:rFonts w:ascii="Arial" w:hAnsi="Arial" w:cs="Arial"/>
          <w:sz w:val="22"/>
          <w:szCs w:val="22"/>
        </w:rPr>
        <w:t xml:space="preserve">la </w:t>
      </w:r>
      <w:r w:rsidRPr="005045BF">
        <w:rPr>
          <w:rFonts w:ascii="Arial" w:hAnsi="Arial" w:cs="Arial"/>
          <w:sz w:val="22"/>
          <w:szCs w:val="22"/>
        </w:rPr>
        <w:t xml:space="preserve">ejecución </w:t>
      </w:r>
      <w:r w:rsidR="0097411D" w:rsidRPr="005045BF">
        <w:rPr>
          <w:rFonts w:ascii="Arial" w:hAnsi="Arial" w:cs="Arial"/>
          <w:sz w:val="22"/>
          <w:szCs w:val="22"/>
        </w:rPr>
        <w:t>está vigente, es decir que los bonos [SODEXO] adquiridos por valor de $ 10.000.000 serán</w:t>
      </w:r>
      <w:r w:rsidR="00A76E63" w:rsidRPr="005045BF">
        <w:rPr>
          <w:rFonts w:ascii="Arial" w:hAnsi="Arial" w:cs="Arial"/>
          <w:sz w:val="22"/>
          <w:szCs w:val="22"/>
        </w:rPr>
        <w:t xml:space="preserve"> utilizados gradualmente </w:t>
      </w:r>
      <w:r w:rsidR="00C6042A">
        <w:rPr>
          <w:rFonts w:ascii="Arial" w:hAnsi="Arial" w:cs="Arial"/>
          <w:sz w:val="22"/>
          <w:szCs w:val="22"/>
        </w:rPr>
        <w:t xml:space="preserve">durante la vigencia 2020 </w:t>
      </w:r>
      <w:r w:rsidR="00A76E63" w:rsidRPr="005045BF">
        <w:rPr>
          <w:rFonts w:ascii="Arial" w:hAnsi="Arial" w:cs="Arial"/>
          <w:sz w:val="22"/>
          <w:szCs w:val="22"/>
        </w:rPr>
        <w:t>de acuerdo con la necesidad del servicio, para lo cual, la Subdirección de Servicios es el área encargada de aplicar los controles requeridos para la</w:t>
      </w:r>
      <w:r w:rsidR="00875DF5" w:rsidRPr="005045BF">
        <w:rPr>
          <w:rFonts w:ascii="Arial" w:hAnsi="Arial" w:cs="Arial"/>
          <w:sz w:val="22"/>
          <w:szCs w:val="22"/>
        </w:rPr>
        <w:t xml:space="preserve"> respectiva </w:t>
      </w:r>
      <w:r w:rsidR="00A76E63" w:rsidRPr="005045BF">
        <w:rPr>
          <w:rFonts w:ascii="Arial" w:hAnsi="Arial" w:cs="Arial"/>
          <w:sz w:val="22"/>
          <w:szCs w:val="22"/>
        </w:rPr>
        <w:t xml:space="preserve">ejecución de los bonos. </w:t>
      </w:r>
    </w:p>
    <w:p w14:paraId="49BDB0F2" w14:textId="4D44CF76" w:rsidR="00F33E12" w:rsidRPr="005045BF" w:rsidRDefault="00F33E12" w:rsidP="007C1419">
      <w:pPr>
        <w:jc w:val="both"/>
        <w:rPr>
          <w:rFonts w:ascii="Arial" w:hAnsi="Arial" w:cs="Arial"/>
          <w:i/>
          <w:iCs/>
          <w:sz w:val="22"/>
          <w:szCs w:val="22"/>
        </w:rPr>
      </w:pPr>
    </w:p>
    <w:p w14:paraId="63D7CEBC" w14:textId="54AC74E2" w:rsidR="00661898" w:rsidRPr="005045BF" w:rsidRDefault="00661898" w:rsidP="007C1419">
      <w:pPr>
        <w:jc w:val="both"/>
        <w:rPr>
          <w:rFonts w:ascii="Arial" w:hAnsi="Arial" w:cs="Arial"/>
          <w:color w:val="000000" w:themeColor="text1"/>
          <w:sz w:val="22"/>
          <w:szCs w:val="22"/>
        </w:rPr>
      </w:pPr>
      <w:r w:rsidRPr="005045BF">
        <w:rPr>
          <w:rFonts w:ascii="Arial" w:hAnsi="Arial" w:cs="Arial"/>
          <w:color w:val="000000" w:themeColor="text1"/>
          <w:sz w:val="22"/>
          <w:szCs w:val="22"/>
        </w:rPr>
        <w:t>Por lo anterior, en el análisis</w:t>
      </w:r>
      <w:r w:rsidR="00C6042A">
        <w:rPr>
          <w:rFonts w:ascii="Arial" w:hAnsi="Arial" w:cs="Arial"/>
          <w:color w:val="000000" w:themeColor="text1"/>
          <w:sz w:val="22"/>
          <w:szCs w:val="22"/>
        </w:rPr>
        <w:t xml:space="preserve"> para el concepto de combustible </w:t>
      </w:r>
      <w:r w:rsidRPr="005045BF">
        <w:rPr>
          <w:rFonts w:ascii="Arial" w:hAnsi="Arial" w:cs="Arial"/>
          <w:color w:val="000000" w:themeColor="text1"/>
          <w:sz w:val="22"/>
          <w:szCs w:val="22"/>
        </w:rPr>
        <w:t xml:space="preserve">se incluyó tanto el consumo como el valor ejecutado durante el primer trimestre de 2020 </w:t>
      </w:r>
      <w:r w:rsidR="001C38D2" w:rsidRPr="005045BF">
        <w:rPr>
          <w:rFonts w:ascii="Arial" w:hAnsi="Arial" w:cs="Arial"/>
          <w:color w:val="000000" w:themeColor="text1"/>
          <w:sz w:val="22"/>
          <w:szCs w:val="22"/>
        </w:rPr>
        <w:t>del contrato 11.004.-2019</w:t>
      </w:r>
      <w:r w:rsidR="00274720" w:rsidRPr="005045BF">
        <w:rPr>
          <w:rFonts w:ascii="Arial" w:hAnsi="Arial" w:cs="Arial"/>
          <w:color w:val="000000" w:themeColor="text1"/>
          <w:sz w:val="22"/>
          <w:szCs w:val="22"/>
        </w:rPr>
        <w:t xml:space="preserve"> [bonos Sodexo]</w:t>
      </w:r>
      <w:r w:rsidR="001C38D2"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y se establecieron las variaciones frente al mismo periodo de 2019</w:t>
      </w:r>
      <w:r w:rsidR="001C38D2" w:rsidRPr="005045BF">
        <w:rPr>
          <w:rFonts w:ascii="Arial" w:hAnsi="Arial" w:cs="Arial"/>
          <w:color w:val="000000" w:themeColor="text1"/>
          <w:sz w:val="22"/>
          <w:szCs w:val="22"/>
        </w:rPr>
        <w:t>, toda vez que</w:t>
      </w:r>
      <w:r w:rsidR="00372F8F" w:rsidRPr="005045BF">
        <w:rPr>
          <w:rFonts w:ascii="Arial" w:hAnsi="Arial" w:cs="Arial"/>
          <w:color w:val="000000" w:themeColor="text1"/>
          <w:sz w:val="22"/>
          <w:szCs w:val="22"/>
        </w:rPr>
        <w:t xml:space="preserve">, </w:t>
      </w:r>
      <w:r w:rsidR="001C38D2" w:rsidRPr="005045BF">
        <w:rPr>
          <w:rFonts w:ascii="Arial" w:hAnsi="Arial" w:cs="Arial"/>
          <w:color w:val="000000" w:themeColor="text1"/>
          <w:sz w:val="22"/>
          <w:szCs w:val="22"/>
        </w:rPr>
        <w:t>contribuye con la estadística del consumo de combustible.</w:t>
      </w:r>
    </w:p>
    <w:p w14:paraId="3C9E4866" w14:textId="77777777" w:rsidR="00351971" w:rsidRPr="005045BF" w:rsidRDefault="00351971" w:rsidP="007C1419">
      <w:pPr>
        <w:jc w:val="both"/>
        <w:rPr>
          <w:rFonts w:ascii="Arial" w:hAnsi="Arial" w:cs="Arial"/>
          <w:color w:val="000000" w:themeColor="text1"/>
          <w:sz w:val="22"/>
          <w:szCs w:val="22"/>
        </w:rPr>
      </w:pPr>
    </w:p>
    <w:p w14:paraId="4EFB8729" w14:textId="4EA66209" w:rsidR="00AA60EE" w:rsidRPr="005045BF" w:rsidRDefault="00AA60EE" w:rsidP="007C1419">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Con base en la información consultada en el SIIF correspondiente a las obligaciones del valor del gasto por combustible para los periodos de enero, febrero y marzo </w:t>
      </w:r>
      <w:r w:rsidR="00EE66D0" w:rsidRPr="005045BF">
        <w:rPr>
          <w:rFonts w:ascii="Arial" w:hAnsi="Arial" w:cs="Arial"/>
          <w:color w:val="000000" w:themeColor="text1"/>
          <w:sz w:val="22"/>
          <w:szCs w:val="22"/>
        </w:rPr>
        <w:t xml:space="preserve">de 2020 y 2019 </w:t>
      </w:r>
      <w:r w:rsidRPr="005045BF">
        <w:rPr>
          <w:rFonts w:ascii="Arial" w:hAnsi="Arial" w:cs="Arial"/>
          <w:color w:val="000000" w:themeColor="text1"/>
          <w:sz w:val="22"/>
          <w:szCs w:val="22"/>
        </w:rPr>
        <w:t>y los consumos de combustible reportados por la Subdirección de Servicios</w:t>
      </w:r>
      <w:r w:rsidR="00EB455F" w:rsidRPr="005045BF">
        <w:rPr>
          <w:rFonts w:ascii="Arial" w:hAnsi="Arial" w:cs="Arial"/>
          <w:color w:val="000000" w:themeColor="text1"/>
          <w:sz w:val="22"/>
          <w:szCs w:val="22"/>
        </w:rPr>
        <w:t xml:space="preserve"> concernientes </w:t>
      </w:r>
      <w:r w:rsidR="00EE66D0" w:rsidRPr="005045BF">
        <w:rPr>
          <w:rFonts w:ascii="Arial" w:hAnsi="Arial" w:cs="Arial"/>
          <w:color w:val="000000" w:themeColor="text1"/>
          <w:sz w:val="22"/>
          <w:szCs w:val="22"/>
        </w:rPr>
        <w:t xml:space="preserve">a dichos periodos, </w:t>
      </w:r>
      <w:r w:rsidR="001038C8" w:rsidRPr="005045BF">
        <w:rPr>
          <w:rFonts w:ascii="Arial" w:hAnsi="Arial" w:cs="Arial"/>
          <w:color w:val="000000" w:themeColor="text1"/>
          <w:sz w:val="22"/>
          <w:szCs w:val="22"/>
        </w:rPr>
        <w:t xml:space="preserve">se </w:t>
      </w:r>
      <w:r w:rsidRPr="005045BF">
        <w:rPr>
          <w:rFonts w:ascii="Arial" w:hAnsi="Arial" w:cs="Arial"/>
          <w:color w:val="000000" w:themeColor="text1"/>
          <w:sz w:val="22"/>
          <w:szCs w:val="22"/>
        </w:rPr>
        <w:t>establecie</w:t>
      </w:r>
      <w:r w:rsidR="001038C8" w:rsidRPr="005045BF">
        <w:rPr>
          <w:rFonts w:ascii="Arial" w:hAnsi="Arial" w:cs="Arial"/>
          <w:color w:val="000000" w:themeColor="text1"/>
          <w:sz w:val="22"/>
          <w:szCs w:val="22"/>
        </w:rPr>
        <w:t>ron</w:t>
      </w:r>
      <w:r w:rsidRPr="005045BF">
        <w:rPr>
          <w:rFonts w:ascii="Arial" w:hAnsi="Arial" w:cs="Arial"/>
          <w:color w:val="000000" w:themeColor="text1"/>
          <w:sz w:val="22"/>
          <w:szCs w:val="22"/>
        </w:rPr>
        <w:t xml:space="preserve"> </w:t>
      </w:r>
      <w:r w:rsidR="00EE66D0" w:rsidRPr="005045BF">
        <w:rPr>
          <w:rFonts w:ascii="Arial" w:hAnsi="Arial" w:cs="Arial"/>
          <w:color w:val="000000" w:themeColor="text1"/>
          <w:sz w:val="22"/>
          <w:szCs w:val="22"/>
        </w:rPr>
        <w:t xml:space="preserve">las respectivas </w:t>
      </w:r>
      <w:r w:rsidRPr="005045BF">
        <w:rPr>
          <w:rFonts w:ascii="Arial" w:hAnsi="Arial" w:cs="Arial"/>
          <w:color w:val="000000" w:themeColor="text1"/>
          <w:sz w:val="22"/>
          <w:szCs w:val="22"/>
        </w:rPr>
        <w:t>variaciones</w:t>
      </w:r>
      <w:r w:rsidR="00EE66D0" w:rsidRPr="005045BF">
        <w:rPr>
          <w:rFonts w:ascii="Arial" w:hAnsi="Arial" w:cs="Arial"/>
          <w:color w:val="000000" w:themeColor="text1"/>
          <w:sz w:val="22"/>
          <w:szCs w:val="22"/>
        </w:rPr>
        <w:t xml:space="preserve"> para el primer trimestre de 2020 -2019. </w:t>
      </w:r>
    </w:p>
    <w:p w14:paraId="65B140FA" w14:textId="77777777" w:rsidR="00AA60EE" w:rsidRPr="005045BF" w:rsidRDefault="00AA60EE" w:rsidP="007C1419">
      <w:pPr>
        <w:jc w:val="both"/>
        <w:rPr>
          <w:rFonts w:ascii="Arial" w:hAnsi="Arial" w:cs="Arial"/>
          <w:sz w:val="22"/>
          <w:szCs w:val="22"/>
        </w:rPr>
      </w:pPr>
    </w:p>
    <w:p w14:paraId="22717719" w14:textId="5129DA9F" w:rsidR="00B91AE6" w:rsidRPr="005045BF" w:rsidRDefault="008F7ACF" w:rsidP="007C1419">
      <w:pPr>
        <w:jc w:val="both"/>
        <w:rPr>
          <w:rFonts w:ascii="Arial" w:hAnsi="Arial" w:cs="Arial"/>
          <w:sz w:val="22"/>
          <w:szCs w:val="22"/>
        </w:rPr>
      </w:pPr>
      <w:r w:rsidRPr="005045BF">
        <w:rPr>
          <w:rFonts w:ascii="Arial" w:hAnsi="Arial" w:cs="Arial"/>
          <w:sz w:val="22"/>
          <w:szCs w:val="22"/>
        </w:rPr>
        <w:t xml:space="preserve">A </w:t>
      </w:r>
      <w:r w:rsidR="00F57757" w:rsidRPr="005045BF">
        <w:rPr>
          <w:rFonts w:ascii="Arial" w:hAnsi="Arial" w:cs="Arial"/>
          <w:sz w:val="22"/>
          <w:szCs w:val="22"/>
        </w:rPr>
        <w:t>continuación,</w:t>
      </w:r>
      <w:r w:rsidRPr="005045BF">
        <w:rPr>
          <w:rFonts w:ascii="Arial" w:hAnsi="Arial" w:cs="Arial"/>
          <w:sz w:val="22"/>
          <w:szCs w:val="22"/>
        </w:rPr>
        <w:t xml:space="preserve"> </w:t>
      </w:r>
      <w:r w:rsidR="00E71E03" w:rsidRPr="005045BF">
        <w:rPr>
          <w:rFonts w:ascii="Arial" w:hAnsi="Arial" w:cs="Arial"/>
          <w:sz w:val="22"/>
          <w:szCs w:val="22"/>
        </w:rPr>
        <w:t xml:space="preserve">se presenta el </w:t>
      </w:r>
      <w:r w:rsidR="007D7CD2" w:rsidRPr="005045BF">
        <w:rPr>
          <w:rFonts w:ascii="Arial" w:hAnsi="Arial" w:cs="Arial"/>
          <w:sz w:val="22"/>
          <w:szCs w:val="22"/>
        </w:rPr>
        <w:t xml:space="preserve">valor de las obligaciones registradas en el SIIF </w:t>
      </w:r>
      <w:r w:rsidR="00BB72E3" w:rsidRPr="005045BF">
        <w:rPr>
          <w:rFonts w:ascii="Arial" w:hAnsi="Arial" w:cs="Arial"/>
          <w:sz w:val="22"/>
          <w:szCs w:val="22"/>
        </w:rPr>
        <w:t>por el consumo de gasolina y ACPM</w:t>
      </w:r>
      <w:r w:rsidR="006C28F7" w:rsidRPr="005045BF">
        <w:rPr>
          <w:rFonts w:ascii="Arial" w:hAnsi="Arial" w:cs="Arial"/>
          <w:sz w:val="22"/>
          <w:szCs w:val="22"/>
        </w:rPr>
        <w:t>,</w:t>
      </w:r>
      <w:r w:rsidR="00BB72E3" w:rsidRPr="005045BF">
        <w:rPr>
          <w:rFonts w:ascii="Arial" w:hAnsi="Arial" w:cs="Arial"/>
          <w:sz w:val="22"/>
          <w:szCs w:val="22"/>
        </w:rPr>
        <w:t xml:space="preserve"> correspondiente</w:t>
      </w:r>
      <w:r w:rsidR="00B90867" w:rsidRPr="005045BF">
        <w:rPr>
          <w:rFonts w:ascii="Arial" w:hAnsi="Arial" w:cs="Arial"/>
          <w:sz w:val="22"/>
          <w:szCs w:val="22"/>
        </w:rPr>
        <w:t>s</w:t>
      </w:r>
      <w:r w:rsidR="00BB72E3" w:rsidRPr="005045BF">
        <w:rPr>
          <w:rFonts w:ascii="Arial" w:hAnsi="Arial" w:cs="Arial"/>
          <w:sz w:val="22"/>
          <w:szCs w:val="22"/>
        </w:rPr>
        <w:t xml:space="preserve"> al </w:t>
      </w:r>
      <w:r w:rsidR="00A13D19" w:rsidRPr="005045BF">
        <w:rPr>
          <w:rFonts w:ascii="Arial" w:hAnsi="Arial" w:cs="Arial"/>
          <w:sz w:val="22"/>
          <w:szCs w:val="22"/>
        </w:rPr>
        <w:t xml:space="preserve">primer </w:t>
      </w:r>
      <w:r w:rsidR="00925BDC" w:rsidRPr="005045BF">
        <w:rPr>
          <w:rFonts w:ascii="Arial" w:hAnsi="Arial" w:cs="Arial"/>
          <w:sz w:val="22"/>
          <w:szCs w:val="22"/>
        </w:rPr>
        <w:t>trimestre</w:t>
      </w:r>
      <w:r w:rsidR="00D45352" w:rsidRPr="005045BF">
        <w:rPr>
          <w:rFonts w:ascii="Arial" w:hAnsi="Arial" w:cs="Arial"/>
          <w:sz w:val="22"/>
          <w:szCs w:val="22"/>
        </w:rPr>
        <w:t xml:space="preserve"> de 20</w:t>
      </w:r>
      <w:r w:rsidR="006C28F7" w:rsidRPr="005045BF">
        <w:rPr>
          <w:rFonts w:ascii="Arial" w:hAnsi="Arial" w:cs="Arial"/>
          <w:sz w:val="22"/>
          <w:szCs w:val="22"/>
        </w:rPr>
        <w:t>20</w:t>
      </w:r>
      <w:r w:rsidR="00BB72E3" w:rsidRPr="005045BF">
        <w:rPr>
          <w:rFonts w:ascii="Arial" w:hAnsi="Arial" w:cs="Arial"/>
          <w:sz w:val="22"/>
          <w:szCs w:val="22"/>
        </w:rPr>
        <w:t xml:space="preserve"> comparado con el mismo trimestre de 201</w:t>
      </w:r>
      <w:r w:rsidR="006C28F7" w:rsidRPr="005045BF">
        <w:rPr>
          <w:rFonts w:ascii="Arial" w:hAnsi="Arial" w:cs="Arial"/>
          <w:sz w:val="22"/>
          <w:szCs w:val="22"/>
        </w:rPr>
        <w:t>9</w:t>
      </w:r>
      <w:r w:rsidR="00BB72E3" w:rsidRPr="005045BF">
        <w:rPr>
          <w:rFonts w:ascii="Arial" w:hAnsi="Arial" w:cs="Arial"/>
          <w:sz w:val="22"/>
          <w:szCs w:val="22"/>
        </w:rPr>
        <w:t xml:space="preserve">:  </w:t>
      </w:r>
    </w:p>
    <w:p w14:paraId="4DB4DDA7" w14:textId="2EA82BFB" w:rsidR="007C1419" w:rsidRPr="005045BF" w:rsidRDefault="007C1419" w:rsidP="007C1419">
      <w:pPr>
        <w:jc w:val="both"/>
        <w:rPr>
          <w:rFonts w:ascii="Arial" w:hAnsi="Arial" w:cs="Arial"/>
          <w:sz w:val="22"/>
          <w:szCs w:val="22"/>
        </w:rPr>
      </w:pPr>
    </w:p>
    <w:p w14:paraId="04AC0DA2" w14:textId="77777777" w:rsidR="007C1419" w:rsidRPr="005045BF" w:rsidRDefault="007C1419" w:rsidP="007C1419">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1980"/>
        <w:gridCol w:w="2126"/>
        <w:gridCol w:w="1843"/>
        <w:gridCol w:w="1984"/>
        <w:gridCol w:w="1556"/>
      </w:tblGrid>
      <w:tr w:rsidR="00B91AE6" w:rsidRPr="005045BF" w14:paraId="7EB901EA" w14:textId="77777777" w:rsidTr="00CA757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9489" w:type="dxa"/>
            <w:gridSpan w:val="5"/>
            <w:shd w:val="clear" w:color="auto" w:fill="4F81BD" w:themeFill="accent1"/>
            <w:vAlign w:val="center"/>
            <w:hideMark/>
          </w:tcPr>
          <w:p w14:paraId="75F2CD40" w14:textId="77777777" w:rsidR="00B91AE6" w:rsidRPr="005045BF" w:rsidRDefault="00B91AE6" w:rsidP="007C1419">
            <w:pPr>
              <w:spacing w:before="120" w:after="100"/>
              <w:jc w:val="center"/>
              <w:rPr>
                <w:rFonts w:ascii="Arial" w:hAnsi="Arial" w:cs="Arial"/>
                <w:color w:val="000000"/>
                <w:sz w:val="20"/>
                <w:szCs w:val="20"/>
              </w:rPr>
            </w:pPr>
            <w:r w:rsidRPr="005045BF">
              <w:rPr>
                <w:rFonts w:ascii="Arial" w:hAnsi="Arial" w:cs="Arial"/>
                <w:color w:val="FFFFFF" w:themeColor="background1"/>
                <w:sz w:val="20"/>
                <w:szCs w:val="20"/>
              </w:rPr>
              <w:lastRenderedPageBreak/>
              <w:t xml:space="preserve">Gasto de </w:t>
            </w:r>
            <w:r w:rsidR="00564F41" w:rsidRPr="005045BF">
              <w:rPr>
                <w:rFonts w:ascii="Arial" w:hAnsi="Arial" w:cs="Arial"/>
                <w:color w:val="FFFFFF" w:themeColor="background1"/>
                <w:sz w:val="20"/>
                <w:szCs w:val="20"/>
              </w:rPr>
              <w:t>Combustible</w:t>
            </w:r>
            <w:r w:rsidRPr="005045BF">
              <w:rPr>
                <w:rFonts w:ascii="Arial" w:hAnsi="Arial" w:cs="Arial"/>
                <w:color w:val="FFFFFF" w:themeColor="background1"/>
                <w:sz w:val="20"/>
                <w:szCs w:val="20"/>
              </w:rPr>
              <w:t xml:space="preserve"> Comparativo por Trimestre ($)</w:t>
            </w:r>
          </w:p>
        </w:tc>
      </w:tr>
      <w:tr w:rsidR="00B91AE6" w:rsidRPr="005045BF" w14:paraId="660BD41E" w14:textId="77777777" w:rsidTr="00A13D19">
        <w:trPr>
          <w:cantSplit/>
          <w:jc w:val="center"/>
        </w:trPr>
        <w:tc>
          <w:tcPr>
            <w:cnfStyle w:val="001000000000" w:firstRow="0" w:lastRow="0" w:firstColumn="1" w:lastColumn="0" w:oddVBand="0" w:evenVBand="0" w:oddHBand="0" w:evenHBand="0" w:firstRowFirstColumn="0" w:firstRowLastColumn="0" w:lastRowFirstColumn="0" w:lastRowLastColumn="0"/>
            <w:tcW w:w="1980" w:type="dxa"/>
            <w:vMerge w:val="restart"/>
            <w:shd w:val="clear" w:color="auto" w:fill="4F81BD" w:themeFill="accent1"/>
            <w:vAlign w:val="center"/>
            <w:hideMark/>
          </w:tcPr>
          <w:p w14:paraId="1A8B5CFB" w14:textId="77777777" w:rsidR="00B91AE6" w:rsidRPr="005045BF" w:rsidRDefault="00B91AE6" w:rsidP="007C1419">
            <w:pPr>
              <w:spacing w:before="120" w:after="100"/>
              <w:jc w:val="center"/>
              <w:rPr>
                <w:rFonts w:ascii="Arial" w:hAnsi="Arial" w:cs="Arial"/>
                <w:color w:val="FFFFFF" w:themeColor="background1"/>
                <w:sz w:val="20"/>
                <w:szCs w:val="20"/>
              </w:rPr>
            </w:pPr>
            <w:r w:rsidRPr="005045BF">
              <w:rPr>
                <w:rFonts w:ascii="Arial" w:hAnsi="Arial" w:cs="Arial"/>
                <w:color w:val="FFFFFF" w:themeColor="background1"/>
                <w:sz w:val="20"/>
                <w:szCs w:val="20"/>
              </w:rPr>
              <w:t>Periodo</w:t>
            </w:r>
          </w:p>
        </w:tc>
        <w:tc>
          <w:tcPr>
            <w:tcW w:w="2126" w:type="dxa"/>
            <w:vMerge w:val="restart"/>
            <w:shd w:val="clear" w:color="auto" w:fill="4F81BD" w:themeFill="accent1"/>
            <w:vAlign w:val="center"/>
            <w:hideMark/>
          </w:tcPr>
          <w:p w14:paraId="6F7ABD1B" w14:textId="2E7455AB" w:rsidR="00B91AE6" w:rsidRPr="005045BF" w:rsidRDefault="00B91AE6"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w:t>
            </w:r>
            <w:r w:rsidR="00925BDC" w:rsidRPr="005045BF">
              <w:rPr>
                <w:rFonts w:ascii="Arial" w:hAnsi="Arial" w:cs="Arial"/>
                <w:b/>
                <w:bCs/>
                <w:color w:val="FFFFFF" w:themeColor="background1"/>
                <w:sz w:val="20"/>
                <w:szCs w:val="20"/>
              </w:rPr>
              <w:t>I</w:t>
            </w:r>
            <w:r w:rsidRPr="005045BF">
              <w:rPr>
                <w:rFonts w:ascii="Arial" w:hAnsi="Arial" w:cs="Arial"/>
                <w:b/>
                <w:bCs/>
                <w:color w:val="FFFFFF" w:themeColor="background1"/>
                <w:sz w:val="20"/>
                <w:szCs w:val="20"/>
              </w:rPr>
              <w:t xml:space="preserve"> </w:t>
            </w:r>
            <w:r w:rsidR="00A13D19" w:rsidRPr="005045BF">
              <w:rPr>
                <w:rFonts w:ascii="Arial" w:hAnsi="Arial" w:cs="Arial"/>
                <w:b/>
                <w:bCs/>
                <w:color w:val="FFFFFF" w:themeColor="background1"/>
                <w:sz w:val="20"/>
                <w:szCs w:val="20"/>
              </w:rPr>
              <w:t>Trimestre 2020</w:t>
            </w:r>
            <w:r w:rsidRPr="005045BF">
              <w:rPr>
                <w:rFonts w:ascii="Arial" w:hAnsi="Arial" w:cs="Arial"/>
                <w:b/>
                <w:bCs/>
                <w:color w:val="FFFFFF" w:themeColor="background1"/>
                <w:sz w:val="20"/>
                <w:szCs w:val="20"/>
              </w:rPr>
              <w:t xml:space="preserve"> </w:t>
            </w:r>
          </w:p>
        </w:tc>
        <w:tc>
          <w:tcPr>
            <w:tcW w:w="1843" w:type="dxa"/>
            <w:vMerge w:val="restart"/>
            <w:shd w:val="clear" w:color="auto" w:fill="4F81BD" w:themeFill="accent1"/>
            <w:vAlign w:val="center"/>
            <w:hideMark/>
          </w:tcPr>
          <w:p w14:paraId="52B5B04A" w14:textId="630DA693" w:rsidR="00B91AE6" w:rsidRPr="005045BF" w:rsidRDefault="00B91AE6"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w:t>
            </w:r>
            <w:r w:rsidR="00925BDC" w:rsidRPr="005045BF">
              <w:rPr>
                <w:rFonts w:ascii="Arial" w:hAnsi="Arial" w:cs="Arial"/>
                <w:b/>
                <w:bCs/>
                <w:color w:val="FFFFFF" w:themeColor="background1"/>
                <w:sz w:val="20"/>
                <w:szCs w:val="20"/>
              </w:rPr>
              <w:t>I</w:t>
            </w:r>
            <w:r w:rsidRPr="005045BF">
              <w:rPr>
                <w:rFonts w:ascii="Arial" w:hAnsi="Arial" w:cs="Arial"/>
                <w:b/>
                <w:bCs/>
                <w:color w:val="FFFFFF" w:themeColor="background1"/>
                <w:sz w:val="20"/>
                <w:szCs w:val="20"/>
              </w:rPr>
              <w:t xml:space="preserve"> Trimestre 201</w:t>
            </w:r>
            <w:r w:rsidR="00694E66" w:rsidRPr="005045BF">
              <w:rPr>
                <w:rFonts w:ascii="Arial" w:hAnsi="Arial" w:cs="Arial"/>
                <w:b/>
                <w:bCs/>
                <w:color w:val="FFFFFF" w:themeColor="background1"/>
                <w:sz w:val="20"/>
                <w:szCs w:val="20"/>
              </w:rPr>
              <w:t>9</w:t>
            </w:r>
          </w:p>
        </w:tc>
        <w:tc>
          <w:tcPr>
            <w:tcW w:w="3540" w:type="dxa"/>
            <w:gridSpan w:val="2"/>
            <w:shd w:val="clear" w:color="auto" w:fill="4F81BD" w:themeFill="accent1"/>
            <w:vAlign w:val="center"/>
            <w:hideMark/>
          </w:tcPr>
          <w:p w14:paraId="1F38EDE9" w14:textId="77777777" w:rsidR="00B91AE6" w:rsidRPr="005045BF" w:rsidRDefault="00B91AE6"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Variaciones</w:t>
            </w:r>
          </w:p>
        </w:tc>
      </w:tr>
      <w:tr w:rsidR="00B91AE6" w:rsidRPr="005045BF" w14:paraId="0F3A960D" w14:textId="77777777" w:rsidTr="00A13D19">
        <w:trPr>
          <w:cantSplit/>
          <w:trHeight w:val="206"/>
          <w:jc w:val="center"/>
        </w:trPr>
        <w:tc>
          <w:tcPr>
            <w:cnfStyle w:val="001000000000" w:firstRow="0" w:lastRow="0" w:firstColumn="1" w:lastColumn="0" w:oddVBand="0" w:evenVBand="0" w:oddHBand="0" w:evenHBand="0" w:firstRowFirstColumn="0" w:firstRowLastColumn="0" w:lastRowFirstColumn="0" w:lastRowLastColumn="0"/>
            <w:tcW w:w="1980" w:type="dxa"/>
            <w:vMerge/>
            <w:tcBorders>
              <w:bottom w:val="nil"/>
            </w:tcBorders>
            <w:shd w:val="clear" w:color="auto" w:fill="4F81BD" w:themeFill="accent1"/>
            <w:vAlign w:val="center"/>
            <w:hideMark/>
          </w:tcPr>
          <w:p w14:paraId="6ED55FE2" w14:textId="77777777" w:rsidR="00B91AE6" w:rsidRPr="005045BF" w:rsidRDefault="00B91AE6" w:rsidP="007C1419">
            <w:pPr>
              <w:spacing w:before="120" w:after="100"/>
              <w:rPr>
                <w:rFonts w:ascii="Arial" w:hAnsi="Arial" w:cs="Arial"/>
                <w:color w:val="FFFFFF" w:themeColor="background1"/>
                <w:sz w:val="20"/>
                <w:szCs w:val="20"/>
              </w:rPr>
            </w:pPr>
          </w:p>
        </w:tc>
        <w:tc>
          <w:tcPr>
            <w:tcW w:w="2126" w:type="dxa"/>
            <w:vMerge/>
            <w:tcBorders>
              <w:bottom w:val="nil"/>
            </w:tcBorders>
            <w:shd w:val="clear" w:color="auto" w:fill="4F81BD" w:themeFill="accent1"/>
            <w:vAlign w:val="center"/>
            <w:hideMark/>
          </w:tcPr>
          <w:p w14:paraId="0ACC4AE7" w14:textId="77777777" w:rsidR="00B91AE6" w:rsidRPr="005045BF" w:rsidRDefault="00B91AE6" w:rsidP="007C1419">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843" w:type="dxa"/>
            <w:vMerge/>
            <w:tcBorders>
              <w:bottom w:val="nil"/>
            </w:tcBorders>
            <w:shd w:val="clear" w:color="auto" w:fill="4F81BD" w:themeFill="accent1"/>
            <w:vAlign w:val="center"/>
            <w:hideMark/>
          </w:tcPr>
          <w:p w14:paraId="5A6245AD" w14:textId="77777777" w:rsidR="00B91AE6" w:rsidRPr="005045BF" w:rsidRDefault="00B91AE6" w:rsidP="007C1419">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984" w:type="dxa"/>
            <w:tcBorders>
              <w:bottom w:val="nil"/>
            </w:tcBorders>
            <w:shd w:val="clear" w:color="auto" w:fill="4F81BD" w:themeFill="accent1"/>
            <w:vAlign w:val="center"/>
            <w:hideMark/>
          </w:tcPr>
          <w:p w14:paraId="0717DBD0" w14:textId="77777777" w:rsidR="00B91AE6" w:rsidRPr="005045BF" w:rsidRDefault="00B91AE6"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556" w:type="dxa"/>
            <w:tcBorders>
              <w:bottom w:val="nil"/>
            </w:tcBorders>
            <w:shd w:val="clear" w:color="auto" w:fill="4F81BD" w:themeFill="accent1"/>
            <w:vAlign w:val="center"/>
            <w:hideMark/>
          </w:tcPr>
          <w:p w14:paraId="3958657F" w14:textId="77777777" w:rsidR="00B91AE6" w:rsidRPr="005045BF" w:rsidRDefault="00B91AE6"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FFFFFF" w:themeColor="background1"/>
                <w:sz w:val="20"/>
                <w:szCs w:val="20"/>
              </w:rPr>
              <w:t>%</w:t>
            </w:r>
          </w:p>
        </w:tc>
      </w:tr>
      <w:tr w:rsidR="00A13D19" w:rsidRPr="005045BF" w14:paraId="0A2B4912" w14:textId="77777777" w:rsidTr="00A13D19">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noWrap/>
            <w:vAlign w:val="center"/>
            <w:hideMark/>
          </w:tcPr>
          <w:p w14:paraId="559B2D30" w14:textId="0AE03DCC" w:rsidR="00A13D19" w:rsidRPr="005045BF" w:rsidRDefault="00A13D19" w:rsidP="007C1419">
            <w:pPr>
              <w:spacing w:before="120" w:after="10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 xml:space="preserve">Enero  </w:t>
            </w:r>
          </w:p>
        </w:tc>
        <w:tc>
          <w:tcPr>
            <w:tcW w:w="2126" w:type="dxa"/>
            <w:tcBorders>
              <w:top w:val="nil"/>
              <w:left w:val="nil"/>
              <w:bottom w:val="nil"/>
              <w:right w:val="nil"/>
            </w:tcBorders>
            <w:noWrap/>
            <w:vAlign w:val="bottom"/>
          </w:tcPr>
          <w:p w14:paraId="3D217AAE" w14:textId="596E9A49"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9.849.813 </w:t>
            </w:r>
          </w:p>
        </w:tc>
        <w:tc>
          <w:tcPr>
            <w:tcW w:w="1843" w:type="dxa"/>
            <w:tcBorders>
              <w:top w:val="nil"/>
              <w:left w:val="nil"/>
              <w:bottom w:val="nil"/>
              <w:right w:val="nil"/>
            </w:tcBorders>
            <w:noWrap/>
            <w:vAlign w:val="bottom"/>
          </w:tcPr>
          <w:p w14:paraId="486C42CC" w14:textId="04CB7314"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10.055.099 </w:t>
            </w:r>
          </w:p>
        </w:tc>
        <w:tc>
          <w:tcPr>
            <w:tcW w:w="1984" w:type="dxa"/>
            <w:tcBorders>
              <w:top w:val="nil"/>
              <w:left w:val="nil"/>
              <w:bottom w:val="nil"/>
              <w:right w:val="nil"/>
            </w:tcBorders>
            <w:noWrap/>
            <w:vAlign w:val="bottom"/>
          </w:tcPr>
          <w:p w14:paraId="7C4B60ED" w14:textId="0FD5B297"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(205.286) </w:t>
            </w:r>
          </w:p>
        </w:tc>
        <w:tc>
          <w:tcPr>
            <w:tcW w:w="1556" w:type="dxa"/>
            <w:tcBorders>
              <w:top w:val="nil"/>
              <w:left w:val="nil"/>
              <w:bottom w:val="nil"/>
              <w:right w:val="nil"/>
            </w:tcBorders>
            <w:noWrap/>
            <w:vAlign w:val="bottom"/>
          </w:tcPr>
          <w:p w14:paraId="72D2559C" w14:textId="3385A308" w:rsidR="00A13D19" w:rsidRPr="005045BF" w:rsidRDefault="00A13D19"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w:t>
            </w:r>
          </w:p>
        </w:tc>
      </w:tr>
      <w:tr w:rsidR="00A13D19" w:rsidRPr="005045BF" w14:paraId="7920C8DA" w14:textId="77777777" w:rsidTr="00A13D19">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nil"/>
              <w:right w:val="nil"/>
            </w:tcBorders>
            <w:noWrap/>
            <w:vAlign w:val="center"/>
            <w:hideMark/>
          </w:tcPr>
          <w:p w14:paraId="399EF3B5" w14:textId="4282B244" w:rsidR="00A13D19" w:rsidRPr="005045BF" w:rsidRDefault="00A13D19" w:rsidP="007C1419">
            <w:pPr>
              <w:spacing w:before="120" w:after="10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 xml:space="preserve">Febrero  </w:t>
            </w:r>
          </w:p>
        </w:tc>
        <w:tc>
          <w:tcPr>
            <w:tcW w:w="2126" w:type="dxa"/>
            <w:tcBorders>
              <w:top w:val="nil"/>
              <w:left w:val="nil"/>
              <w:bottom w:val="nil"/>
              <w:right w:val="nil"/>
            </w:tcBorders>
            <w:noWrap/>
            <w:vAlign w:val="bottom"/>
          </w:tcPr>
          <w:p w14:paraId="21F83B20" w14:textId="0321C92D"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11.744.710 </w:t>
            </w:r>
          </w:p>
        </w:tc>
        <w:tc>
          <w:tcPr>
            <w:tcW w:w="1843" w:type="dxa"/>
            <w:tcBorders>
              <w:top w:val="nil"/>
              <w:left w:val="nil"/>
              <w:bottom w:val="nil"/>
              <w:right w:val="nil"/>
            </w:tcBorders>
            <w:noWrap/>
            <w:vAlign w:val="bottom"/>
          </w:tcPr>
          <w:p w14:paraId="4B010255" w14:textId="0C0A6E35"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9.107.598 </w:t>
            </w:r>
          </w:p>
        </w:tc>
        <w:tc>
          <w:tcPr>
            <w:tcW w:w="1984" w:type="dxa"/>
            <w:tcBorders>
              <w:top w:val="nil"/>
              <w:left w:val="nil"/>
              <w:bottom w:val="nil"/>
              <w:right w:val="nil"/>
            </w:tcBorders>
            <w:noWrap/>
            <w:vAlign w:val="bottom"/>
          </w:tcPr>
          <w:p w14:paraId="00C34A34" w14:textId="6C8A0605"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2.637.112 </w:t>
            </w:r>
          </w:p>
        </w:tc>
        <w:tc>
          <w:tcPr>
            <w:tcW w:w="1556" w:type="dxa"/>
            <w:tcBorders>
              <w:top w:val="nil"/>
              <w:left w:val="nil"/>
              <w:bottom w:val="nil"/>
              <w:right w:val="nil"/>
            </w:tcBorders>
            <w:noWrap/>
            <w:vAlign w:val="bottom"/>
          </w:tcPr>
          <w:p w14:paraId="5F025FC4" w14:textId="37327343" w:rsidR="00A13D19" w:rsidRPr="005045BF" w:rsidRDefault="00A13D19"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29%</w:t>
            </w:r>
          </w:p>
        </w:tc>
      </w:tr>
      <w:tr w:rsidR="00A13D19" w:rsidRPr="005045BF" w14:paraId="1B0DAB5D" w14:textId="77777777" w:rsidTr="00A13D19">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nil"/>
              <w:left w:val="nil"/>
              <w:bottom w:val="double" w:sz="4" w:space="0" w:color="4F81BD" w:themeColor="accent1"/>
              <w:right w:val="nil"/>
            </w:tcBorders>
            <w:noWrap/>
            <w:vAlign w:val="center"/>
            <w:hideMark/>
          </w:tcPr>
          <w:p w14:paraId="79C65904" w14:textId="1536D293" w:rsidR="00A13D19" w:rsidRPr="005045BF" w:rsidRDefault="00A13D19" w:rsidP="007C1419">
            <w:pPr>
              <w:spacing w:before="120" w:after="10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 xml:space="preserve">Marzo </w:t>
            </w:r>
          </w:p>
        </w:tc>
        <w:tc>
          <w:tcPr>
            <w:tcW w:w="2126" w:type="dxa"/>
            <w:tcBorders>
              <w:top w:val="nil"/>
              <w:left w:val="nil"/>
              <w:bottom w:val="double" w:sz="4" w:space="0" w:color="4F81BD" w:themeColor="accent1"/>
              <w:right w:val="nil"/>
            </w:tcBorders>
            <w:noWrap/>
            <w:vAlign w:val="bottom"/>
          </w:tcPr>
          <w:p w14:paraId="4951D82D" w14:textId="422F70FB"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7.784.020 </w:t>
            </w:r>
          </w:p>
        </w:tc>
        <w:tc>
          <w:tcPr>
            <w:tcW w:w="1843" w:type="dxa"/>
            <w:tcBorders>
              <w:top w:val="nil"/>
              <w:left w:val="nil"/>
              <w:bottom w:val="double" w:sz="4" w:space="0" w:color="4F81BD" w:themeColor="accent1"/>
              <w:right w:val="nil"/>
            </w:tcBorders>
            <w:noWrap/>
            <w:vAlign w:val="bottom"/>
          </w:tcPr>
          <w:p w14:paraId="63DF1B93" w14:textId="0732939E"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12.469.586 </w:t>
            </w:r>
          </w:p>
        </w:tc>
        <w:tc>
          <w:tcPr>
            <w:tcW w:w="1984" w:type="dxa"/>
            <w:tcBorders>
              <w:top w:val="nil"/>
              <w:left w:val="nil"/>
              <w:bottom w:val="double" w:sz="4" w:space="0" w:color="4F81BD" w:themeColor="accent1"/>
              <w:right w:val="nil"/>
            </w:tcBorders>
            <w:noWrap/>
            <w:vAlign w:val="bottom"/>
          </w:tcPr>
          <w:p w14:paraId="0131BF75" w14:textId="08FDDAC1"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(4.685.566)</w:t>
            </w:r>
          </w:p>
        </w:tc>
        <w:tc>
          <w:tcPr>
            <w:tcW w:w="1556" w:type="dxa"/>
            <w:tcBorders>
              <w:top w:val="nil"/>
              <w:left w:val="nil"/>
              <w:bottom w:val="double" w:sz="4" w:space="0" w:color="4F81BD" w:themeColor="accent1"/>
              <w:right w:val="nil"/>
            </w:tcBorders>
            <w:noWrap/>
            <w:vAlign w:val="bottom"/>
          </w:tcPr>
          <w:p w14:paraId="6C8A91F1" w14:textId="338F15C4" w:rsidR="00A13D19" w:rsidRPr="005045BF" w:rsidRDefault="00A13D19"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(38%)</w:t>
            </w:r>
          </w:p>
        </w:tc>
      </w:tr>
      <w:tr w:rsidR="00A13D19" w:rsidRPr="005045BF" w14:paraId="41BB63F8" w14:textId="77777777" w:rsidTr="00A13D19">
        <w:trPr>
          <w:cantSplit/>
          <w:jc w:val="center"/>
        </w:trPr>
        <w:tc>
          <w:tcPr>
            <w:cnfStyle w:val="001000000000" w:firstRow="0" w:lastRow="0" w:firstColumn="1" w:lastColumn="0" w:oddVBand="0" w:evenVBand="0" w:oddHBand="0" w:evenHBand="0" w:firstRowFirstColumn="0" w:firstRowLastColumn="0" w:lastRowFirstColumn="0" w:lastRowLastColumn="0"/>
            <w:tcW w:w="1980" w:type="dxa"/>
            <w:tcBorders>
              <w:top w:val="double" w:sz="4" w:space="0" w:color="4F81BD" w:themeColor="accent1"/>
              <w:left w:val="nil"/>
              <w:bottom w:val="double" w:sz="4" w:space="0" w:color="4F81BD" w:themeColor="accent1"/>
              <w:right w:val="nil"/>
            </w:tcBorders>
            <w:noWrap/>
            <w:vAlign w:val="center"/>
            <w:hideMark/>
          </w:tcPr>
          <w:p w14:paraId="7673C182" w14:textId="77777777" w:rsidR="00A13D19" w:rsidRPr="005045BF" w:rsidRDefault="00A13D19" w:rsidP="007C1419">
            <w:pPr>
              <w:spacing w:before="120" w:after="10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Total</w:t>
            </w:r>
          </w:p>
        </w:tc>
        <w:tc>
          <w:tcPr>
            <w:tcW w:w="2126" w:type="dxa"/>
            <w:tcBorders>
              <w:top w:val="double" w:sz="4" w:space="0" w:color="4F81BD" w:themeColor="accent1"/>
              <w:left w:val="nil"/>
              <w:bottom w:val="double" w:sz="4" w:space="0" w:color="4F81BD" w:themeColor="accent1"/>
              <w:right w:val="nil"/>
            </w:tcBorders>
            <w:noWrap/>
            <w:vAlign w:val="bottom"/>
          </w:tcPr>
          <w:p w14:paraId="51D3974E" w14:textId="310E186A"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29.378.543 </w:t>
            </w:r>
          </w:p>
        </w:tc>
        <w:tc>
          <w:tcPr>
            <w:tcW w:w="1843" w:type="dxa"/>
            <w:tcBorders>
              <w:top w:val="double" w:sz="4" w:space="0" w:color="4F81BD" w:themeColor="accent1"/>
              <w:left w:val="nil"/>
              <w:bottom w:val="double" w:sz="4" w:space="0" w:color="4F81BD" w:themeColor="accent1"/>
              <w:right w:val="nil"/>
            </w:tcBorders>
            <w:noWrap/>
            <w:vAlign w:val="bottom"/>
          </w:tcPr>
          <w:p w14:paraId="3D606793" w14:textId="3A55B5E4"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31.632.283 </w:t>
            </w:r>
          </w:p>
        </w:tc>
        <w:tc>
          <w:tcPr>
            <w:tcW w:w="1984" w:type="dxa"/>
            <w:tcBorders>
              <w:top w:val="double" w:sz="4" w:space="0" w:color="4F81BD" w:themeColor="accent1"/>
              <w:left w:val="nil"/>
              <w:bottom w:val="double" w:sz="4" w:space="0" w:color="4F81BD" w:themeColor="accent1"/>
              <w:right w:val="nil"/>
            </w:tcBorders>
            <w:noWrap/>
            <w:vAlign w:val="bottom"/>
          </w:tcPr>
          <w:p w14:paraId="36723CE2" w14:textId="59ABD8BE" w:rsidR="00A13D19" w:rsidRPr="005045BF" w:rsidRDefault="00A13D19" w:rsidP="007C1419">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(2.253.740) </w:t>
            </w:r>
          </w:p>
        </w:tc>
        <w:tc>
          <w:tcPr>
            <w:tcW w:w="1556" w:type="dxa"/>
            <w:tcBorders>
              <w:top w:val="double" w:sz="4" w:space="0" w:color="4F81BD" w:themeColor="accent1"/>
              <w:left w:val="nil"/>
              <w:bottom w:val="double" w:sz="4" w:space="0" w:color="4F81BD" w:themeColor="accent1"/>
              <w:right w:val="nil"/>
            </w:tcBorders>
            <w:noWrap/>
            <w:vAlign w:val="bottom"/>
          </w:tcPr>
          <w:p w14:paraId="579672B5" w14:textId="2830A211" w:rsidR="00A13D19" w:rsidRPr="005045BF" w:rsidRDefault="00A13D19" w:rsidP="007C1419">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bl>
    <w:p w14:paraId="4CF6EF3E" w14:textId="77777777" w:rsidR="003339C6" w:rsidRPr="005045BF" w:rsidRDefault="003339C6" w:rsidP="00BB72E3">
      <w:pPr>
        <w:rPr>
          <w:rFonts w:ascii="Arial" w:hAnsi="Arial" w:cs="Arial"/>
          <w:sz w:val="22"/>
          <w:szCs w:val="22"/>
          <w:highlight w:val="yellow"/>
        </w:rPr>
      </w:pPr>
    </w:p>
    <w:p w14:paraId="4B6A7E95" w14:textId="193B860C" w:rsidR="00631CFC" w:rsidRPr="005045BF" w:rsidRDefault="00BB72E3" w:rsidP="00820E88">
      <w:pPr>
        <w:jc w:val="both"/>
        <w:rPr>
          <w:rFonts w:ascii="Arial" w:hAnsi="Arial" w:cs="Arial"/>
          <w:sz w:val="22"/>
          <w:szCs w:val="22"/>
        </w:rPr>
      </w:pPr>
      <w:r w:rsidRPr="005045BF">
        <w:rPr>
          <w:rFonts w:ascii="Arial" w:hAnsi="Arial" w:cs="Arial"/>
          <w:sz w:val="22"/>
          <w:szCs w:val="22"/>
        </w:rPr>
        <w:t xml:space="preserve">Para los periodos analizados, se observó </w:t>
      </w:r>
      <w:r w:rsidR="00806537" w:rsidRPr="005045BF">
        <w:rPr>
          <w:rFonts w:ascii="Arial" w:hAnsi="Arial" w:cs="Arial"/>
          <w:sz w:val="22"/>
          <w:szCs w:val="22"/>
        </w:rPr>
        <w:t>un</w:t>
      </w:r>
      <w:r w:rsidR="009F0C2D" w:rsidRPr="005045BF">
        <w:rPr>
          <w:rFonts w:ascii="Arial" w:hAnsi="Arial" w:cs="Arial"/>
          <w:sz w:val="22"/>
          <w:szCs w:val="22"/>
        </w:rPr>
        <w:t xml:space="preserve">a variación negativa representando una disminución en el gasto de combustible de $ 2.253.740 equivalente al 7%. </w:t>
      </w:r>
      <w:r w:rsidRPr="005045BF">
        <w:rPr>
          <w:rFonts w:ascii="Arial" w:hAnsi="Arial" w:cs="Arial"/>
          <w:sz w:val="22"/>
          <w:szCs w:val="22"/>
        </w:rPr>
        <w:t xml:space="preserve"> </w:t>
      </w:r>
    </w:p>
    <w:p w14:paraId="1B92455D" w14:textId="77777777" w:rsidR="001F5D54" w:rsidRPr="005045BF" w:rsidRDefault="001F5D54" w:rsidP="00820E88">
      <w:pPr>
        <w:jc w:val="both"/>
        <w:rPr>
          <w:rFonts w:ascii="Arial" w:hAnsi="Arial" w:cs="Arial"/>
          <w:sz w:val="22"/>
          <w:szCs w:val="22"/>
        </w:rPr>
      </w:pPr>
    </w:p>
    <w:p w14:paraId="4F86FAA3" w14:textId="6B47F5FE" w:rsidR="003C0083" w:rsidRPr="005045BF" w:rsidRDefault="003830AE" w:rsidP="00FD6CE8">
      <w:pPr>
        <w:jc w:val="both"/>
        <w:rPr>
          <w:rFonts w:ascii="Arial" w:hAnsi="Arial" w:cs="Arial"/>
          <w:sz w:val="22"/>
          <w:szCs w:val="22"/>
        </w:rPr>
      </w:pPr>
      <w:bookmarkStart w:id="6" w:name="_Hlk44715922"/>
      <w:r w:rsidRPr="005045BF">
        <w:rPr>
          <w:rFonts w:ascii="Arial" w:hAnsi="Arial" w:cs="Arial"/>
          <w:sz w:val="22"/>
          <w:szCs w:val="22"/>
        </w:rPr>
        <w:t>A</w:t>
      </w:r>
      <w:r w:rsidR="00494ACD" w:rsidRPr="005045BF">
        <w:rPr>
          <w:rFonts w:ascii="Arial" w:hAnsi="Arial" w:cs="Arial"/>
          <w:sz w:val="22"/>
          <w:szCs w:val="22"/>
        </w:rPr>
        <w:t>nalizando los gastos de combustible</w:t>
      </w:r>
      <w:r w:rsidR="00B90867" w:rsidRPr="005045BF">
        <w:rPr>
          <w:rFonts w:ascii="Arial" w:hAnsi="Arial" w:cs="Arial"/>
          <w:sz w:val="22"/>
          <w:szCs w:val="22"/>
        </w:rPr>
        <w:t xml:space="preserve"> por cada concepto, </w:t>
      </w:r>
      <w:r w:rsidR="00DB4C25" w:rsidRPr="005045BF">
        <w:rPr>
          <w:rFonts w:ascii="Arial" w:hAnsi="Arial" w:cs="Arial"/>
          <w:sz w:val="22"/>
          <w:szCs w:val="22"/>
        </w:rPr>
        <w:t xml:space="preserve">se </w:t>
      </w:r>
      <w:r w:rsidR="003B24CF" w:rsidRPr="005045BF">
        <w:rPr>
          <w:rFonts w:ascii="Arial" w:hAnsi="Arial" w:cs="Arial"/>
          <w:sz w:val="22"/>
          <w:szCs w:val="22"/>
        </w:rPr>
        <w:t xml:space="preserve">observó </w:t>
      </w:r>
      <w:r w:rsidR="00C1188B" w:rsidRPr="005045BF">
        <w:rPr>
          <w:rFonts w:ascii="Arial" w:hAnsi="Arial" w:cs="Arial"/>
          <w:sz w:val="22"/>
          <w:szCs w:val="22"/>
        </w:rPr>
        <w:t>que para el</w:t>
      </w:r>
      <w:r w:rsidR="00987A8A" w:rsidRPr="005045BF">
        <w:rPr>
          <w:rFonts w:ascii="Arial" w:hAnsi="Arial" w:cs="Arial"/>
          <w:sz w:val="22"/>
          <w:szCs w:val="22"/>
        </w:rPr>
        <w:t xml:space="preserve"> gasto de gasolina</w:t>
      </w:r>
      <w:r w:rsidR="00FD6CE8" w:rsidRPr="005045BF">
        <w:rPr>
          <w:rFonts w:ascii="Arial" w:hAnsi="Arial" w:cs="Arial"/>
          <w:sz w:val="22"/>
          <w:szCs w:val="22"/>
        </w:rPr>
        <w:t xml:space="preserve"> </w:t>
      </w:r>
      <w:r w:rsidR="00C1188B" w:rsidRPr="005045BF">
        <w:rPr>
          <w:rFonts w:ascii="Arial" w:hAnsi="Arial" w:cs="Arial"/>
          <w:sz w:val="22"/>
          <w:szCs w:val="22"/>
        </w:rPr>
        <w:t>de</w:t>
      </w:r>
      <w:r w:rsidR="00494ACD" w:rsidRPr="005045BF">
        <w:rPr>
          <w:rFonts w:ascii="Arial" w:hAnsi="Arial" w:cs="Arial"/>
          <w:sz w:val="22"/>
          <w:szCs w:val="22"/>
        </w:rPr>
        <w:t xml:space="preserve"> </w:t>
      </w:r>
      <w:r w:rsidR="00C65EF6" w:rsidRPr="005045BF">
        <w:rPr>
          <w:rFonts w:ascii="Arial" w:hAnsi="Arial" w:cs="Arial"/>
          <w:sz w:val="22"/>
          <w:szCs w:val="22"/>
        </w:rPr>
        <w:t>los</w:t>
      </w:r>
      <w:r w:rsidR="000F1F8B" w:rsidRPr="005045BF">
        <w:rPr>
          <w:rFonts w:ascii="Arial" w:hAnsi="Arial" w:cs="Arial"/>
          <w:sz w:val="22"/>
          <w:szCs w:val="22"/>
        </w:rPr>
        <w:t xml:space="preserve"> periodos </w:t>
      </w:r>
      <w:r w:rsidR="00C65EF6" w:rsidRPr="005045BF">
        <w:rPr>
          <w:rFonts w:ascii="Arial" w:hAnsi="Arial" w:cs="Arial"/>
          <w:sz w:val="22"/>
          <w:szCs w:val="22"/>
        </w:rPr>
        <w:t xml:space="preserve">de </w:t>
      </w:r>
      <w:r w:rsidR="000F1F8B" w:rsidRPr="005045BF">
        <w:rPr>
          <w:rFonts w:ascii="Arial" w:hAnsi="Arial" w:cs="Arial"/>
          <w:sz w:val="22"/>
          <w:szCs w:val="22"/>
        </w:rPr>
        <w:t xml:space="preserve">enero </w:t>
      </w:r>
      <w:r w:rsidR="00C65EF6" w:rsidRPr="005045BF">
        <w:rPr>
          <w:rFonts w:ascii="Arial" w:hAnsi="Arial" w:cs="Arial"/>
          <w:sz w:val="22"/>
          <w:szCs w:val="22"/>
        </w:rPr>
        <w:t xml:space="preserve">y </w:t>
      </w:r>
      <w:r w:rsidR="000F1F8B" w:rsidRPr="005045BF">
        <w:rPr>
          <w:rFonts w:ascii="Arial" w:hAnsi="Arial" w:cs="Arial"/>
          <w:sz w:val="22"/>
          <w:szCs w:val="22"/>
        </w:rPr>
        <w:t xml:space="preserve">marzo </w:t>
      </w:r>
      <w:r w:rsidR="00C65EF6" w:rsidRPr="005045BF">
        <w:rPr>
          <w:rFonts w:ascii="Arial" w:hAnsi="Arial" w:cs="Arial"/>
          <w:sz w:val="22"/>
          <w:szCs w:val="22"/>
        </w:rPr>
        <w:t>de</w:t>
      </w:r>
      <w:r w:rsidR="00494ACD" w:rsidRPr="005045BF">
        <w:rPr>
          <w:rFonts w:ascii="Arial" w:hAnsi="Arial" w:cs="Arial"/>
          <w:sz w:val="22"/>
          <w:szCs w:val="22"/>
        </w:rPr>
        <w:t xml:space="preserve"> 20</w:t>
      </w:r>
      <w:r w:rsidR="000F1F8B" w:rsidRPr="005045BF">
        <w:rPr>
          <w:rFonts w:ascii="Arial" w:hAnsi="Arial" w:cs="Arial"/>
          <w:sz w:val="22"/>
          <w:szCs w:val="22"/>
        </w:rPr>
        <w:t>20</w:t>
      </w:r>
      <w:r w:rsidR="00494ACD" w:rsidRPr="005045BF">
        <w:rPr>
          <w:rFonts w:ascii="Arial" w:hAnsi="Arial" w:cs="Arial"/>
          <w:sz w:val="22"/>
          <w:szCs w:val="22"/>
        </w:rPr>
        <w:t xml:space="preserve"> frente al mismo periodo de 201</w:t>
      </w:r>
      <w:r w:rsidR="000F1F8B" w:rsidRPr="005045BF">
        <w:rPr>
          <w:rFonts w:ascii="Arial" w:hAnsi="Arial" w:cs="Arial"/>
          <w:sz w:val="22"/>
          <w:szCs w:val="22"/>
        </w:rPr>
        <w:t>9</w:t>
      </w:r>
      <w:r w:rsidR="00494ACD" w:rsidRPr="005045BF">
        <w:rPr>
          <w:rFonts w:ascii="Arial" w:hAnsi="Arial" w:cs="Arial"/>
          <w:sz w:val="22"/>
          <w:szCs w:val="22"/>
        </w:rPr>
        <w:t xml:space="preserve"> present</w:t>
      </w:r>
      <w:r w:rsidR="00C65EF6" w:rsidRPr="005045BF">
        <w:rPr>
          <w:rFonts w:ascii="Arial" w:hAnsi="Arial" w:cs="Arial"/>
          <w:sz w:val="22"/>
          <w:szCs w:val="22"/>
        </w:rPr>
        <w:t>aron</w:t>
      </w:r>
      <w:r w:rsidR="00494ACD" w:rsidRPr="005045BF">
        <w:rPr>
          <w:rFonts w:ascii="Arial" w:hAnsi="Arial" w:cs="Arial"/>
          <w:sz w:val="22"/>
          <w:szCs w:val="22"/>
        </w:rPr>
        <w:t xml:space="preserve"> </w:t>
      </w:r>
      <w:r w:rsidR="000F1F8B" w:rsidRPr="005045BF">
        <w:rPr>
          <w:rFonts w:ascii="Arial" w:hAnsi="Arial" w:cs="Arial"/>
          <w:sz w:val="22"/>
          <w:szCs w:val="22"/>
        </w:rPr>
        <w:t xml:space="preserve">disminuciones </w:t>
      </w:r>
      <w:r w:rsidR="00494ACD" w:rsidRPr="005045BF">
        <w:rPr>
          <w:rFonts w:ascii="Arial" w:hAnsi="Arial" w:cs="Arial"/>
          <w:sz w:val="22"/>
          <w:szCs w:val="22"/>
        </w:rPr>
        <w:t xml:space="preserve">del </w:t>
      </w:r>
      <w:r w:rsidR="000F1F8B" w:rsidRPr="005045BF">
        <w:rPr>
          <w:rFonts w:ascii="Arial" w:hAnsi="Arial" w:cs="Arial"/>
          <w:sz w:val="22"/>
          <w:szCs w:val="22"/>
        </w:rPr>
        <w:t>1</w:t>
      </w:r>
      <w:r w:rsidR="00746E92" w:rsidRPr="005045BF">
        <w:rPr>
          <w:rFonts w:ascii="Arial" w:hAnsi="Arial" w:cs="Arial"/>
          <w:sz w:val="22"/>
          <w:szCs w:val="22"/>
        </w:rPr>
        <w:t>0</w:t>
      </w:r>
      <w:r w:rsidR="000F1F8B" w:rsidRPr="005045BF">
        <w:rPr>
          <w:rFonts w:ascii="Arial" w:hAnsi="Arial" w:cs="Arial"/>
          <w:sz w:val="22"/>
          <w:szCs w:val="22"/>
        </w:rPr>
        <w:t>%</w:t>
      </w:r>
      <w:r w:rsidR="00C65EF6" w:rsidRPr="005045BF">
        <w:rPr>
          <w:rFonts w:ascii="Arial" w:hAnsi="Arial" w:cs="Arial"/>
          <w:sz w:val="22"/>
          <w:szCs w:val="22"/>
        </w:rPr>
        <w:t xml:space="preserve"> y 3</w:t>
      </w:r>
      <w:r w:rsidR="000F1F8B" w:rsidRPr="005045BF">
        <w:rPr>
          <w:rFonts w:ascii="Arial" w:hAnsi="Arial" w:cs="Arial"/>
          <w:sz w:val="22"/>
          <w:szCs w:val="22"/>
        </w:rPr>
        <w:t>1</w:t>
      </w:r>
      <w:r w:rsidR="00C65EF6" w:rsidRPr="005045BF">
        <w:rPr>
          <w:rFonts w:ascii="Arial" w:hAnsi="Arial" w:cs="Arial"/>
          <w:sz w:val="22"/>
          <w:szCs w:val="22"/>
        </w:rPr>
        <w:t xml:space="preserve">%, respectivamente. </w:t>
      </w:r>
      <w:r w:rsidR="00F57757" w:rsidRPr="005045BF">
        <w:rPr>
          <w:rFonts w:ascii="Arial" w:hAnsi="Arial" w:cs="Arial"/>
          <w:sz w:val="22"/>
          <w:szCs w:val="22"/>
        </w:rPr>
        <w:t>Para el concepto de ACPM</w:t>
      </w:r>
      <w:r w:rsidR="00494ACD" w:rsidRPr="005045BF">
        <w:rPr>
          <w:rFonts w:ascii="Arial" w:hAnsi="Arial" w:cs="Arial"/>
          <w:sz w:val="22"/>
          <w:szCs w:val="22"/>
        </w:rPr>
        <w:t xml:space="preserve">, se observó </w:t>
      </w:r>
      <w:r w:rsidR="00F57757" w:rsidRPr="005045BF">
        <w:rPr>
          <w:rFonts w:ascii="Arial" w:hAnsi="Arial" w:cs="Arial"/>
          <w:sz w:val="22"/>
          <w:szCs w:val="22"/>
        </w:rPr>
        <w:t xml:space="preserve">que </w:t>
      </w:r>
      <w:r w:rsidR="00494ACD" w:rsidRPr="005045BF">
        <w:rPr>
          <w:rFonts w:ascii="Arial" w:hAnsi="Arial" w:cs="Arial"/>
          <w:sz w:val="22"/>
          <w:szCs w:val="22"/>
        </w:rPr>
        <w:t xml:space="preserve">para el </w:t>
      </w:r>
      <w:r w:rsidR="00D41DD2" w:rsidRPr="005045BF">
        <w:rPr>
          <w:rFonts w:ascii="Arial" w:hAnsi="Arial" w:cs="Arial"/>
          <w:sz w:val="22"/>
          <w:szCs w:val="22"/>
        </w:rPr>
        <w:t xml:space="preserve">periodo </w:t>
      </w:r>
      <w:r w:rsidR="00494ACD" w:rsidRPr="005045BF">
        <w:rPr>
          <w:rFonts w:ascii="Arial" w:hAnsi="Arial" w:cs="Arial"/>
          <w:sz w:val="22"/>
          <w:szCs w:val="22"/>
        </w:rPr>
        <w:t xml:space="preserve">de </w:t>
      </w:r>
      <w:r w:rsidR="00F57757" w:rsidRPr="005045BF">
        <w:rPr>
          <w:rFonts w:ascii="Arial" w:hAnsi="Arial" w:cs="Arial"/>
          <w:sz w:val="22"/>
          <w:szCs w:val="22"/>
        </w:rPr>
        <w:t xml:space="preserve">enero y febrero </w:t>
      </w:r>
      <w:r w:rsidR="00494ACD" w:rsidRPr="005045BF">
        <w:rPr>
          <w:rFonts w:ascii="Arial" w:hAnsi="Arial" w:cs="Arial"/>
          <w:sz w:val="22"/>
          <w:szCs w:val="22"/>
        </w:rPr>
        <w:t>se obt</w:t>
      </w:r>
      <w:r w:rsidR="00F57757" w:rsidRPr="005045BF">
        <w:rPr>
          <w:rFonts w:ascii="Arial" w:hAnsi="Arial" w:cs="Arial"/>
          <w:sz w:val="22"/>
          <w:szCs w:val="22"/>
        </w:rPr>
        <w:t>uvieron variaciones positivas, caso contrario, se presentó para</w:t>
      </w:r>
      <w:r w:rsidR="00746E92" w:rsidRPr="005045BF">
        <w:rPr>
          <w:rFonts w:ascii="Arial" w:hAnsi="Arial" w:cs="Arial"/>
          <w:sz w:val="22"/>
          <w:szCs w:val="22"/>
        </w:rPr>
        <w:t xml:space="preserve"> el periodo de</w:t>
      </w:r>
      <w:r w:rsidR="00F57757" w:rsidRPr="005045BF">
        <w:rPr>
          <w:rFonts w:ascii="Arial" w:hAnsi="Arial" w:cs="Arial"/>
          <w:sz w:val="22"/>
          <w:szCs w:val="22"/>
        </w:rPr>
        <w:t xml:space="preserve"> marzo, toda vez que, la variación obtenida fue negativa</w:t>
      </w:r>
      <w:r w:rsidR="00566B35">
        <w:rPr>
          <w:rFonts w:ascii="Arial" w:hAnsi="Arial" w:cs="Arial"/>
          <w:sz w:val="22"/>
          <w:szCs w:val="22"/>
        </w:rPr>
        <w:t xml:space="preserve"> </w:t>
      </w:r>
      <w:r w:rsidR="00F57757" w:rsidRPr="005045BF">
        <w:rPr>
          <w:rFonts w:ascii="Arial" w:hAnsi="Arial" w:cs="Arial"/>
          <w:sz w:val="22"/>
          <w:szCs w:val="22"/>
        </w:rPr>
        <w:t xml:space="preserve">equivalente a una reducción del </w:t>
      </w:r>
      <w:r w:rsidR="00746E92" w:rsidRPr="005045BF">
        <w:rPr>
          <w:rFonts w:ascii="Arial" w:hAnsi="Arial" w:cs="Arial"/>
          <w:sz w:val="22"/>
          <w:szCs w:val="22"/>
        </w:rPr>
        <w:t>50</w:t>
      </w:r>
      <w:r w:rsidR="00F57757" w:rsidRPr="005045BF">
        <w:rPr>
          <w:rFonts w:ascii="Arial" w:hAnsi="Arial" w:cs="Arial"/>
          <w:sz w:val="22"/>
          <w:szCs w:val="22"/>
        </w:rPr>
        <w:t>% en el valor del gasto</w:t>
      </w:r>
      <w:bookmarkEnd w:id="6"/>
      <w:r w:rsidR="00F57757" w:rsidRPr="005045BF">
        <w:rPr>
          <w:rFonts w:ascii="Arial" w:hAnsi="Arial" w:cs="Arial"/>
          <w:sz w:val="22"/>
          <w:szCs w:val="22"/>
        </w:rPr>
        <w:t xml:space="preserve">. </w:t>
      </w:r>
      <w:r w:rsidR="00D41DD2" w:rsidRPr="005045BF">
        <w:rPr>
          <w:rFonts w:ascii="Arial" w:hAnsi="Arial" w:cs="Arial"/>
          <w:sz w:val="22"/>
          <w:szCs w:val="22"/>
        </w:rPr>
        <w:t xml:space="preserve"> </w:t>
      </w:r>
    </w:p>
    <w:p w14:paraId="47262D5E" w14:textId="1EA7585A" w:rsidR="00076779" w:rsidRPr="005045BF" w:rsidRDefault="00076779" w:rsidP="00FD6CE8">
      <w:pPr>
        <w:jc w:val="both"/>
        <w:rPr>
          <w:rFonts w:ascii="Arial" w:hAnsi="Arial" w:cs="Arial"/>
          <w:sz w:val="22"/>
          <w:szCs w:val="22"/>
        </w:rPr>
      </w:pPr>
    </w:p>
    <w:tbl>
      <w:tblPr>
        <w:tblW w:w="12962" w:type="dxa"/>
        <w:tblCellMar>
          <w:left w:w="70" w:type="dxa"/>
          <w:right w:w="70" w:type="dxa"/>
        </w:tblCellMar>
        <w:tblLook w:val="04A0" w:firstRow="1" w:lastRow="0" w:firstColumn="1" w:lastColumn="0" w:noHBand="0" w:noVBand="1"/>
      </w:tblPr>
      <w:tblGrid>
        <w:gridCol w:w="1403"/>
        <w:gridCol w:w="1134"/>
        <w:gridCol w:w="1030"/>
        <w:gridCol w:w="1238"/>
        <w:gridCol w:w="3413"/>
        <w:gridCol w:w="1368"/>
        <w:gridCol w:w="1468"/>
        <w:gridCol w:w="1908"/>
      </w:tblGrid>
      <w:tr w:rsidR="00076779" w:rsidRPr="005045BF" w14:paraId="47A7A8E3" w14:textId="77777777" w:rsidTr="00076779">
        <w:trPr>
          <w:trHeight w:val="315"/>
        </w:trPr>
        <w:tc>
          <w:tcPr>
            <w:tcW w:w="1403" w:type="dxa"/>
            <w:tcBorders>
              <w:top w:val="single" w:sz="8" w:space="0" w:color="4F81BD"/>
              <w:left w:val="double" w:sz="4" w:space="0" w:color="4F81BD" w:themeColor="accent1"/>
              <w:bottom w:val="double" w:sz="4" w:space="0" w:color="4F81BD" w:themeColor="accent1"/>
              <w:right w:val="single" w:sz="8" w:space="0" w:color="B8CCE4"/>
            </w:tcBorders>
            <w:shd w:val="clear" w:color="000000" w:fill="4F81BD"/>
            <w:noWrap/>
            <w:vAlign w:val="center"/>
            <w:hideMark/>
          </w:tcPr>
          <w:p w14:paraId="7FBA60F2" w14:textId="77777777" w:rsidR="00076779" w:rsidRPr="005045BF" w:rsidRDefault="00076779" w:rsidP="007C1419">
            <w:pPr>
              <w:spacing w:before="100" w:after="100"/>
              <w:jc w:val="center"/>
              <w:rPr>
                <w:rFonts w:ascii="Arial" w:hAnsi="Arial" w:cs="Arial"/>
                <w:color w:val="FFFFFF"/>
                <w:sz w:val="20"/>
                <w:szCs w:val="20"/>
              </w:rPr>
            </w:pPr>
            <w:r w:rsidRPr="005045BF">
              <w:rPr>
                <w:rFonts w:ascii="Arial" w:hAnsi="Arial" w:cs="Arial"/>
                <w:color w:val="FFFFFF"/>
                <w:sz w:val="20"/>
                <w:szCs w:val="20"/>
              </w:rPr>
              <w:t>I Trimestre</w:t>
            </w:r>
          </w:p>
        </w:tc>
        <w:tc>
          <w:tcPr>
            <w:tcW w:w="1134" w:type="dxa"/>
            <w:tcBorders>
              <w:top w:val="single" w:sz="8" w:space="0" w:color="4F81BD"/>
              <w:left w:val="nil"/>
              <w:bottom w:val="double" w:sz="4" w:space="0" w:color="4F81BD" w:themeColor="accent1"/>
              <w:right w:val="single" w:sz="8" w:space="0" w:color="B8CCE4"/>
            </w:tcBorders>
            <w:shd w:val="clear" w:color="000000" w:fill="4F81BD"/>
            <w:noWrap/>
            <w:vAlign w:val="center"/>
            <w:hideMark/>
          </w:tcPr>
          <w:p w14:paraId="2C2622EB" w14:textId="77777777" w:rsidR="00076779" w:rsidRPr="005045BF" w:rsidRDefault="00076779" w:rsidP="007C1419">
            <w:pPr>
              <w:spacing w:before="100" w:after="100"/>
              <w:jc w:val="center"/>
              <w:rPr>
                <w:rFonts w:ascii="Arial" w:hAnsi="Arial" w:cs="Arial"/>
                <w:b/>
                <w:bCs/>
                <w:color w:val="FFFFFF"/>
                <w:sz w:val="20"/>
                <w:szCs w:val="20"/>
              </w:rPr>
            </w:pPr>
            <w:r w:rsidRPr="005045BF">
              <w:rPr>
                <w:rFonts w:ascii="Arial" w:hAnsi="Arial" w:cs="Arial"/>
                <w:b/>
                <w:bCs/>
                <w:color w:val="FFFFFF"/>
                <w:sz w:val="20"/>
                <w:szCs w:val="20"/>
              </w:rPr>
              <w:t xml:space="preserve">Enero </w:t>
            </w:r>
          </w:p>
        </w:tc>
        <w:tc>
          <w:tcPr>
            <w:tcW w:w="1030" w:type="dxa"/>
            <w:tcBorders>
              <w:top w:val="single" w:sz="8" w:space="0" w:color="4F81BD"/>
              <w:left w:val="nil"/>
              <w:bottom w:val="double" w:sz="4" w:space="0" w:color="4F81BD" w:themeColor="accent1"/>
              <w:right w:val="single" w:sz="8" w:space="0" w:color="B8CCE4"/>
            </w:tcBorders>
            <w:shd w:val="clear" w:color="000000" w:fill="4F81BD"/>
            <w:noWrap/>
            <w:vAlign w:val="center"/>
            <w:hideMark/>
          </w:tcPr>
          <w:p w14:paraId="4E1666B7" w14:textId="77777777" w:rsidR="00076779" w:rsidRPr="005045BF" w:rsidRDefault="00076779" w:rsidP="007C1419">
            <w:pPr>
              <w:spacing w:before="100" w:after="100"/>
              <w:jc w:val="center"/>
              <w:rPr>
                <w:rFonts w:ascii="Arial" w:hAnsi="Arial" w:cs="Arial"/>
                <w:b/>
                <w:bCs/>
                <w:color w:val="FFFFFF"/>
                <w:sz w:val="20"/>
                <w:szCs w:val="20"/>
              </w:rPr>
            </w:pPr>
            <w:r w:rsidRPr="005045BF">
              <w:rPr>
                <w:rFonts w:ascii="Arial" w:hAnsi="Arial" w:cs="Arial"/>
                <w:b/>
                <w:bCs/>
                <w:color w:val="FFFFFF"/>
                <w:sz w:val="20"/>
                <w:szCs w:val="20"/>
              </w:rPr>
              <w:t xml:space="preserve">Febrero </w:t>
            </w:r>
          </w:p>
        </w:tc>
        <w:tc>
          <w:tcPr>
            <w:tcW w:w="1238" w:type="dxa"/>
            <w:tcBorders>
              <w:top w:val="single" w:sz="8" w:space="0" w:color="4F81BD"/>
              <w:left w:val="nil"/>
              <w:bottom w:val="double" w:sz="4" w:space="0" w:color="4F81BD" w:themeColor="accent1"/>
              <w:right w:val="double" w:sz="4" w:space="0" w:color="4F81BD" w:themeColor="accent1"/>
            </w:tcBorders>
            <w:shd w:val="clear" w:color="000000" w:fill="4F81BD"/>
            <w:noWrap/>
            <w:vAlign w:val="center"/>
            <w:hideMark/>
          </w:tcPr>
          <w:p w14:paraId="4C6F500C" w14:textId="77777777" w:rsidR="00076779" w:rsidRPr="005045BF" w:rsidRDefault="00076779" w:rsidP="007C1419">
            <w:pPr>
              <w:spacing w:before="100" w:after="100"/>
              <w:jc w:val="center"/>
              <w:rPr>
                <w:rFonts w:ascii="Arial" w:hAnsi="Arial" w:cs="Arial"/>
                <w:b/>
                <w:bCs/>
                <w:color w:val="FFFFFF"/>
                <w:sz w:val="20"/>
                <w:szCs w:val="20"/>
              </w:rPr>
            </w:pPr>
            <w:r w:rsidRPr="005045BF">
              <w:rPr>
                <w:rFonts w:ascii="Arial" w:hAnsi="Arial" w:cs="Arial"/>
                <w:b/>
                <w:bCs/>
                <w:color w:val="FFFFFF"/>
                <w:sz w:val="20"/>
                <w:szCs w:val="20"/>
              </w:rPr>
              <w:t>Marzo</w:t>
            </w:r>
          </w:p>
        </w:tc>
        <w:tc>
          <w:tcPr>
            <w:tcW w:w="3413" w:type="dxa"/>
            <w:tcBorders>
              <w:top w:val="nil"/>
              <w:left w:val="double" w:sz="4" w:space="0" w:color="4F81BD" w:themeColor="accent1"/>
              <w:bottom w:val="nil"/>
              <w:right w:val="nil"/>
            </w:tcBorders>
            <w:shd w:val="clear" w:color="auto" w:fill="auto"/>
            <w:noWrap/>
            <w:vAlign w:val="bottom"/>
            <w:hideMark/>
          </w:tcPr>
          <w:p w14:paraId="655EC6D5" w14:textId="768DC936" w:rsidR="00076779" w:rsidRPr="005045BF" w:rsidRDefault="00076779" w:rsidP="007C1419">
            <w:pPr>
              <w:spacing w:before="60" w:after="60"/>
              <w:rPr>
                <w:rFonts w:ascii="Calibri" w:hAnsi="Calibri" w:cs="Calibri"/>
                <w:color w:val="000000"/>
                <w:sz w:val="22"/>
                <w:szCs w:val="22"/>
              </w:rPr>
            </w:pPr>
            <w:r w:rsidRPr="005045BF">
              <w:rPr>
                <w:rFonts w:ascii="Calibri" w:hAnsi="Calibri" w:cs="Calibri"/>
                <w:noProof/>
                <w:color w:val="000000"/>
                <w:sz w:val="22"/>
                <w:szCs w:val="22"/>
              </w:rPr>
              <w:drawing>
                <wp:anchor distT="0" distB="0" distL="114300" distR="114300" simplePos="0" relativeHeight="252239872" behindDoc="0" locked="0" layoutInCell="1" allowOverlap="1" wp14:anchorId="418E009D" wp14:editId="4FF6880A">
                  <wp:simplePos x="0" y="0"/>
                  <wp:positionH relativeFrom="column">
                    <wp:posOffset>-11430</wp:posOffset>
                  </wp:positionH>
                  <wp:positionV relativeFrom="paragraph">
                    <wp:posOffset>-13335</wp:posOffset>
                  </wp:positionV>
                  <wp:extent cx="3028950" cy="3390900"/>
                  <wp:effectExtent l="0" t="0" r="0" b="0"/>
                  <wp:wrapNone/>
                  <wp:docPr id="28" name="Gráfico 28">
                    <a:extLst xmlns:a="http://schemas.openxmlformats.org/drawingml/2006/main">
                      <a:ext uri="{FF2B5EF4-FFF2-40B4-BE49-F238E27FC236}">
                        <a16:creationId xmlns:a16="http://schemas.microsoft.com/office/drawing/2014/main" id="{A3C8AC16-9107-4E32-AC57-EFB1801C9C83}"/>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900"/>
            </w:tblGrid>
            <w:tr w:rsidR="00076779" w:rsidRPr="005045BF" w14:paraId="69D215A4" w14:textId="77777777">
              <w:trPr>
                <w:trHeight w:val="315"/>
                <w:tblCellSpacing w:w="0" w:type="dxa"/>
              </w:trPr>
              <w:tc>
                <w:tcPr>
                  <w:tcW w:w="1900" w:type="dxa"/>
                  <w:tcBorders>
                    <w:top w:val="nil"/>
                    <w:left w:val="nil"/>
                    <w:bottom w:val="nil"/>
                    <w:right w:val="nil"/>
                  </w:tcBorders>
                  <w:shd w:val="clear" w:color="auto" w:fill="auto"/>
                  <w:noWrap/>
                  <w:vAlign w:val="bottom"/>
                  <w:hideMark/>
                </w:tcPr>
                <w:p w14:paraId="7FFEB77C" w14:textId="6CEA60BB" w:rsidR="00076779" w:rsidRPr="005045BF" w:rsidRDefault="00076779" w:rsidP="007C1419">
                  <w:pPr>
                    <w:spacing w:before="60" w:after="60"/>
                    <w:rPr>
                      <w:rFonts w:ascii="Calibri" w:hAnsi="Calibri" w:cs="Calibri"/>
                      <w:color w:val="000000"/>
                      <w:sz w:val="22"/>
                      <w:szCs w:val="22"/>
                    </w:rPr>
                  </w:pPr>
                </w:p>
              </w:tc>
            </w:tr>
          </w:tbl>
          <w:p w14:paraId="3B952FB0" w14:textId="77777777" w:rsidR="00076779" w:rsidRPr="005045BF" w:rsidRDefault="00076779" w:rsidP="007C1419">
            <w:pPr>
              <w:spacing w:before="60" w:after="60"/>
              <w:rPr>
                <w:rFonts w:ascii="Calibri" w:hAnsi="Calibri" w:cs="Calibri"/>
                <w:color w:val="000000"/>
                <w:sz w:val="22"/>
                <w:szCs w:val="22"/>
              </w:rPr>
            </w:pPr>
          </w:p>
        </w:tc>
        <w:tc>
          <w:tcPr>
            <w:tcW w:w="1368" w:type="dxa"/>
            <w:tcBorders>
              <w:top w:val="nil"/>
              <w:left w:val="nil"/>
              <w:bottom w:val="nil"/>
              <w:right w:val="nil"/>
            </w:tcBorders>
            <w:shd w:val="clear" w:color="auto" w:fill="auto"/>
            <w:noWrap/>
            <w:vAlign w:val="bottom"/>
            <w:hideMark/>
          </w:tcPr>
          <w:p w14:paraId="6553371F"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44768557"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11E635B9" w14:textId="77777777" w:rsidR="00076779" w:rsidRPr="005045BF" w:rsidRDefault="00076779" w:rsidP="007C1419">
            <w:pPr>
              <w:spacing w:before="60" w:after="60"/>
              <w:rPr>
                <w:sz w:val="20"/>
                <w:szCs w:val="20"/>
              </w:rPr>
            </w:pPr>
          </w:p>
        </w:tc>
      </w:tr>
      <w:tr w:rsidR="00076779" w:rsidRPr="005045BF" w14:paraId="13DF32B0" w14:textId="77777777" w:rsidTr="00076779">
        <w:trPr>
          <w:trHeight w:val="330"/>
        </w:trPr>
        <w:tc>
          <w:tcPr>
            <w:tcW w:w="4805" w:type="dxa"/>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DBE5F1" w:themeFill="accent1" w:themeFillTint="33"/>
            <w:vAlign w:val="center"/>
            <w:hideMark/>
          </w:tcPr>
          <w:p w14:paraId="52ACA546" w14:textId="77777777" w:rsidR="00076779" w:rsidRPr="005045BF" w:rsidRDefault="00076779" w:rsidP="007C1419">
            <w:pPr>
              <w:spacing w:before="100" w:after="100"/>
              <w:jc w:val="center"/>
              <w:rPr>
                <w:rFonts w:ascii="Arial" w:hAnsi="Arial" w:cs="Arial"/>
                <w:b/>
                <w:bCs/>
                <w:color w:val="FFFFFF"/>
                <w:sz w:val="20"/>
                <w:szCs w:val="20"/>
              </w:rPr>
            </w:pPr>
            <w:r w:rsidRPr="005045BF">
              <w:rPr>
                <w:rFonts w:ascii="Arial" w:hAnsi="Arial" w:cs="Arial"/>
                <w:b/>
                <w:bCs/>
                <w:color w:val="244061" w:themeColor="accent1" w:themeShade="80"/>
                <w:sz w:val="20"/>
                <w:szCs w:val="20"/>
              </w:rPr>
              <w:t>Gasolina Corriente</w:t>
            </w:r>
          </w:p>
        </w:tc>
        <w:tc>
          <w:tcPr>
            <w:tcW w:w="3413" w:type="dxa"/>
            <w:tcBorders>
              <w:top w:val="nil"/>
              <w:left w:val="double" w:sz="4" w:space="0" w:color="4F81BD" w:themeColor="accent1"/>
              <w:bottom w:val="nil"/>
              <w:right w:val="nil"/>
            </w:tcBorders>
            <w:shd w:val="clear" w:color="auto" w:fill="auto"/>
            <w:noWrap/>
            <w:vAlign w:val="bottom"/>
            <w:hideMark/>
          </w:tcPr>
          <w:p w14:paraId="444D4B0B" w14:textId="536090FB" w:rsidR="00076779" w:rsidRPr="005045BF" w:rsidRDefault="00076779" w:rsidP="007C1419">
            <w:pPr>
              <w:spacing w:before="60" w:after="60"/>
              <w:jc w:val="center"/>
              <w:rPr>
                <w:rFonts w:ascii="Arial" w:hAnsi="Arial" w:cs="Arial"/>
                <w:b/>
                <w:bCs/>
                <w:color w:val="FFFFFF"/>
                <w:sz w:val="20"/>
                <w:szCs w:val="20"/>
              </w:rPr>
            </w:pPr>
          </w:p>
        </w:tc>
        <w:tc>
          <w:tcPr>
            <w:tcW w:w="1368" w:type="dxa"/>
            <w:tcBorders>
              <w:top w:val="nil"/>
              <w:left w:val="nil"/>
              <w:bottom w:val="nil"/>
              <w:right w:val="nil"/>
            </w:tcBorders>
            <w:shd w:val="clear" w:color="auto" w:fill="auto"/>
            <w:noWrap/>
            <w:vAlign w:val="bottom"/>
            <w:hideMark/>
          </w:tcPr>
          <w:p w14:paraId="6444ABF4" w14:textId="6924E4D8"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39858A01"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530C2473" w14:textId="77777777" w:rsidR="00076779" w:rsidRPr="005045BF" w:rsidRDefault="00076779" w:rsidP="007C1419">
            <w:pPr>
              <w:spacing w:before="60" w:after="60"/>
              <w:rPr>
                <w:sz w:val="20"/>
                <w:szCs w:val="20"/>
              </w:rPr>
            </w:pPr>
          </w:p>
        </w:tc>
      </w:tr>
      <w:tr w:rsidR="00076779" w:rsidRPr="005045BF" w14:paraId="4288DF91" w14:textId="77777777" w:rsidTr="00076779">
        <w:trPr>
          <w:trHeight w:val="315"/>
        </w:trPr>
        <w:tc>
          <w:tcPr>
            <w:tcW w:w="1403" w:type="dxa"/>
            <w:tcBorders>
              <w:top w:val="double" w:sz="4" w:space="0" w:color="4F81BD" w:themeColor="accent1"/>
              <w:left w:val="double" w:sz="4" w:space="0" w:color="4F81BD" w:themeColor="accent1"/>
              <w:bottom w:val="single" w:sz="4" w:space="0" w:color="4F81BD" w:themeColor="accent1"/>
              <w:right w:val="single" w:sz="4" w:space="0" w:color="4F81BD" w:themeColor="accent1"/>
            </w:tcBorders>
            <w:shd w:val="clear" w:color="auto" w:fill="auto"/>
            <w:noWrap/>
            <w:vAlign w:val="center"/>
            <w:hideMark/>
          </w:tcPr>
          <w:p w14:paraId="74A8346B" w14:textId="77777777" w:rsidR="00076779" w:rsidRPr="005045BF" w:rsidRDefault="00076779" w:rsidP="007C1419">
            <w:pPr>
              <w:spacing w:before="100" w:after="100"/>
              <w:jc w:val="center"/>
              <w:rPr>
                <w:rFonts w:ascii="Arial" w:hAnsi="Arial" w:cs="Arial"/>
                <w:color w:val="0F243E"/>
                <w:sz w:val="20"/>
                <w:szCs w:val="20"/>
              </w:rPr>
            </w:pPr>
            <w:r w:rsidRPr="005045BF">
              <w:rPr>
                <w:rFonts w:ascii="Arial" w:hAnsi="Arial" w:cs="Arial"/>
                <w:color w:val="0F243E"/>
                <w:sz w:val="20"/>
                <w:szCs w:val="20"/>
              </w:rPr>
              <w:t>2020</w:t>
            </w:r>
          </w:p>
        </w:tc>
        <w:tc>
          <w:tcPr>
            <w:tcW w:w="1134" w:type="dxa"/>
            <w:tcBorders>
              <w:top w:val="doub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73EFECB2"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6.628.355</w:t>
            </w:r>
          </w:p>
        </w:tc>
        <w:tc>
          <w:tcPr>
            <w:tcW w:w="1030" w:type="dxa"/>
            <w:tcBorders>
              <w:top w:val="doub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5658645F"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7.917.499</w:t>
            </w:r>
          </w:p>
        </w:tc>
        <w:tc>
          <w:tcPr>
            <w:tcW w:w="1238" w:type="dxa"/>
            <w:tcBorders>
              <w:top w:val="double" w:sz="4" w:space="0" w:color="4F81BD" w:themeColor="accent1"/>
              <w:left w:val="single" w:sz="4" w:space="0" w:color="4F81BD" w:themeColor="accent1"/>
              <w:bottom w:val="single" w:sz="4" w:space="0" w:color="4F81BD" w:themeColor="accent1"/>
              <w:right w:val="double" w:sz="4" w:space="0" w:color="4F81BD" w:themeColor="accent1"/>
            </w:tcBorders>
            <w:shd w:val="clear" w:color="auto" w:fill="auto"/>
            <w:noWrap/>
            <w:vAlign w:val="center"/>
            <w:hideMark/>
          </w:tcPr>
          <w:p w14:paraId="180F6628"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5.702.341</w:t>
            </w:r>
          </w:p>
        </w:tc>
        <w:tc>
          <w:tcPr>
            <w:tcW w:w="3413" w:type="dxa"/>
            <w:tcBorders>
              <w:top w:val="nil"/>
              <w:left w:val="double" w:sz="4" w:space="0" w:color="4F81BD" w:themeColor="accent1"/>
              <w:bottom w:val="nil"/>
              <w:right w:val="nil"/>
            </w:tcBorders>
            <w:shd w:val="clear" w:color="auto" w:fill="auto"/>
            <w:noWrap/>
            <w:vAlign w:val="bottom"/>
          </w:tcPr>
          <w:p w14:paraId="21CED79D" w14:textId="0B1DD7D9" w:rsidR="00076779" w:rsidRPr="005045BF" w:rsidRDefault="00076779" w:rsidP="007C1419">
            <w:pPr>
              <w:spacing w:before="60" w:after="60"/>
              <w:jc w:val="right"/>
              <w:rPr>
                <w:rFonts w:ascii="Calibri" w:hAnsi="Calibri" w:cs="Calibri"/>
                <w:color w:val="000000"/>
                <w:sz w:val="22"/>
                <w:szCs w:val="22"/>
              </w:rPr>
            </w:pPr>
          </w:p>
        </w:tc>
        <w:tc>
          <w:tcPr>
            <w:tcW w:w="1368" w:type="dxa"/>
            <w:tcBorders>
              <w:top w:val="nil"/>
              <w:left w:val="nil"/>
              <w:bottom w:val="nil"/>
              <w:right w:val="nil"/>
            </w:tcBorders>
            <w:shd w:val="clear" w:color="auto" w:fill="auto"/>
            <w:noWrap/>
            <w:vAlign w:val="bottom"/>
          </w:tcPr>
          <w:p w14:paraId="173255AA" w14:textId="77777777" w:rsidR="00076779" w:rsidRPr="005045BF" w:rsidRDefault="00076779" w:rsidP="007C1419">
            <w:pPr>
              <w:spacing w:before="60" w:after="60"/>
              <w:jc w:val="right"/>
              <w:rPr>
                <w:rFonts w:ascii="Calibri" w:hAnsi="Calibri" w:cs="Calibri"/>
                <w:color w:val="000000"/>
                <w:sz w:val="22"/>
                <w:szCs w:val="22"/>
              </w:rPr>
            </w:pPr>
          </w:p>
        </w:tc>
        <w:tc>
          <w:tcPr>
            <w:tcW w:w="1468" w:type="dxa"/>
            <w:tcBorders>
              <w:top w:val="nil"/>
              <w:left w:val="nil"/>
              <w:bottom w:val="nil"/>
              <w:right w:val="nil"/>
            </w:tcBorders>
            <w:shd w:val="clear" w:color="auto" w:fill="auto"/>
            <w:noWrap/>
            <w:vAlign w:val="bottom"/>
            <w:hideMark/>
          </w:tcPr>
          <w:p w14:paraId="010D1402"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6DC53B82" w14:textId="77777777" w:rsidR="00076779" w:rsidRPr="005045BF" w:rsidRDefault="00076779" w:rsidP="007C1419">
            <w:pPr>
              <w:spacing w:before="60" w:after="60"/>
              <w:rPr>
                <w:sz w:val="20"/>
                <w:szCs w:val="20"/>
              </w:rPr>
            </w:pPr>
          </w:p>
        </w:tc>
      </w:tr>
      <w:tr w:rsidR="00076779" w:rsidRPr="005045BF" w14:paraId="31C78852" w14:textId="77777777" w:rsidTr="00076779">
        <w:trPr>
          <w:trHeight w:val="315"/>
        </w:trPr>
        <w:tc>
          <w:tcPr>
            <w:tcW w:w="1403" w:type="dxa"/>
            <w:tcBorders>
              <w:top w:val="single" w:sz="4" w:space="0" w:color="4F81BD" w:themeColor="accent1"/>
              <w:left w:val="double" w:sz="4" w:space="0" w:color="4F81BD" w:themeColor="accent1"/>
              <w:bottom w:val="single" w:sz="12" w:space="0" w:color="4F81BD" w:themeColor="accent1"/>
              <w:right w:val="single" w:sz="4" w:space="0" w:color="4F81BD" w:themeColor="accent1"/>
            </w:tcBorders>
            <w:shd w:val="clear" w:color="auto" w:fill="auto"/>
            <w:noWrap/>
            <w:vAlign w:val="center"/>
            <w:hideMark/>
          </w:tcPr>
          <w:p w14:paraId="17F58DED" w14:textId="77777777" w:rsidR="00076779" w:rsidRPr="005045BF" w:rsidRDefault="00076779" w:rsidP="007C1419">
            <w:pPr>
              <w:spacing w:before="100" w:after="100"/>
              <w:jc w:val="center"/>
              <w:rPr>
                <w:rFonts w:ascii="Arial" w:hAnsi="Arial" w:cs="Arial"/>
                <w:color w:val="0F243E"/>
                <w:sz w:val="20"/>
                <w:szCs w:val="20"/>
              </w:rPr>
            </w:pPr>
            <w:r w:rsidRPr="005045BF">
              <w:rPr>
                <w:rFonts w:ascii="Arial" w:hAnsi="Arial" w:cs="Arial"/>
                <w:color w:val="0F243E"/>
                <w:sz w:val="20"/>
                <w:szCs w:val="20"/>
              </w:rPr>
              <w:t>2019</w:t>
            </w:r>
          </w:p>
        </w:tc>
        <w:tc>
          <w:tcPr>
            <w:tcW w:w="1134" w:type="dxa"/>
            <w:tcBorders>
              <w:top w:val="single" w:sz="4" w:space="0" w:color="4F81BD" w:themeColor="accent1"/>
              <w:left w:val="single" w:sz="4" w:space="0" w:color="4F81BD" w:themeColor="accent1"/>
              <w:bottom w:val="single" w:sz="12" w:space="0" w:color="4F81BD" w:themeColor="accent1"/>
              <w:right w:val="single" w:sz="4" w:space="0" w:color="4F81BD" w:themeColor="accent1"/>
            </w:tcBorders>
            <w:shd w:val="clear" w:color="auto" w:fill="auto"/>
            <w:noWrap/>
            <w:vAlign w:val="center"/>
            <w:hideMark/>
          </w:tcPr>
          <w:p w14:paraId="4252852E" w14:textId="4D22E3CE"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7.325.45</w:t>
            </w:r>
            <w:r w:rsidR="004A78A7" w:rsidRPr="005045BF">
              <w:rPr>
                <w:rFonts w:ascii="Arial" w:hAnsi="Arial" w:cs="Arial"/>
                <w:color w:val="0F243E"/>
                <w:sz w:val="20"/>
                <w:szCs w:val="20"/>
              </w:rPr>
              <w:t>0</w:t>
            </w:r>
          </w:p>
        </w:tc>
        <w:tc>
          <w:tcPr>
            <w:tcW w:w="1030" w:type="dxa"/>
            <w:tcBorders>
              <w:top w:val="single" w:sz="4" w:space="0" w:color="4F81BD" w:themeColor="accent1"/>
              <w:left w:val="single" w:sz="4" w:space="0" w:color="4F81BD" w:themeColor="accent1"/>
              <w:bottom w:val="single" w:sz="12" w:space="0" w:color="4F81BD" w:themeColor="accent1"/>
              <w:right w:val="single" w:sz="4" w:space="0" w:color="4F81BD" w:themeColor="accent1"/>
            </w:tcBorders>
            <w:shd w:val="clear" w:color="auto" w:fill="auto"/>
            <w:noWrap/>
            <w:vAlign w:val="center"/>
            <w:hideMark/>
          </w:tcPr>
          <w:p w14:paraId="72CC0582"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6.760.994</w:t>
            </w:r>
          </w:p>
        </w:tc>
        <w:tc>
          <w:tcPr>
            <w:tcW w:w="1238" w:type="dxa"/>
            <w:tcBorders>
              <w:top w:val="single" w:sz="4" w:space="0" w:color="4F81BD" w:themeColor="accent1"/>
              <w:left w:val="single" w:sz="4" w:space="0" w:color="4F81BD" w:themeColor="accent1"/>
              <w:bottom w:val="single" w:sz="12" w:space="0" w:color="4F81BD" w:themeColor="accent1"/>
              <w:right w:val="double" w:sz="4" w:space="0" w:color="4F81BD" w:themeColor="accent1"/>
            </w:tcBorders>
            <w:shd w:val="clear" w:color="auto" w:fill="auto"/>
            <w:noWrap/>
            <w:vAlign w:val="center"/>
            <w:hideMark/>
          </w:tcPr>
          <w:p w14:paraId="17FC373A"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8.287.730</w:t>
            </w:r>
          </w:p>
        </w:tc>
        <w:tc>
          <w:tcPr>
            <w:tcW w:w="3413" w:type="dxa"/>
            <w:tcBorders>
              <w:top w:val="nil"/>
              <w:left w:val="double" w:sz="4" w:space="0" w:color="4F81BD" w:themeColor="accent1"/>
              <w:bottom w:val="nil"/>
              <w:right w:val="nil"/>
            </w:tcBorders>
            <w:shd w:val="clear" w:color="auto" w:fill="auto"/>
            <w:noWrap/>
            <w:vAlign w:val="bottom"/>
          </w:tcPr>
          <w:p w14:paraId="41DF6E3B" w14:textId="400CD9CE" w:rsidR="00076779" w:rsidRPr="005045BF" w:rsidRDefault="00076779" w:rsidP="007C1419">
            <w:pPr>
              <w:spacing w:before="60" w:after="60"/>
              <w:jc w:val="right"/>
              <w:rPr>
                <w:rFonts w:ascii="Calibri" w:hAnsi="Calibri" w:cs="Calibri"/>
                <w:color w:val="000000"/>
                <w:sz w:val="22"/>
                <w:szCs w:val="22"/>
              </w:rPr>
            </w:pPr>
          </w:p>
        </w:tc>
        <w:tc>
          <w:tcPr>
            <w:tcW w:w="1368" w:type="dxa"/>
            <w:tcBorders>
              <w:top w:val="nil"/>
              <w:left w:val="nil"/>
              <w:bottom w:val="nil"/>
              <w:right w:val="nil"/>
            </w:tcBorders>
            <w:shd w:val="clear" w:color="auto" w:fill="auto"/>
            <w:noWrap/>
            <w:vAlign w:val="bottom"/>
          </w:tcPr>
          <w:p w14:paraId="3394B62F" w14:textId="77777777" w:rsidR="00076779" w:rsidRPr="005045BF" w:rsidRDefault="00076779" w:rsidP="007C1419">
            <w:pPr>
              <w:spacing w:before="60" w:after="60"/>
              <w:jc w:val="right"/>
              <w:rPr>
                <w:rFonts w:ascii="Calibri" w:hAnsi="Calibri" w:cs="Calibri"/>
                <w:color w:val="000000"/>
                <w:sz w:val="22"/>
                <w:szCs w:val="22"/>
              </w:rPr>
            </w:pPr>
          </w:p>
        </w:tc>
        <w:tc>
          <w:tcPr>
            <w:tcW w:w="1468" w:type="dxa"/>
            <w:tcBorders>
              <w:top w:val="nil"/>
              <w:left w:val="nil"/>
              <w:bottom w:val="nil"/>
              <w:right w:val="nil"/>
            </w:tcBorders>
            <w:shd w:val="clear" w:color="auto" w:fill="auto"/>
            <w:noWrap/>
            <w:vAlign w:val="bottom"/>
            <w:hideMark/>
          </w:tcPr>
          <w:p w14:paraId="6B1E005D"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7900E113" w14:textId="77777777" w:rsidR="00076779" w:rsidRPr="005045BF" w:rsidRDefault="00076779" w:rsidP="007C1419">
            <w:pPr>
              <w:spacing w:before="60" w:after="60"/>
              <w:rPr>
                <w:sz w:val="20"/>
                <w:szCs w:val="20"/>
              </w:rPr>
            </w:pPr>
          </w:p>
        </w:tc>
      </w:tr>
      <w:tr w:rsidR="00076779" w:rsidRPr="005045BF" w14:paraId="5A7D962E" w14:textId="77777777" w:rsidTr="00076779">
        <w:trPr>
          <w:trHeight w:val="315"/>
        </w:trPr>
        <w:tc>
          <w:tcPr>
            <w:tcW w:w="1403" w:type="dxa"/>
            <w:tcBorders>
              <w:top w:val="single" w:sz="12" w:space="0" w:color="4F81BD" w:themeColor="accent1"/>
              <w:left w:val="double" w:sz="4" w:space="0" w:color="4F81BD" w:themeColor="accent1"/>
              <w:bottom w:val="single" w:sz="4" w:space="0" w:color="4F81BD" w:themeColor="accent1"/>
              <w:right w:val="single" w:sz="4" w:space="0" w:color="4F81BD" w:themeColor="accent1"/>
            </w:tcBorders>
            <w:shd w:val="clear" w:color="auto" w:fill="auto"/>
            <w:noWrap/>
            <w:vAlign w:val="center"/>
            <w:hideMark/>
          </w:tcPr>
          <w:p w14:paraId="4EC5735A" w14:textId="686EB7EC"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134" w:type="dxa"/>
            <w:tcBorders>
              <w:top w:val="single" w:sz="12"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07E71B11" w14:textId="43640942" w:rsidR="00076779" w:rsidRPr="005045BF" w:rsidRDefault="006163C2"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697.09</w:t>
            </w:r>
            <w:r w:rsidR="004A78A7" w:rsidRPr="005045BF">
              <w:rPr>
                <w:rFonts w:ascii="Arial" w:hAnsi="Arial" w:cs="Arial"/>
                <w:b/>
                <w:bCs/>
                <w:color w:val="0F243E"/>
                <w:sz w:val="20"/>
                <w:szCs w:val="20"/>
              </w:rPr>
              <w:t>5</w:t>
            </w:r>
            <w:r w:rsidRPr="005045BF">
              <w:rPr>
                <w:rFonts w:ascii="Arial" w:hAnsi="Arial" w:cs="Arial"/>
                <w:b/>
                <w:bCs/>
                <w:color w:val="0F243E"/>
                <w:sz w:val="20"/>
                <w:szCs w:val="20"/>
              </w:rPr>
              <w:t>)</w:t>
            </w:r>
          </w:p>
        </w:tc>
        <w:tc>
          <w:tcPr>
            <w:tcW w:w="1030" w:type="dxa"/>
            <w:tcBorders>
              <w:top w:val="single" w:sz="12"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480606B5" w14:textId="77777777" w:rsidR="00076779" w:rsidRPr="005045BF" w:rsidRDefault="00076779"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1.156.505</w:t>
            </w:r>
          </w:p>
        </w:tc>
        <w:tc>
          <w:tcPr>
            <w:tcW w:w="1238" w:type="dxa"/>
            <w:tcBorders>
              <w:top w:val="single" w:sz="12" w:space="0" w:color="4F81BD" w:themeColor="accent1"/>
              <w:left w:val="single" w:sz="4" w:space="0" w:color="4F81BD" w:themeColor="accent1"/>
              <w:bottom w:val="single" w:sz="4" w:space="0" w:color="4F81BD" w:themeColor="accent1"/>
              <w:right w:val="double" w:sz="4" w:space="0" w:color="4F81BD" w:themeColor="accent1"/>
            </w:tcBorders>
            <w:shd w:val="clear" w:color="auto" w:fill="auto"/>
            <w:noWrap/>
            <w:vAlign w:val="center"/>
            <w:hideMark/>
          </w:tcPr>
          <w:p w14:paraId="2A3C3C0D" w14:textId="5AAB35BA" w:rsidR="00076779" w:rsidRPr="005045BF" w:rsidRDefault="006163C2"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2.585.389</w:t>
            </w:r>
            <w:r w:rsidRPr="005045BF">
              <w:rPr>
                <w:rFonts w:ascii="Arial" w:hAnsi="Arial" w:cs="Arial"/>
                <w:b/>
                <w:bCs/>
                <w:color w:val="0F243E"/>
                <w:sz w:val="20"/>
                <w:szCs w:val="20"/>
              </w:rPr>
              <w:t>)</w:t>
            </w:r>
          </w:p>
        </w:tc>
        <w:tc>
          <w:tcPr>
            <w:tcW w:w="3413" w:type="dxa"/>
            <w:tcBorders>
              <w:top w:val="nil"/>
              <w:left w:val="double" w:sz="4" w:space="0" w:color="4F81BD" w:themeColor="accent1"/>
              <w:bottom w:val="nil"/>
              <w:right w:val="nil"/>
            </w:tcBorders>
            <w:shd w:val="clear" w:color="auto" w:fill="auto"/>
            <w:noWrap/>
            <w:vAlign w:val="bottom"/>
          </w:tcPr>
          <w:p w14:paraId="63D88095" w14:textId="77777777" w:rsidR="00076779" w:rsidRPr="005045BF" w:rsidRDefault="00076779" w:rsidP="007C1419">
            <w:pPr>
              <w:spacing w:before="60" w:after="60"/>
              <w:jc w:val="right"/>
              <w:rPr>
                <w:rFonts w:ascii="Arial" w:hAnsi="Arial" w:cs="Arial"/>
                <w:b/>
                <w:bCs/>
                <w:color w:val="0F243E"/>
                <w:sz w:val="20"/>
                <w:szCs w:val="20"/>
              </w:rPr>
            </w:pPr>
          </w:p>
        </w:tc>
        <w:tc>
          <w:tcPr>
            <w:tcW w:w="1368" w:type="dxa"/>
            <w:tcBorders>
              <w:top w:val="nil"/>
              <w:left w:val="nil"/>
              <w:bottom w:val="nil"/>
              <w:right w:val="nil"/>
            </w:tcBorders>
            <w:shd w:val="clear" w:color="auto" w:fill="auto"/>
            <w:noWrap/>
            <w:vAlign w:val="bottom"/>
          </w:tcPr>
          <w:p w14:paraId="03C9C75F"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6EF248EC"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5FE47587" w14:textId="77777777" w:rsidR="00076779" w:rsidRPr="005045BF" w:rsidRDefault="00076779" w:rsidP="007C1419">
            <w:pPr>
              <w:spacing w:before="60" w:after="60"/>
              <w:rPr>
                <w:sz w:val="20"/>
                <w:szCs w:val="20"/>
              </w:rPr>
            </w:pPr>
          </w:p>
        </w:tc>
      </w:tr>
      <w:tr w:rsidR="00076779" w:rsidRPr="005045BF" w14:paraId="30B24614" w14:textId="77777777" w:rsidTr="00076779">
        <w:trPr>
          <w:trHeight w:val="567"/>
        </w:trPr>
        <w:tc>
          <w:tcPr>
            <w:tcW w:w="1403" w:type="dxa"/>
            <w:tcBorders>
              <w:top w:val="single" w:sz="4" w:space="0" w:color="4F81BD" w:themeColor="accent1"/>
              <w:left w:val="double" w:sz="4" w:space="0" w:color="4F81BD" w:themeColor="accent1"/>
              <w:bottom w:val="double" w:sz="4" w:space="0" w:color="4F81BD" w:themeColor="accent1"/>
              <w:right w:val="single" w:sz="4" w:space="0" w:color="4F81BD" w:themeColor="accent1"/>
            </w:tcBorders>
            <w:shd w:val="clear" w:color="auto" w:fill="auto"/>
            <w:noWrap/>
            <w:vAlign w:val="center"/>
            <w:hideMark/>
          </w:tcPr>
          <w:p w14:paraId="1EF75042" w14:textId="77777777"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134"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shd w:val="clear" w:color="auto" w:fill="auto"/>
            <w:noWrap/>
            <w:vAlign w:val="center"/>
            <w:hideMark/>
          </w:tcPr>
          <w:p w14:paraId="10CEBCE3" w14:textId="5BD8C558" w:rsidR="00076779" w:rsidRPr="005045BF" w:rsidRDefault="006163C2"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10%</w:t>
            </w:r>
            <w:r w:rsidRPr="005045BF">
              <w:rPr>
                <w:rFonts w:ascii="Arial" w:hAnsi="Arial" w:cs="Arial"/>
                <w:b/>
                <w:bCs/>
                <w:color w:val="0F243E"/>
                <w:sz w:val="20"/>
                <w:szCs w:val="20"/>
              </w:rPr>
              <w:t>)</w:t>
            </w:r>
          </w:p>
        </w:tc>
        <w:tc>
          <w:tcPr>
            <w:tcW w:w="1030"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shd w:val="clear" w:color="auto" w:fill="auto"/>
            <w:noWrap/>
            <w:vAlign w:val="center"/>
            <w:hideMark/>
          </w:tcPr>
          <w:p w14:paraId="6630F9D3" w14:textId="7552895B"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17%</w:t>
            </w:r>
          </w:p>
        </w:tc>
        <w:tc>
          <w:tcPr>
            <w:tcW w:w="1238" w:type="dxa"/>
            <w:tcBorders>
              <w:top w:val="single" w:sz="4" w:space="0" w:color="4F81BD" w:themeColor="accent1"/>
              <w:left w:val="single" w:sz="4" w:space="0" w:color="4F81BD" w:themeColor="accent1"/>
              <w:bottom w:val="double" w:sz="4" w:space="0" w:color="4F81BD" w:themeColor="accent1"/>
              <w:right w:val="double" w:sz="4" w:space="0" w:color="4F81BD" w:themeColor="accent1"/>
            </w:tcBorders>
            <w:shd w:val="clear" w:color="auto" w:fill="auto"/>
            <w:noWrap/>
            <w:vAlign w:val="center"/>
            <w:hideMark/>
          </w:tcPr>
          <w:p w14:paraId="7FECF7AE" w14:textId="28619BD8" w:rsidR="00076779" w:rsidRPr="005045BF" w:rsidRDefault="006163C2"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31%</w:t>
            </w:r>
            <w:r w:rsidRPr="005045BF">
              <w:rPr>
                <w:rFonts w:ascii="Arial" w:hAnsi="Arial" w:cs="Arial"/>
                <w:b/>
                <w:bCs/>
                <w:color w:val="0F243E"/>
                <w:sz w:val="20"/>
                <w:szCs w:val="20"/>
              </w:rPr>
              <w:t>)</w:t>
            </w:r>
          </w:p>
        </w:tc>
        <w:tc>
          <w:tcPr>
            <w:tcW w:w="3413" w:type="dxa"/>
            <w:tcBorders>
              <w:top w:val="nil"/>
              <w:left w:val="double" w:sz="4" w:space="0" w:color="4F81BD" w:themeColor="accent1"/>
              <w:bottom w:val="nil"/>
              <w:right w:val="nil"/>
            </w:tcBorders>
            <w:shd w:val="clear" w:color="auto" w:fill="auto"/>
            <w:noWrap/>
            <w:vAlign w:val="bottom"/>
            <w:hideMark/>
          </w:tcPr>
          <w:p w14:paraId="40E6BADB" w14:textId="3420C479" w:rsidR="00076779" w:rsidRPr="005045BF" w:rsidRDefault="00076779" w:rsidP="007C1419">
            <w:pPr>
              <w:spacing w:before="60" w:after="60"/>
              <w:jc w:val="center"/>
              <w:rPr>
                <w:rFonts w:ascii="Arial" w:hAnsi="Arial" w:cs="Arial"/>
                <w:b/>
                <w:bCs/>
                <w:color w:val="0F243E"/>
                <w:sz w:val="20"/>
                <w:szCs w:val="20"/>
              </w:rPr>
            </w:pPr>
          </w:p>
        </w:tc>
        <w:tc>
          <w:tcPr>
            <w:tcW w:w="1368" w:type="dxa"/>
            <w:tcBorders>
              <w:top w:val="nil"/>
              <w:left w:val="nil"/>
              <w:bottom w:val="nil"/>
              <w:right w:val="nil"/>
            </w:tcBorders>
            <w:shd w:val="clear" w:color="auto" w:fill="auto"/>
            <w:noWrap/>
            <w:vAlign w:val="bottom"/>
            <w:hideMark/>
          </w:tcPr>
          <w:p w14:paraId="6E9B4C15"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56C2AA61"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050F22AF" w14:textId="77777777" w:rsidR="00076779" w:rsidRPr="005045BF" w:rsidRDefault="00076779" w:rsidP="007C1419">
            <w:pPr>
              <w:spacing w:before="60" w:after="60"/>
              <w:rPr>
                <w:sz w:val="20"/>
                <w:szCs w:val="20"/>
              </w:rPr>
            </w:pPr>
          </w:p>
        </w:tc>
      </w:tr>
      <w:tr w:rsidR="00076779" w:rsidRPr="005045BF" w14:paraId="28313C79" w14:textId="77777777" w:rsidTr="00076779">
        <w:trPr>
          <w:trHeight w:val="330"/>
        </w:trPr>
        <w:tc>
          <w:tcPr>
            <w:tcW w:w="4805" w:type="dxa"/>
            <w:gridSpan w:val="4"/>
            <w:tcBorders>
              <w:top w:val="double" w:sz="4" w:space="0" w:color="4F81BD" w:themeColor="accent1"/>
              <w:left w:val="double" w:sz="4" w:space="0" w:color="4F81BD" w:themeColor="accent1"/>
              <w:bottom w:val="double" w:sz="4" w:space="0" w:color="4F81BD" w:themeColor="accent1"/>
              <w:right w:val="double" w:sz="4" w:space="0" w:color="4F81BD" w:themeColor="accent1"/>
            </w:tcBorders>
            <w:shd w:val="clear" w:color="auto" w:fill="DBE5F1" w:themeFill="accent1" w:themeFillTint="33"/>
            <w:noWrap/>
            <w:vAlign w:val="center"/>
            <w:hideMark/>
          </w:tcPr>
          <w:p w14:paraId="5A628E80" w14:textId="1EE81FB9" w:rsidR="00076779" w:rsidRPr="005045BF" w:rsidRDefault="00076779" w:rsidP="007C1419">
            <w:pPr>
              <w:spacing w:before="100" w:after="100"/>
              <w:jc w:val="center"/>
              <w:rPr>
                <w:rFonts w:ascii="Arial" w:hAnsi="Arial" w:cs="Arial"/>
                <w:b/>
                <w:bCs/>
                <w:color w:val="FFFFFF"/>
                <w:sz w:val="20"/>
                <w:szCs w:val="20"/>
              </w:rPr>
            </w:pPr>
            <w:r w:rsidRPr="005045BF">
              <w:rPr>
                <w:rFonts w:ascii="Arial" w:hAnsi="Arial" w:cs="Arial"/>
                <w:b/>
                <w:bCs/>
                <w:color w:val="244061" w:themeColor="accent1" w:themeShade="80"/>
                <w:sz w:val="20"/>
                <w:szCs w:val="20"/>
              </w:rPr>
              <w:t>ACPM</w:t>
            </w:r>
          </w:p>
        </w:tc>
        <w:tc>
          <w:tcPr>
            <w:tcW w:w="3413" w:type="dxa"/>
            <w:tcBorders>
              <w:top w:val="double" w:sz="4" w:space="0" w:color="4F81BD" w:themeColor="accent1"/>
              <w:left w:val="double" w:sz="4" w:space="0" w:color="4F81BD" w:themeColor="accent1"/>
              <w:bottom w:val="nil"/>
              <w:right w:val="nil"/>
            </w:tcBorders>
            <w:shd w:val="clear" w:color="auto" w:fill="auto"/>
            <w:noWrap/>
            <w:vAlign w:val="bottom"/>
            <w:hideMark/>
          </w:tcPr>
          <w:p w14:paraId="1201B439" w14:textId="77777777" w:rsidR="00076779" w:rsidRPr="005045BF" w:rsidRDefault="00076779" w:rsidP="007C1419">
            <w:pPr>
              <w:spacing w:before="60" w:after="60"/>
              <w:jc w:val="center"/>
              <w:rPr>
                <w:rFonts w:ascii="Arial" w:hAnsi="Arial" w:cs="Arial"/>
                <w:b/>
                <w:bCs/>
                <w:color w:val="FFFFFF"/>
                <w:sz w:val="20"/>
                <w:szCs w:val="20"/>
              </w:rPr>
            </w:pPr>
          </w:p>
        </w:tc>
        <w:tc>
          <w:tcPr>
            <w:tcW w:w="1368" w:type="dxa"/>
            <w:tcBorders>
              <w:top w:val="double" w:sz="4" w:space="0" w:color="4F81BD" w:themeColor="accent1"/>
              <w:left w:val="nil"/>
              <w:bottom w:val="nil"/>
              <w:right w:val="nil"/>
            </w:tcBorders>
            <w:shd w:val="clear" w:color="auto" w:fill="auto"/>
            <w:noWrap/>
            <w:vAlign w:val="bottom"/>
            <w:hideMark/>
          </w:tcPr>
          <w:p w14:paraId="666B9B83"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4939E241"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4CA9C682" w14:textId="77777777" w:rsidR="00076779" w:rsidRPr="005045BF" w:rsidRDefault="00076779" w:rsidP="007C1419">
            <w:pPr>
              <w:spacing w:before="60" w:after="60"/>
              <w:rPr>
                <w:sz w:val="20"/>
                <w:szCs w:val="20"/>
              </w:rPr>
            </w:pPr>
          </w:p>
        </w:tc>
      </w:tr>
      <w:tr w:rsidR="00076779" w:rsidRPr="005045BF" w14:paraId="3883828C" w14:textId="77777777" w:rsidTr="00076779">
        <w:trPr>
          <w:trHeight w:val="315"/>
        </w:trPr>
        <w:tc>
          <w:tcPr>
            <w:tcW w:w="1403" w:type="dxa"/>
            <w:tcBorders>
              <w:top w:val="double" w:sz="4" w:space="0" w:color="4F81BD" w:themeColor="accent1"/>
              <w:left w:val="double" w:sz="4" w:space="0" w:color="4F81BD" w:themeColor="accent1"/>
              <w:bottom w:val="single" w:sz="4" w:space="0" w:color="4F81BD" w:themeColor="accent1"/>
              <w:right w:val="single" w:sz="4" w:space="0" w:color="4F81BD" w:themeColor="accent1"/>
            </w:tcBorders>
            <w:shd w:val="clear" w:color="auto" w:fill="auto"/>
            <w:noWrap/>
            <w:vAlign w:val="center"/>
            <w:hideMark/>
          </w:tcPr>
          <w:p w14:paraId="03E9C03B" w14:textId="77777777" w:rsidR="00076779" w:rsidRPr="005045BF" w:rsidRDefault="00076779" w:rsidP="007C1419">
            <w:pPr>
              <w:spacing w:before="100" w:after="100"/>
              <w:jc w:val="center"/>
              <w:rPr>
                <w:rFonts w:ascii="Arial" w:hAnsi="Arial" w:cs="Arial"/>
                <w:color w:val="0F243E"/>
                <w:sz w:val="20"/>
                <w:szCs w:val="20"/>
              </w:rPr>
            </w:pPr>
            <w:r w:rsidRPr="005045BF">
              <w:rPr>
                <w:rFonts w:ascii="Arial" w:hAnsi="Arial" w:cs="Arial"/>
                <w:color w:val="0F243E"/>
                <w:sz w:val="20"/>
                <w:szCs w:val="20"/>
              </w:rPr>
              <w:t>2020</w:t>
            </w:r>
          </w:p>
        </w:tc>
        <w:tc>
          <w:tcPr>
            <w:tcW w:w="1134" w:type="dxa"/>
            <w:tcBorders>
              <w:top w:val="nil"/>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39805BD8"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3.221.458</w:t>
            </w:r>
          </w:p>
        </w:tc>
        <w:tc>
          <w:tcPr>
            <w:tcW w:w="1030" w:type="dxa"/>
            <w:tcBorders>
              <w:top w:val="nil"/>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0C504118" w14:textId="272E47B1"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3.827.21</w:t>
            </w:r>
            <w:r w:rsidR="004A78A7" w:rsidRPr="005045BF">
              <w:rPr>
                <w:rFonts w:ascii="Arial" w:hAnsi="Arial" w:cs="Arial"/>
                <w:color w:val="0F243E"/>
                <w:sz w:val="20"/>
                <w:szCs w:val="20"/>
              </w:rPr>
              <w:t>1</w:t>
            </w:r>
          </w:p>
        </w:tc>
        <w:tc>
          <w:tcPr>
            <w:tcW w:w="1238" w:type="dxa"/>
            <w:tcBorders>
              <w:top w:val="nil"/>
              <w:left w:val="single" w:sz="4" w:space="0" w:color="4F81BD" w:themeColor="accent1"/>
              <w:bottom w:val="single" w:sz="4" w:space="0" w:color="4F81BD" w:themeColor="accent1"/>
              <w:right w:val="double" w:sz="4" w:space="0" w:color="4F81BD" w:themeColor="accent1"/>
            </w:tcBorders>
            <w:shd w:val="clear" w:color="auto" w:fill="auto"/>
            <w:noWrap/>
            <w:vAlign w:val="center"/>
            <w:hideMark/>
          </w:tcPr>
          <w:p w14:paraId="7DDDDE1A"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2.081.679</w:t>
            </w:r>
          </w:p>
        </w:tc>
        <w:tc>
          <w:tcPr>
            <w:tcW w:w="3413" w:type="dxa"/>
            <w:tcBorders>
              <w:top w:val="nil"/>
              <w:left w:val="double" w:sz="4" w:space="0" w:color="4F81BD" w:themeColor="accent1"/>
              <w:bottom w:val="nil"/>
              <w:right w:val="nil"/>
            </w:tcBorders>
            <w:shd w:val="clear" w:color="auto" w:fill="auto"/>
            <w:noWrap/>
            <w:vAlign w:val="bottom"/>
            <w:hideMark/>
          </w:tcPr>
          <w:p w14:paraId="439E87FA" w14:textId="77777777" w:rsidR="00076779" w:rsidRPr="005045BF" w:rsidRDefault="00076779" w:rsidP="007C1419">
            <w:pPr>
              <w:spacing w:before="60" w:after="60"/>
              <w:jc w:val="right"/>
              <w:rPr>
                <w:rFonts w:ascii="Arial" w:hAnsi="Arial" w:cs="Arial"/>
                <w:color w:val="0F243E"/>
                <w:sz w:val="20"/>
                <w:szCs w:val="20"/>
              </w:rPr>
            </w:pPr>
          </w:p>
        </w:tc>
        <w:tc>
          <w:tcPr>
            <w:tcW w:w="1368" w:type="dxa"/>
            <w:tcBorders>
              <w:top w:val="nil"/>
              <w:left w:val="nil"/>
              <w:bottom w:val="nil"/>
              <w:right w:val="nil"/>
            </w:tcBorders>
            <w:shd w:val="clear" w:color="auto" w:fill="auto"/>
            <w:noWrap/>
            <w:vAlign w:val="bottom"/>
            <w:hideMark/>
          </w:tcPr>
          <w:p w14:paraId="33D35777"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4DCF3B4F"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22231FB1" w14:textId="77777777" w:rsidR="00076779" w:rsidRPr="005045BF" w:rsidRDefault="00076779" w:rsidP="007C1419">
            <w:pPr>
              <w:spacing w:before="60" w:after="60"/>
              <w:rPr>
                <w:sz w:val="20"/>
                <w:szCs w:val="20"/>
              </w:rPr>
            </w:pPr>
          </w:p>
        </w:tc>
      </w:tr>
      <w:tr w:rsidR="00076779" w:rsidRPr="005045BF" w14:paraId="2AB82D5C" w14:textId="77777777" w:rsidTr="00076779">
        <w:trPr>
          <w:trHeight w:val="315"/>
        </w:trPr>
        <w:tc>
          <w:tcPr>
            <w:tcW w:w="1403" w:type="dxa"/>
            <w:tcBorders>
              <w:top w:val="single" w:sz="4" w:space="0" w:color="4F81BD" w:themeColor="accent1"/>
              <w:left w:val="double" w:sz="4" w:space="0" w:color="4F81BD" w:themeColor="accent1"/>
              <w:bottom w:val="single" w:sz="12" w:space="0" w:color="4F81BD" w:themeColor="accent1"/>
              <w:right w:val="single" w:sz="4" w:space="0" w:color="4F81BD" w:themeColor="accent1"/>
            </w:tcBorders>
            <w:shd w:val="clear" w:color="auto" w:fill="auto"/>
            <w:noWrap/>
            <w:vAlign w:val="center"/>
            <w:hideMark/>
          </w:tcPr>
          <w:p w14:paraId="28340602" w14:textId="77777777" w:rsidR="00076779" w:rsidRPr="005045BF" w:rsidRDefault="00076779" w:rsidP="007C1419">
            <w:pPr>
              <w:spacing w:before="100" w:after="100"/>
              <w:jc w:val="center"/>
              <w:rPr>
                <w:rFonts w:ascii="Arial" w:hAnsi="Arial" w:cs="Arial"/>
                <w:color w:val="0F243E"/>
                <w:sz w:val="20"/>
                <w:szCs w:val="20"/>
              </w:rPr>
            </w:pPr>
            <w:r w:rsidRPr="005045BF">
              <w:rPr>
                <w:rFonts w:ascii="Arial" w:hAnsi="Arial" w:cs="Arial"/>
                <w:color w:val="0F243E"/>
                <w:sz w:val="20"/>
                <w:szCs w:val="20"/>
              </w:rPr>
              <w:t>2019</w:t>
            </w:r>
          </w:p>
        </w:tc>
        <w:tc>
          <w:tcPr>
            <w:tcW w:w="1134" w:type="dxa"/>
            <w:tcBorders>
              <w:top w:val="single" w:sz="4" w:space="0" w:color="4F81BD" w:themeColor="accent1"/>
              <w:left w:val="single" w:sz="4" w:space="0" w:color="4F81BD" w:themeColor="accent1"/>
              <w:bottom w:val="single" w:sz="12" w:space="0" w:color="4F81BD" w:themeColor="accent1"/>
              <w:right w:val="single" w:sz="4" w:space="0" w:color="4F81BD" w:themeColor="accent1"/>
            </w:tcBorders>
            <w:shd w:val="clear" w:color="auto" w:fill="auto"/>
            <w:noWrap/>
            <w:vAlign w:val="center"/>
            <w:hideMark/>
          </w:tcPr>
          <w:p w14:paraId="6ED749B3" w14:textId="515EE5C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2.729.6</w:t>
            </w:r>
            <w:r w:rsidR="004A78A7" w:rsidRPr="005045BF">
              <w:rPr>
                <w:rFonts w:ascii="Arial" w:hAnsi="Arial" w:cs="Arial"/>
                <w:color w:val="0F243E"/>
                <w:sz w:val="20"/>
                <w:szCs w:val="20"/>
              </w:rPr>
              <w:t>49</w:t>
            </w:r>
          </w:p>
        </w:tc>
        <w:tc>
          <w:tcPr>
            <w:tcW w:w="1030" w:type="dxa"/>
            <w:tcBorders>
              <w:top w:val="single" w:sz="4" w:space="0" w:color="4F81BD" w:themeColor="accent1"/>
              <w:left w:val="single" w:sz="4" w:space="0" w:color="4F81BD" w:themeColor="accent1"/>
              <w:bottom w:val="single" w:sz="12" w:space="0" w:color="4F81BD" w:themeColor="accent1"/>
              <w:right w:val="single" w:sz="4" w:space="0" w:color="4F81BD" w:themeColor="accent1"/>
            </w:tcBorders>
            <w:shd w:val="clear" w:color="auto" w:fill="auto"/>
            <w:noWrap/>
            <w:vAlign w:val="center"/>
            <w:hideMark/>
          </w:tcPr>
          <w:p w14:paraId="54334319"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2.346.604</w:t>
            </w:r>
          </w:p>
        </w:tc>
        <w:tc>
          <w:tcPr>
            <w:tcW w:w="1238" w:type="dxa"/>
            <w:tcBorders>
              <w:top w:val="single" w:sz="4" w:space="0" w:color="4F81BD" w:themeColor="accent1"/>
              <w:left w:val="single" w:sz="4" w:space="0" w:color="4F81BD" w:themeColor="accent1"/>
              <w:bottom w:val="single" w:sz="12" w:space="0" w:color="4F81BD" w:themeColor="accent1"/>
              <w:right w:val="double" w:sz="4" w:space="0" w:color="4F81BD" w:themeColor="accent1"/>
            </w:tcBorders>
            <w:shd w:val="clear" w:color="auto" w:fill="auto"/>
            <w:noWrap/>
            <w:vAlign w:val="center"/>
            <w:hideMark/>
          </w:tcPr>
          <w:p w14:paraId="4DA205A6" w14:textId="77777777" w:rsidR="00076779" w:rsidRPr="005045BF" w:rsidRDefault="00076779" w:rsidP="007C1419">
            <w:pPr>
              <w:spacing w:before="100" w:after="100"/>
              <w:jc w:val="right"/>
              <w:rPr>
                <w:rFonts w:ascii="Arial" w:hAnsi="Arial" w:cs="Arial"/>
                <w:color w:val="0F243E"/>
                <w:sz w:val="20"/>
                <w:szCs w:val="20"/>
              </w:rPr>
            </w:pPr>
            <w:r w:rsidRPr="005045BF">
              <w:rPr>
                <w:rFonts w:ascii="Arial" w:hAnsi="Arial" w:cs="Arial"/>
                <w:color w:val="0F243E"/>
                <w:sz w:val="20"/>
                <w:szCs w:val="20"/>
              </w:rPr>
              <w:t>4.181.856</w:t>
            </w:r>
          </w:p>
        </w:tc>
        <w:tc>
          <w:tcPr>
            <w:tcW w:w="3413" w:type="dxa"/>
            <w:tcBorders>
              <w:top w:val="nil"/>
              <w:left w:val="double" w:sz="4" w:space="0" w:color="4F81BD" w:themeColor="accent1"/>
              <w:bottom w:val="nil"/>
              <w:right w:val="nil"/>
            </w:tcBorders>
            <w:shd w:val="clear" w:color="auto" w:fill="auto"/>
            <w:noWrap/>
            <w:vAlign w:val="bottom"/>
            <w:hideMark/>
          </w:tcPr>
          <w:p w14:paraId="5BBF9CE6" w14:textId="77777777" w:rsidR="00076779" w:rsidRPr="005045BF" w:rsidRDefault="00076779" w:rsidP="007C1419">
            <w:pPr>
              <w:spacing w:before="60" w:after="60"/>
              <w:jc w:val="right"/>
              <w:rPr>
                <w:rFonts w:ascii="Arial" w:hAnsi="Arial" w:cs="Arial"/>
                <w:color w:val="0F243E"/>
                <w:sz w:val="20"/>
                <w:szCs w:val="20"/>
              </w:rPr>
            </w:pPr>
          </w:p>
        </w:tc>
        <w:tc>
          <w:tcPr>
            <w:tcW w:w="1368" w:type="dxa"/>
            <w:tcBorders>
              <w:top w:val="nil"/>
              <w:left w:val="nil"/>
              <w:bottom w:val="nil"/>
              <w:right w:val="nil"/>
            </w:tcBorders>
            <w:shd w:val="clear" w:color="auto" w:fill="auto"/>
            <w:noWrap/>
            <w:vAlign w:val="bottom"/>
            <w:hideMark/>
          </w:tcPr>
          <w:p w14:paraId="60F31D76"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69BE2602"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3EC51B61" w14:textId="77777777" w:rsidR="00076779" w:rsidRPr="005045BF" w:rsidRDefault="00076779" w:rsidP="007C1419">
            <w:pPr>
              <w:spacing w:before="60" w:after="60"/>
              <w:rPr>
                <w:sz w:val="20"/>
                <w:szCs w:val="20"/>
              </w:rPr>
            </w:pPr>
          </w:p>
        </w:tc>
      </w:tr>
      <w:tr w:rsidR="00076779" w:rsidRPr="005045BF" w14:paraId="03BFF114" w14:textId="77777777" w:rsidTr="00076779">
        <w:trPr>
          <w:trHeight w:val="330"/>
        </w:trPr>
        <w:tc>
          <w:tcPr>
            <w:tcW w:w="1403" w:type="dxa"/>
            <w:tcBorders>
              <w:top w:val="single" w:sz="12" w:space="0" w:color="4F81BD" w:themeColor="accent1"/>
              <w:left w:val="double" w:sz="4" w:space="0" w:color="4F81BD" w:themeColor="accent1"/>
              <w:bottom w:val="single" w:sz="4" w:space="0" w:color="4F81BD" w:themeColor="accent1"/>
              <w:right w:val="single" w:sz="4" w:space="0" w:color="4F81BD" w:themeColor="accent1"/>
            </w:tcBorders>
            <w:shd w:val="clear" w:color="auto" w:fill="auto"/>
            <w:noWrap/>
            <w:vAlign w:val="center"/>
            <w:hideMark/>
          </w:tcPr>
          <w:p w14:paraId="76B0E315" w14:textId="7A92D915"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134" w:type="dxa"/>
            <w:tcBorders>
              <w:top w:val="single" w:sz="12"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7B049376" w14:textId="77777777" w:rsidR="00076779" w:rsidRPr="005045BF" w:rsidRDefault="00076779"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491.809</w:t>
            </w:r>
          </w:p>
        </w:tc>
        <w:tc>
          <w:tcPr>
            <w:tcW w:w="1030" w:type="dxa"/>
            <w:tcBorders>
              <w:top w:val="single" w:sz="12" w:space="0" w:color="4F81BD" w:themeColor="accent1"/>
              <w:left w:val="single" w:sz="4" w:space="0" w:color="4F81BD" w:themeColor="accent1"/>
              <w:bottom w:val="single" w:sz="4" w:space="0" w:color="4F81BD" w:themeColor="accent1"/>
              <w:right w:val="single" w:sz="4" w:space="0" w:color="4F81BD" w:themeColor="accent1"/>
            </w:tcBorders>
            <w:shd w:val="clear" w:color="auto" w:fill="auto"/>
            <w:noWrap/>
            <w:vAlign w:val="center"/>
            <w:hideMark/>
          </w:tcPr>
          <w:p w14:paraId="799A195D" w14:textId="365E2164" w:rsidR="00076779" w:rsidRPr="005045BF" w:rsidRDefault="00076779"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1.480.60</w:t>
            </w:r>
            <w:r w:rsidR="004A78A7" w:rsidRPr="005045BF">
              <w:rPr>
                <w:rFonts w:ascii="Arial" w:hAnsi="Arial" w:cs="Arial"/>
                <w:b/>
                <w:bCs/>
                <w:color w:val="0F243E"/>
                <w:sz w:val="20"/>
                <w:szCs w:val="20"/>
              </w:rPr>
              <w:t>7</w:t>
            </w:r>
          </w:p>
        </w:tc>
        <w:tc>
          <w:tcPr>
            <w:tcW w:w="1238" w:type="dxa"/>
            <w:tcBorders>
              <w:top w:val="single" w:sz="12" w:space="0" w:color="4F81BD" w:themeColor="accent1"/>
              <w:left w:val="single" w:sz="4" w:space="0" w:color="4F81BD" w:themeColor="accent1"/>
              <w:bottom w:val="single" w:sz="4" w:space="0" w:color="4F81BD" w:themeColor="accent1"/>
              <w:right w:val="double" w:sz="4" w:space="0" w:color="4F81BD" w:themeColor="accent1"/>
            </w:tcBorders>
            <w:shd w:val="clear" w:color="auto" w:fill="auto"/>
            <w:noWrap/>
            <w:vAlign w:val="center"/>
            <w:hideMark/>
          </w:tcPr>
          <w:p w14:paraId="27CBFC99" w14:textId="678DCA5F" w:rsidR="00076779" w:rsidRPr="005045BF" w:rsidRDefault="006163C2" w:rsidP="007C1419">
            <w:pPr>
              <w:spacing w:before="100" w:after="100"/>
              <w:jc w:val="right"/>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2.100.177</w:t>
            </w:r>
            <w:r w:rsidRPr="005045BF">
              <w:rPr>
                <w:rFonts w:ascii="Arial" w:hAnsi="Arial" w:cs="Arial"/>
                <w:b/>
                <w:bCs/>
                <w:color w:val="0F243E"/>
                <w:sz w:val="20"/>
                <w:szCs w:val="20"/>
              </w:rPr>
              <w:t>)</w:t>
            </w:r>
          </w:p>
        </w:tc>
        <w:tc>
          <w:tcPr>
            <w:tcW w:w="3413" w:type="dxa"/>
            <w:tcBorders>
              <w:top w:val="nil"/>
              <w:left w:val="double" w:sz="4" w:space="0" w:color="4F81BD" w:themeColor="accent1"/>
              <w:bottom w:val="nil"/>
              <w:right w:val="nil"/>
            </w:tcBorders>
            <w:shd w:val="clear" w:color="auto" w:fill="auto"/>
            <w:noWrap/>
            <w:vAlign w:val="bottom"/>
            <w:hideMark/>
          </w:tcPr>
          <w:p w14:paraId="57A63E24" w14:textId="77777777" w:rsidR="00076779" w:rsidRPr="005045BF" w:rsidRDefault="00076779" w:rsidP="007C1419">
            <w:pPr>
              <w:spacing w:before="60" w:after="60"/>
              <w:jc w:val="right"/>
              <w:rPr>
                <w:rFonts w:ascii="Arial" w:hAnsi="Arial" w:cs="Arial"/>
                <w:b/>
                <w:bCs/>
                <w:color w:val="0F243E"/>
                <w:sz w:val="20"/>
                <w:szCs w:val="20"/>
              </w:rPr>
            </w:pPr>
          </w:p>
        </w:tc>
        <w:tc>
          <w:tcPr>
            <w:tcW w:w="1368" w:type="dxa"/>
            <w:tcBorders>
              <w:top w:val="nil"/>
              <w:left w:val="nil"/>
              <w:bottom w:val="nil"/>
              <w:right w:val="nil"/>
            </w:tcBorders>
            <w:shd w:val="clear" w:color="auto" w:fill="auto"/>
            <w:noWrap/>
            <w:vAlign w:val="bottom"/>
            <w:hideMark/>
          </w:tcPr>
          <w:p w14:paraId="1FAACCA3"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76794FB8"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26F44320" w14:textId="77777777" w:rsidR="00076779" w:rsidRPr="005045BF" w:rsidRDefault="00076779" w:rsidP="007C1419">
            <w:pPr>
              <w:spacing w:before="60" w:after="60"/>
              <w:rPr>
                <w:sz w:val="20"/>
                <w:szCs w:val="20"/>
              </w:rPr>
            </w:pPr>
          </w:p>
        </w:tc>
      </w:tr>
      <w:tr w:rsidR="00076779" w:rsidRPr="005045BF" w14:paraId="6605AA9E" w14:textId="77777777" w:rsidTr="00076779">
        <w:trPr>
          <w:trHeight w:val="300"/>
        </w:trPr>
        <w:tc>
          <w:tcPr>
            <w:tcW w:w="1403" w:type="dxa"/>
            <w:tcBorders>
              <w:top w:val="single" w:sz="4" w:space="0" w:color="4F81BD" w:themeColor="accent1"/>
              <w:left w:val="double" w:sz="4" w:space="0" w:color="4F81BD" w:themeColor="accent1"/>
              <w:bottom w:val="double" w:sz="4" w:space="0" w:color="4F81BD" w:themeColor="accent1"/>
              <w:right w:val="single" w:sz="4" w:space="0" w:color="4F81BD" w:themeColor="accent1"/>
            </w:tcBorders>
            <w:shd w:val="clear" w:color="auto" w:fill="auto"/>
            <w:noWrap/>
            <w:vAlign w:val="center"/>
            <w:hideMark/>
          </w:tcPr>
          <w:p w14:paraId="7590468F" w14:textId="77777777"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134"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shd w:val="clear" w:color="auto" w:fill="auto"/>
            <w:noWrap/>
            <w:vAlign w:val="center"/>
            <w:hideMark/>
          </w:tcPr>
          <w:p w14:paraId="3AEFC1ED" w14:textId="77777777"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18%</w:t>
            </w:r>
          </w:p>
        </w:tc>
        <w:tc>
          <w:tcPr>
            <w:tcW w:w="1030"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shd w:val="clear" w:color="auto" w:fill="auto"/>
            <w:noWrap/>
            <w:vAlign w:val="center"/>
            <w:hideMark/>
          </w:tcPr>
          <w:p w14:paraId="1AEF832E" w14:textId="77777777" w:rsidR="00076779" w:rsidRPr="005045BF" w:rsidRDefault="00076779"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63%</w:t>
            </w:r>
          </w:p>
        </w:tc>
        <w:tc>
          <w:tcPr>
            <w:tcW w:w="1238" w:type="dxa"/>
            <w:tcBorders>
              <w:top w:val="single" w:sz="4" w:space="0" w:color="4F81BD" w:themeColor="accent1"/>
              <w:left w:val="single" w:sz="4" w:space="0" w:color="4F81BD" w:themeColor="accent1"/>
              <w:bottom w:val="double" w:sz="4" w:space="0" w:color="4F81BD" w:themeColor="accent1"/>
              <w:right w:val="double" w:sz="4" w:space="0" w:color="4F81BD" w:themeColor="accent1"/>
            </w:tcBorders>
            <w:shd w:val="clear" w:color="auto" w:fill="auto"/>
            <w:noWrap/>
            <w:vAlign w:val="center"/>
            <w:hideMark/>
          </w:tcPr>
          <w:p w14:paraId="71884CA1" w14:textId="3E88E3EB" w:rsidR="00076779" w:rsidRPr="005045BF" w:rsidRDefault="006163C2" w:rsidP="007C1419">
            <w:pPr>
              <w:spacing w:before="100" w:after="100"/>
              <w:jc w:val="center"/>
              <w:rPr>
                <w:rFonts w:ascii="Arial" w:hAnsi="Arial" w:cs="Arial"/>
                <w:b/>
                <w:bCs/>
                <w:color w:val="0F243E"/>
                <w:sz w:val="20"/>
                <w:szCs w:val="20"/>
              </w:rPr>
            </w:pPr>
            <w:r w:rsidRPr="005045BF">
              <w:rPr>
                <w:rFonts w:ascii="Arial" w:hAnsi="Arial" w:cs="Arial"/>
                <w:b/>
                <w:bCs/>
                <w:color w:val="0F243E"/>
                <w:sz w:val="20"/>
                <w:szCs w:val="20"/>
              </w:rPr>
              <w:t>(</w:t>
            </w:r>
            <w:r w:rsidR="00076779" w:rsidRPr="005045BF">
              <w:rPr>
                <w:rFonts w:ascii="Arial" w:hAnsi="Arial" w:cs="Arial"/>
                <w:b/>
                <w:bCs/>
                <w:color w:val="0F243E"/>
                <w:sz w:val="20"/>
                <w:szCs w:val="20"/>
              </w:rPr>
              <w:t>50%</w:t>
            </w:r>
            <w:r w:rsidRPr="005045BF">
              <w:rPr>
                <w:rFonts w:ascii="Arial" w:hAnsi="Arial" w:cs="Arial"/>
                <w:b/>
                <w:bCs/>
                <w:color w:val="0F243E"/>
                <w:sz w:val="20"/>
                <w:szCs w:val="20"/>
              </w:rPr>
              <w:t>)</w:t>
            </w:r>
          </w:p>
        </w:tc>
        <w:tc>
          <w:tcPr>
            <w:tcW w:w="3413" w:type="dxa"/>
            <w:tcBorders>
              <w:top w:val="nil"/>
              <w:left w:val="double" w:sz="4" w:space="0" w:color="4F81BD" w:themeColor="accent1"/>
              <w:bottom w:val="nil"/>
              <w:right w:val="nil"/>
            </w:tcBorders>
            <w:shd w:val="clear" w:color="auto" w:fill="auto"/>
            <w:noWrap/>
            <w:vAlign w:val="bottom"/>
            <w:hideMark/>
          </w:tcPr>
          <w:p w14:paraId="14F0C34A" w14:textId="77777777" w:rsidR="00076779" w:rsidRPr="005045BF" w:rsidRDefault="00076779" w:rsidP="007C1419">
            <w:pPr>
              <w:spacing w:before="60" w:after="60"/>
              <w:jc w:val="center"/>
              <w:rPr>
                <w:rFonts w:ascii="Arial" w:hAnsi="Arial" w:cs="Arial"/>
                <w:b/>
                <w:bCs/>
                <w:color w:val="0F243E"/>
                <w:sz w:val="20"/>
                <w:szCs w:val="20"/>
              </w:rPr>
            </w:pPr>
          </w:p>
        </w:tc>
        <w:tc>
          <w:tcPr>
            <w:tcW w:w="1368" w:type="dxa"/>
            <w:tcBorders>
              <w:top w:val="nil"/>
              <w:left w:val="nil"/>
              <w:bottom w:val="nil"/>
              <w:right w:val="nil"/>
            </w:tcBorders>
            <w:shd w:val="clear" w:color="auto" w:fill="auto"/>
            <w:noWrap/>
            <w:vAlign w:val="bottom"/>
            <w:hideMark/>
          </w:tcPr>
          <w:p w14:paraId="738098AA"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276DA719"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34B02EF1" w14:textId="77777777" w:rsidR="00076779" w:rsidRPr="005045BF" w:rsidRDefault="00076779" w:rsidP="007C1419">
            <w:pPr>
              <w:spacing w:before="60" w:after="60"/>
              <w:rPr>
                <w:sz w:val="20"/>
                <w:szCs w:val="20"/>
              </w:rPr>
            </w:pPr>
          </w:p>
        </w:tc>
      </w:tr>
      <w:tr w:rsidR="00076779" w:rsidRPr="005045BF" w14:paraId="64DAE0C6" w14:textId="77777777" w:rsidTr="00076779">
        <w:trPr>
          <w:trHeight w:val="300"/>
        </w:trPr>
        <w:tc>
          <w:tcPr>
            <w:tcW w:w="1403" w:type="dxa"/>
            <w:tcBorders>
              <w:top w:val="double" w:sz="4" w:space="0" w:color="4F81BD" w:themeColor="accent1"/>
              <w:left w:val="nil"/>
              <w:bottom w:val="nil"/>
              <w:right w:val="nil"/>
            </w:tcBorders>
            <w:shd w:val="clear" w:color="auto" w:fill="auto"/>
            <w:noWrap/>
            <w:vAlign w:val="bottom"/>
            <w:hideMark/>
          </w:tcPr>
          <w:p w14:paraId="026F4BCA" w14:textId="77777777" w:rsidR="00076779" w:rsidRPr="005045BF" w:rsidRDefault="00076779" w:rsidP="007C1419">
            <w:pPr>
              <w:spacing w:before="100" w:after="100"/>
              <w:rPr>
                <w:sz w:val="20"/>
                <w:szCs w:val="20"/>
              </w:rPr>
            </w:pPr>
          </w:p>
        </w:tc>
        <w:tc>
          <w:tcPr>
            <w:tcW w:w="1134" w:type="dxa"/>
            <w:tcBorders>
              <w:top w:val="double" w:sz="4" w:space="0" w:color="4F81BD" w:themeColor="accent1"/>
              <w:left w:val="nil"/>
              <w:bottom w:val="nil"/>
              <w:right w:val="nil"/>
            </w:tcBorders>
            <w:shd w:val="clear" w:color="auto" w:fill="auto"/>
            <w:noWrap/>
            <w:vAlign w:val="bottom"/>
            <w:hideMark/>
          </w:tcPr>
          <w:p w14:paraId="02BB3670" w14:textId="77777777" w:rsidR="00076779" w:rsidRPr="005045BF" w:rsidRDefault="00076779" w:rsidP="007C1419">
            <w:pPr>
              <w:spacing w:before="100" w:after="100"/>
              <w:rPr>
                <w:sz w:val="20"/>
                <w:szCs w:val="20"/>
              </w:rPr>
            </w:pPr>
          </w:p>
        </w:tc>
        <w:tc>
          <w:tcPr>
            <w:tcW w:w="1030" w:type="dxa"/>
            <w:tcBorders>
              <w:top w:val="double" w:sz="4" w:space="0" w:color="4F81BD" w:themeColor="accent1"/>
              <w:left w:val="nil"/>
              <w:bottom w:val="nil"/>
              <w:right w:val="nil"/>
            </w:tcBorders>
            <w:shd w:val="clear" w:color="auto" w:fill="auto"/>
            <w:noWrap/>
            <w:vAlign w:val="bottom"/>
            <w:hideMark/>
          </w:tcPr>
          <w:p w14:paraId="6324270D" w14:textId="77777777" w:rsidR="00076779" w:rsidRPr="005045BF" w:rsidRDefault="00076779" w:rsidP="007C1419">
            <w:pPr>
              <w:spacing w:before="100" w:after="100"/>
              <w:rPr>
                <w:sz w:val="20"/>
                <w:szCs w:val="20"/>
              </w:rPr>
            </w:pPr>
          </w:p>
        </w:tc>
        <w:tc>
          <w:tcPr>
            <w:tcW w:w="1238" w:type="dxa"/>
            <w:tcBorders>
              <w:top w:val="double" w:sz="4" w:space="0" w:color="4F81BD" w:themeColor="accent1"/>
              <w:left w:val="nil"/>
              <w:bottom w:val="nil"/>
              <w:right w:val="nil"/>
            </w:tcBorders>
            <w:shd w:val="clear" w:color="auto" w:fill="auto"/>
            <w:noWrap/>
            <w:vAlign w:val="bottom"/>
            <w:hideMark/>
          </w:tcPr>
          <w:p w14:paraId="7CFB0FAE" w14:textId="77777777" w:rsidR="00076779" w:rsidRPr="005045BF" w:rsidRDefault="00076779" w:rsidP="007C1419">
            <w:pPr>
              <w:spacing w:before="100" w:after="100"/>
              <w:rPr>
                <w:sz w:val="20"/>
                <w:szCs w:val="20"/>
              </w:rPr>
            </w:pPr>
          </w:p>
        </w:tc>
        <w:tc>
          <w:tcPr>
            <w:tcW w:w="3413" w:type="dxa"/>
            <w:tcBorders>
              <w:top w:val="nil"/>
              <w:left w:val="nil"/>
              <w:bottom w:val="nil"/>
              <w:right w:val="nil"/>
            </w:tcBorders>
            <w:shd w:val="clear" w:color="auto" w:fill="auto"/>
            <w:noWrap/>
            <w:vAlign w:val="bottom"/>
            <w:hideMark/>
          </w:tcPr>
          <w:p w14:paraId="46958956" w14:textId="77777777" w:rsidR="00076779" w:rsidRPr="005045BF" w:rsidRDefault="00076779" w:rsidP="007C1419">
            <w:pPr>
              <w:spacing w:before="60" w:after="60"/>
              <w:rPr>
                <w:sz w:val="20"/>
                <w:szCs w:val="20"/>
              </w:rPr>
            </w:pPr>
          </w:p>
        </w:tc>
        <w:tc>
          <w:tcPr>
            <w:tcW w:w="1368" w:type="dxa"/>
            <w:tcBorders>
              <w:top w:val="nil"/>
              <w:left w:val="nil"/>
              <w:bottom w:val="nil"/>
              <w:right w:val="nil"/>
            </w:tcBorders>
            <w:shd w:val="clear" w:color="auto" w:fill="auto"/>
            <w:noWrap/>
            <w:vAlign w:val="bottom"/>
            <w:hideMark/>
          </w:tcPr>
          <w:p w14:paraId="71C27D48" w14:textId="77777777" w:rsidR="00076779" w:rsidRPr="005045BF" w:rsidRDefault="00076779" w:rsidP="007C1419">
            <w:pPr>
              <w:spacing w:before="60" w:after="60"/>
              <w:rPr>
                <w:sz w:val="20"/>
                <w:szCs w:val="20"/>
              </w:rPr>
            </w:pPr>
          </w:p>
        </w:tc>
        <w:tc>
          <w:tcPr>
            <w:tcW w:w="1468" w:type="dxa"/>
            <w:tcBorders>
              <w:top w:val="nil"/>
              <w:left w:val="nil"/>
              <w:bottom w:val="nil"/>
              <w:right w:val="nil"/>
            </w:tcBorders>
            <w:shd w:val="clear" w:color="auto" w:fill="auto"/>
            <w:noWrap/>
            <w:vAlign w:val="bottom"/>
            <w:hideMark/>
          </w:tcPr>
          <w:p w14:paraId="4D4D3994" w14:textId="77777777" w:rsidR="00076779" w:rsidRPr="005045BF" w:rsidRDefault="00076779" w:rsidP="007C1419">
            <w:pPr>
              <w:spacing w:before="60" w:after="60"/>
              <w:rPr>
                <w:sz w:val="20"/>
                <w:szCs w:val="20"/>
              </w:rPr>
            </w:pPr>
          </w:p>
        </w:tc>
        <w:tc>
          <w:tcPr>
            <w:tcW w:w="1908" w:type="dxa"/>
            <w:tcBorders>
              <w:top w:val="nil"/>
              <w:left w:val="nil"/>
              <w:bottom w:val="nil"/>
              <w:right w:val="nil"/>
            </w:tcBorders>
            <w:shd w:val="clear" w:color="auto" w:fill="auto"/>
            <w:noWrap/>
            <w:vAlign w:val="bottom"/>
            <w:hideMark/>
          </w:tcPr>
          <w:p w14:paraId="26A6B783" w14:textId="77777777" w:rsidR="00076779" w:rsidRPr="005045BF" w:rsidRDefault="00076779" w:rsidP="007C1419">
            <w:pPr>
              <w:spacing w:before="60" w:after="60"/>
              <w:rPr>
                <w:sz w:val="20"/>
                <w:szCs w:val="20"/>
              </w:rPr>
            </w:pPr>
          </w:p>
        </w:tc>
      </w:tr>
    </w:tbl>
    <w:p w14:paraId="0CB1AE8A" w14:textId="7D4E609A" w:rsidR="003C609B" w:rsidRPr="005045BF" w:rsidRDefault="00806537" w:rsidP="00B72D96">
      <w:pPr>
        <w:jc w:val="both"/>
        <w:rPr>
          <w:rFonts w:ascii="Arial" w:hAnsi="Arial" w:cs="Arial"/>
          <w:sz w:val="22"/>
          <w:szCs w:val="22"/>
        </w:rPr>
      </w:pPr>
      <w:r w:rsidRPr="005045BF">
        <w:rPr>
          <w:rFonts w:ascii="Arial" w:hAnsi="Arial" w:cs="Arial"/>
          <w:sz w:val="22"/>
          <w:szCs w:val="22"/>
        </w:rPr>
        <w:t>Con respecto a</w:t>
      </w:r>
      <w:r w:rsidR="00BB72E3" w:rsidRPr="005045BF">
        <w:rPr>
          <w:rFonts w:ascii="Arial" w:hAnsi="Arial" w:cs="Arial"/>
          <w:sz w:val="22"/>
          <w:szCs w:val="22"/>
        </w:rPr>
        <w:t xml:space="preserve">l consumo en galones de combustible </w:t>
      </w:r>
      <w:r w:rsidR="00D01B51" w:rsidRPr="005045BF">
        <w:rPr>
          <w:rFonts w:ascii="Arial" w:hAnsi="Arial" w:cs="Arial"/>
          <w:sz w:val="22"/>
          <w:szCs w:val="22"/>
        </w:rPr>
        <w:t>[gasolina</w:t>
      </w:r>
      <w:r w:rsidR="00F543C4" w:rsidRPr="005045BF">
        <w:rPr>
          <w:rFonts w:ascii="Arial" w:hAnsi="Arial" w:cs="Arial"/>
          <w:sz w:val="22"/>
          <w:szCs w:val="22"/>
        </w:rPr>
        <w:t xml:space="preserve"> corriente y ACPM], </w:t>
      </w:r>
      <w:r w:rsidR="00BB72E3" w:rsidRPr="005045BF">
        <w:rPr>
          <w:rFonts w:ascii="Arial" w:hAnsi="Arial" w:cs="Arial"/>
          <w:sz w:val="22"/>
          <w:szCs w:val="22"/>
        </w:rPr>
        <w:t xml:space="preserve">durante el trimestre objeto de verificación, </w:t>
      </w:r>
      <w:r w:rsidR="00B72D96" w:rsidRPr="005045BF">
        <w:rPr>
          <w:rFonts w:ascii="Arial" w:hAnsi="Arial" w:cs="Arial"/>
          <w:sz w:val="22"/>
          <w:szCs w:val="22"/>
        </w:rPr>
        <w:t>se evidenció</w:t>
      </w:r>
      <w:r w:rsidR="00BC41B6" w:rsidRPr="005045BF">
        <w:rPr>
          <w:rFonts w:ascii="Arial" w:hAnsi="Arial" w:cs="Arial"/>
          <w:sz w:val="22"/>
          <w:szCs w:val="22"/>
        </w:rPr>
        <w:t xml:space="preserve"> que </w:t>
      </w:r>
      <w:r w:rsidR="007345CC" w:rsidRPr="005045BF">
        <w:rPr>
          <w:rFonts w:ascii="Arial" w:hAnsi="Arial" w:cs="Arial"/>
          <w:sz w:val="22"/>
          <w:szCs w:val="22"/>
        </w:rPr>
        <w:t>para los dos conceptos analizados</w:t>
      </w:r>
      <w:r w:rsidR="00BC41B6" w:rsidRPr="005045BF">
        <w:rPr>
          <w:rFonts w:ascii="Arial" w:hAnsi="Arial" w:cs="Arial"/>
          <w:sz w:val="22"/>
          <w:szCs w:val="22"/>
        </w:rPr>
        <w:t xml:space="preserve"> se presentaron</w:t>
      </w:r>
      <w:r w:rsidR="007345CC" w:rsidRPr="005045BF">
        <w:rPr>
          <w:rFonts w:ascii="Arial" w:hAnsi="Arial" w:cs="Arial"/>
          <w:sz w:val="22"/>
          <w:szCs w:val="22"/>
        </w:rPr>
        <w:t xml:space="preserve"> variaciones negativas </w:t>
      </w:r>
      <w:r w:rsidR="00BC41B6" w:rsidRPr="005045BF">
        <w:rPr>
          <w:rFonts w:ascii="Arial" w:hAnsi="Arial" w:cs="Arial"/>
          <w:sz w:val="22"/>
          <w:szCs w:val="22"/>
        </w:rPr>
        <w:t xml:space="preserve">correspondientes </w:t>
      </w:r>
      <w:r w:rsidR="007345CC" w:rsidRPr="005045BF">
        <w:rPr>
          <w:rFonts w:ascii="Arial" w:hAnsi="Arial" w:cs="Arial"/>
          <w:sz w:val="22"/>
          <w:szCs w:val="22"/>
        </w:rPr>
        <w:t xml:space="preserve">a una </w:t>
      </w:r>
      <w:r w:rsidR="00DF5395" w:rsidRPr="005045BF">
        <w:rPr>
          <w:rFonts w:ascii="Arial" w:hAnsi="Arial" w:cs="Arial"/>
          <w:sz w:val="22"/>
          <w:szCs w:val="22"/>
        </w:rPr>
        <w:t>disminución</w:t>
      </w:r>
      <w:r w:rsidR="007345CC" w:rsidRPr="005045BF">
        <w:rPr>
          <w:rFonts w:ascii="Arial" w:hAnsi="Arial" w:cs="Arial"/>
          <w:sz w:val="22"/>
          <w:szCs w:val="22"/>
        </w:rPr>
        <w:t xml:space="preserve"> del 10% en galones de gasolina y </w:t>
      </w:r>
      <w:r w:rsidR="001F5D54" w:rsidRPr="005045BF">
        <w:rPr>
          <w:rFonts w:ascii="Arial" w:hAnsi="Arial" w:cs="Arial"/>
          <w:sz w:val="22"/>
          <w:szCs w:val="22"/>
        </w:rPr>
        <w:t xml:space="preserve">una reducción del </w:t>
      </w:r>
      <w:r w:rsidR="007345CC" w:rsidRPr="005045BF">
        <w:rPr>
          <w:rFonts w:ascii="Arial" w:hAnsi="Arial" w:cs="Arial"/>
          <w:sz w:val="22"/>
          <w:szCs w:val="22"/>
        </w:rPr>
        <w:t xml:space="preserve">5% en galones de ACPM. </w:t>
      </w:r>
    </w:p>
    <w:p w14:paraId="1781AA7E" w14:textId="2867F07D" w:rsidR="004402CD" w:rsidRPr="005045BF" w:rsidRDefault="004402CD" w:rsidP="00B72D96">
      <w:pPr>
        <w:jc w:val="both"/>
        <w:rPr>
          <w:rFonts w:ascii="Arial" w:hAnsi="Arial" w:cs="Arial"/>
          <w:sz w:val="22"/>
          <w:szCs w:val="22"/>
        </w:rPr>
      </w:pPr>
    </w:p>
    <w:tbl>
      <w:tblPr>
        <w:tblW w:w="0" w:type="auto"/>
        <w:tblInd w:w="-10" w:type="dxa"/>
        <w:tblCellMar>
          <w:left w:w="70" w:type="dxa"/>
          <w:right w:w="70" w:type="dxa"/>
        </w:tblCellMar>
        <w:tblLook w:val="04A0" w:firstRow="1" w:lastRow="0" w:firstColumn="1" w:lastColumn="0" w:noHBand="0" w:noVBand="1"/>
      </w:tblPr>
      <w:tblGrid>
        <w:gridCol w:w="1463"/>
        <w:gridCol w:w="825"/>
        <w:gridCol w:w="960"/>
        <w:gridCol w:w="1123"/>
        <w:gridCol w:w="760"/>
        <w:gridCol w:w="146"/>
        <w:gridCol w:w="841"/>
        <w:gridCol w:w="947"/>
        <w:gridCol w:w="805"/>
        <w:gridCol w:w="1049"/>
        <w:gridCol w:w="710"/>
      </w:tblGrid>
      <w:tr w:rsidR="005C4215" w:rsidRPr="005045BF" w14:paraId="5B7B43BA" w14:textId="77777777" w:rsidTr="004312EC">
        <w:trPr>
          <w:cantSplit/>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2E36FECF" w14:textId="77777777" w:rsidR="00CA5F52"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lastRenderedPageBreak/>
              <w:t>Gasolina Corriente</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1A5CD021" w14:textId="77777777" w:rsidR="00443450"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t xml:space="preserve"> Consumo en Galones </w:t>
            </w:r>
          </w:p>
          <w:p w14:paraId="0EDA04BF" w14:textId="196D8A3C" w:rsidR="00CA5F52"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t>I</w:t>
            </w:r>
            <w:r w:rsidR="00443450" w:rsidRPr="005045BF">
              <w:rPr>
                <w:rFonts w:ascii="Arial" w:hAnsi="Arial" w:cs="Arial"/>
                <w:color w:val="FFFFFF"/>
                <w:sz w:val="20"/>
                <w:szCs w:val="20"/>
              </w:rPr>
              <w:t xml:space="preserve"> </w:t>
            </w:r>
            <w:r w:rsidRPr="005045BF">
              <w:rPr>
                <w:rFonts w:ascii="Arial" w:hAnsi="Arial" w:cs="Arial"/>
                <w:color w:val="FFFFFF"/>
                <w:sz w:val="20"/>
                <w:szCs w:val="20"/>
              </w:rPr>
              <w:t>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5CF4DA0B" w14:textId="77777777" w:rsidR="00CA5F52"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t xml:space="preserve">Variaciones Gasolina </w:t>
            </w:r>
          </w:p>
        </w:tc>
        <w:tc>
          <w:tcPr>
            <w:tcW w:w="0" w:type="auto"/>
            <w:tcBorders>
              <w:top w:val="nil"/>
              <w:left w:val="nil"/>
              <w:bottom w:val="nil"/>
              <w:right w:val="nil"/>
            </w:tcBorders>
            <w:shd w:val="clear" w:color="auto" w:fill="auto"/>
            <w:noWrap/>
            <w:vAlign w:val="center"/>
            <w:hideMark/>
          </w:tcPr>
          <w:p w14:paraId="385DBCDA" w14:textId="77777777" w:rsidR="00CA5F52" w:rsidRPr="005045BF" w:rsidRDefault="00CA5F52" w:rsidP="004312EC">
            <w:pPr>
              <w:spacing w:before="60" w:after="40"/>
              <w:jc w:val="center"/>
              <w:rPr>
                <w:rFonts w:ascii="Arial" w:hAnsi="Arial" w:cs="Arial"/>
                <w:color w:val="FFFFFF"/>
                <w:sz w:val="20"/>
                <w:szCs w:val="20"/>
              </w:rPr>
            </w:pPr>
          </w:p>
        </w:tc>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7F22BD66" w14:textId="23534C63" w:rsidR="00CA5F52"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t>ACPM</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3F38E387" w14:textId="77777777" w:rsidR="00443450" w:rsidRPr="005045BF" w:rsidRDefault="002156A3" w:rsidP="004312EC">
            <w:pPr>
              <w:spacing w:before="60" w:after="40"/>
              <w:jc w:val="center"/>
              <w:rPr>
                <w:rFonts w:ascii="Arial" w:hAnsi="Arial" w:cs="Arial"/>
                <w:color w:val="FFFFFF"/>
                <w:sz w:val="20"/>
                <w:szCs w:val="20"/>
              </w:rPr>
            </w:pPr>
            <w:r w:rsidRPr="005045BF">
              <w:rPr>
                <w:rFonts w:ascii="Arial" w:hAnsi="Arial" w:cs="Arial"/>
                <w:color w:val="FFFFFF"/>
                <w:sz w:val="20"/>
                <w:szCs w:val="20"/>
              </w:rPr>
              <w:t xml:space="preserve">Consumo en Galones </w:t>
            </w:r>
          </w:p>
          <w:p w14:paraId="72C8F9D2" w14:textId="785DBD6C" w:rsidR="00CA5F52" w:rsidRPr="005045BF" w:rsidRDefault="002156A3" w:rsidP="004312EC">
            <w:pPr>
              <w:spacing w:before="60" w:after="40"/>
              <w:jc w:val="center"/>
              <w:rPr>
                <w:rFonts w:ascii="Arial" w:hAnsi="Arial" w:cs="Arial"/>
                <w:color w:val="FFFFFF"/>
                <w:sz w:val="20"/>
                <w:szCs w:val="20"/>
              </w:rPr>
            </w:pPr>
            <w:r w:rsidRPr="005045BF">
              <w:rPr>
                <w:rFonts w:ascii="Arial" w:hAnsi="Arial" w:cs="Arial"/>
                <w:color w:val="FFFFFF"/>
                <w:sz w:val="20"/>
                <w:szCs w:val="20"/>
              </w:rPr>
              <w:t>I Trimestre</w:t>
            </w:r>
          </w:p>
        </w:tc>
        <w:tc>
          <w:tcPr>
            <w:tcW w:w="0" w:type="auto"/>
            <w:gridSpan w:val="2"/>
            <w:tcBorders>
              <w:top w:val="single" w:sz="8" w:space="0" w:color="B8CCE4"/>
              <w:left w:val="nil"/>
              <w:bottom w:val="single" w:sz="12" w:space="0" w:color="95B3D7"/>
              <w:right w:val="single" w:sz="8" w:space="0" w:color="4F81BD"/>
            </w:tcBorders>
            <w:shd w:val="clear" w:color="000000" w:fill="4F81BD"/>
            <w:vAlign w:val="center"/>
            <w:hideMark/>
          </w:tcPr>
          <w:p w14:paraId="2324F297" w14:textId="77777777" w:rsidR="00CA5F52" w:rsidRPr="005045BF" w:rsidRDefault="00CA5F52" w:rsidP="004312EC">
            <w:pPr>
              <w:spacing w:before="60" w:after="40"/>
              <w:jc w:val="center"/>
              <w:rPr>
                <w:rFonts w:ascii="Arial" w:hAnsi="Arial" w:cs="Arial"/>
                <w:color w:val="FFFFFF"/>
                <w:sz w:val="20"/>
                <w:szCs w:val="20"/>
              </w:rPr>
            </w:pPr>
            <w:r w:rsidRPr="005045BF">
              <w:rPr>
                <w:rFonts w:ascii="Arial" w:hAnsi="Arial" w:cs="Arial"/>
                <w:color w:val="FFFFFF"/>
                <w:sz w:val="20"/>
                <w:szCs w:val="20"/>
              </w:rPr>
              <w:t>Variaciones ACPM</w:t>
            </w:r>
          </w:p>
        </w:tc>
      </w:tr>
      <w:tr w:rsidR="005C4215" w:rsidRPr="005045BF" w14:paraId="67A52281" w14:textId="77777777" w:rsidTr="004312EC">
        <w:trPr>
          <w:cantSplit/>
        </w:trPr>
        <w:tc>
          <w:tcPr>
            <w:tcW w:w="0" w:type="auto"/>
            <w:vMerge/>
            <w:tcBorders>
              <w:top w:val="single" w:sz="8" w:space="0" w:color="B8CCE4"/>
              <w:left w:val="single" w:sz="8" w:space="0" w:color="B8CCE4"/>
              <w:bottom w:val="nil"/>
              <w:right w:val="single" w:sz="8" w:space="0" w:color="B8CCE4"/>
            </w:tcBorders>
            <w:vAlign w:val="center"/>
            <w:hideMark/>
          </w:tcPr>
          <w:p w14:paraId="22E20B3E" w14:textId="77777777" w:rsidR="00443450" w:rsidRPr="005045BF" w:rsidRDefault="00443450" w:rsidP="004312EC">
            <w:pPr>
              <w:spacing w:before="60" w:after="4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54D606BD" w14:textId="3B1AE4F3"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2020</w:t>
            </w:r>
          </w:p>
        </w:tc>
        <w:tc>
          <w:tcPr>
            <w:tcW w:w="0" w:type="auto"/>
            <w:tcBorders>
              <w:top w:val="nil"/>
              <w:left w:val="nil"/>
              <w:bottom w:val="nil"/>
              <w:right w:val="single" w:sz="8" w:space="0" w:color="B8CCE4"/>
            </w:tcBorders>
            <w:shd w:val="clear" w:color="000000" w:fill="4F81BD"/>
            <w:vAlign w:val="center"/>
            <w:hideMark/>
          </w:tcPr>
          <w:p w14:paraId="31CD69DC" w14:textId="2AD084F3"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3062F7A9" w14:textId="77777777"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5FC3E6F5" w14:textId="77777777"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w:t>
            </w:r>
          </w:p>
        </w:tc>
        <w:tc>
          <w:tcPr>
            <w:tcW w:w="0" w:type="auto"/>
            <w:tcBorders>
              <w:top w:val="nil"/>
              <w:left w:val="nil"/>
              <w:bottom w:val="nil"/>
              <w:right w:val="nil"/>
            </w:tcBorders>
            <w:shd w:val="clear" w:color="auto" w:fill="auto"/>
            <w:noWrap/>
            <w:vAlign w:val="center"/>
            <w:hideMark/>
          </w:tcPr>
          <w:p w14:paraId="798039AA" w14:textId="77777777" w:rsidR="00443450" w:rsidRPr="005045BF" w:rsidRDefault="00443450" w:rsidP="004312EC">
            <w:pPr>
              <w:spacing w:before="60" w:after="40"/>
              <w:jc w:val="center"/>
              <w:rPr>
                <w:rFonts w:ascii="Arial" w:hAnsi="Arial" w:cs="Arial"/>
                <w:b/>
                <w:bCs/>
                <w:color w:val="FFFFFF"/>
                <w:sz w:val="20"/>
                <w:szCs w:val="20"/>
              </w:rPr>
            </w:pPr>
          </w:p>
        </w:tc>
        <w:tc>
          <w:tcPr>
            <w:tcW w:w="0" w:type="auto"/>
            <w:vMerge/>
            <w:tcBorders>
              <w:top w:val="single" w:sz="8" w:space="0" w:color="B8CCE4"/>
              <w:left w:val="single" w:sz="8" w:space="0" w:color="B8CCE4"/>
              <w:bottom w:val="nil"/>
              <w:right w:val="single" w:sz="8" w:space="0" w:color="B8CCE4"/>
            </w:tcBorders>
            <w:vAlign w:val="center"/>
            <w:hideMark/>
          </w:tcPr>
          <w:p w14:paraId="473127D8" w14:textId="77777777" w:rsidR="00443450" w:rsidRPr="005045BF" w:rsidRDefault="00443450" w:rsidP="004312EC">
            <w:pPr>
              <w:spacing w:before="60" w:after="40"/>
              <w:rPr>
                <w:rFonts w:ascii="Arial" w:hAnsi="Arial" w:cs="Arial"/>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43D25153" w14:textId="4BEAF89C"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2020</w:t>
            </w:r>
          </w:p>
        </w:tc>
        <w:tc>
          <w:tcPr>
            <w:tcW w:w="0" w:type="auto"/>
            <w:tcBorders>
              <w:top w:val="nil"/>
              <w:left w:val="nil"/>
              <w:bottom w:val="nil"/>
              <w:right w:val="single" w:sz="8" w:space="0" w:color="B8CCE4"/>
            </w:tcBorders>
            <w:shd w:val="clear" w:color="000000" w:fill="4F81BD"/>
            <w:vAlign w:val="center"/>
            <w:hideMark/>
          </w:tcPr>
          <w:p w14:paraId="7686BE68" w14:textId="765A47A9"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2019</w:t>
            </w:r>
          </w:p>
        </w:tc>
        <w:tc>
          <w:tcPr>
            <w:tcW w:w="0" w:type="auto"/>
            <w:tcBorders>
              <w:top w:val="nil"/>
              <w:left w:val="nil"/>
              <w:bottom w:val="nil"/>
              <w:right w:val="single" w:sz="8" w:space="0" w:color="B8CCE4"/>
            </w:tcBorders>
            <w:shd w:val="clear" w:color="000000" w:fill="4F81BD"/>
            <w:vAlign w:val="center"/>
            <w:hideMark/>
          </w:tcPr>
          <w:p w14:paraId="2A439325" w14:textId="77777777"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Cantidad</w:t>
            </w:r>
          </w:p>
        </w:tc>
        <w:tc>
          <w:tcPr>
            <w:tcW w:w="0" w:type="auto"/>
            <w:tcBorders>
              <w:top w:val="nil"/>
              <w:left w:val="nil"/>
              <w:bottom w:val="nil"/>
              <w:right w:val="single" w:sz="8" w:space="0" w:color="4F81BD"/>
            </w:tcBorders>
            <w:shd w:val="clear" w:color="000000" w:fill="4F81BD"/>
            <w:vAlign w:val="center"/>
            <w:hideMark/>
          </w:tcPr>
          <w:p w14:paraId="7D70B38D" w14:textId="77777777" w:rsidR="00443450" w:rsidRPr="005045BF" w:rsidRDefault="00443450" w:rsidP="004312EC">
            <w:pPr>
              <w:spacing w:before="60" w:after="40"/>
              <w:jc w:val="center"/>
              <w:rPr>
                <w:rFonts w:ascii="Arial" w:hAnsi="Arial" w:cs="Arial"/>
                <w:b/>
                <w:bCs/>
                <w:color w:val="FFFFFF"/>
                <w:sz w:val="20"/>
                <w:szCs w:val="20"/>
              </w:rPr>
            </w:pPr>
            <w:r w:rsidRPr="005045BF">
              <w:rPr>
                <w:rFonts w:ascii="Arial" w:hAnsi="Arial" w:cs="Arial"/>
                <w:b/>
                <w:bCs/>
                <w:color w:val="FFFFFF"/>
                <w:sz w:val="20"/>
                <w:szCs w:val="20"/>
              </w:rPr>
              <w:t>%</w:t>
            </w:r>
          </w:p>
        </w:tc>
      </w:tr>
      <w:tr w:rsidR="005C4215" w:rsidRPr="005045BF" w14:paraId="021CD883" w14:textId="77777777" w:rsidTr="004312EC">
        <w:trPr>
          <w:cantSplit/>
        </w:trPr>
        <w:tc>
          <w:tcPr>
            <w:tcW w:w="0" w:type="auto"/>
            <w:tcBorders>
              <w:top w:val="nil"/>
              <w:left w:val="nil"/>
              <w:bottom w:val="nil"/>
              <w:right w:val="nil"/>
            </w:tcBorders>
            <w:shd w:val="clear" w:color="auto" w:fill="auto"/>
            <w:vAlign w:val="center"/>
            <w:hideMark/>
          </w:tcPr>
          <w:p w14:paraId="4529997C" w14:textId="68952016" w:rsidR="005C4215" w:rsidRPr="005045BF" w:rsidRDefault="005C4215" w:rsidP="005C4215">
            <w:pPr>
              <w:spacing w:before="6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Enero </w:t>
            </w:r>
          </w:p>
        </w:tc>
        <w:tc>
          <w:tcPr>
            <w:tcW w:w="0" w:type="auto"/>
            <w:tcBorders>
              <w:top w:val="nil"/>
              <w:left w:val="nil"/>
              <w:bottom w:val="nil"/>
              <w:right w:val="nil"/>
            </w:tcBorders>
            <w:shd w:val="clear" w:color="auto" w:fill="auto"/>
            <w:vAlign w:val="center"/>
          </w:tcPr>
          <w:p w14:paraId="67F21617" w14:textId="16535209"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720 </w:t>
            </w:r>
          </w:p>
        </w:tc>
        <w:tc>
          <w:tcPr>
            <w:tcW w:w="0" w:type="auto"/>
            <w:tcBorders>
              <w:top w:val="nil"/>
              <w:left w:val="nil"/>
              <w:bottom w:val="nil"/>
              <w:right w:val="nil"/>
            </w:tcBorders>
            <w:shd w:val="clear" w:color="auto" w:fill="auto"/>
            <w:vAlign w:val="center"/>
          </w:tcPr>
          <w:p w14:paraId="4D466DB6" w14:textId="67AD3518"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808 </w:t>
            </w:r>
          </w:p>
        </w:tc>
        <w:tc>
          <w:tcPr>
            <w:tcW w:w="0" w:type="auto"/>
            <w:tcBorders>
              <w:top w:val="nil"/>
              <w:left w:val="nil"/>
              <w:bottom w:val="nil"/>
              <w:right w:val="nil"/>
            </w:tcBorders>
            <w:shd w:val="clear" w:color="auto" w:fill="auto"/>
            <w:vAlign w:val="center"/>
          </w:tcPr>
          <w:p w14:paraId="21EBB48A" w14:textId="239169D2"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(88)</w:t>
            </w:r>
          </w:p>
        </w:tc>
        <w:tc>
          <w:tcPr>
            <w:tcW w:w="0" w:type="auto"/>
            <w:tcBorders>
              <w:top w:val="nil"/>
              <w:left w:val="nil"/>
              <w:bottom w:val="nil"/>
              <w:right w:val="single" w:sz="8" w:space="0" w:color="4F81BD"/>
            </w:tcBorders>
            <w:shd w:val="clear" w:color="auto" w:fill="auto"/>
            <w:vAlign w:val="center"/>
          </w:tcPr>
          <w:p w14:paraId="6A79C84E" w14:textId="36FF201F"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(11%)</w:t>
            </w:r>
          </w:p>
        </w:tc>
        <w:tc>
          <w:tcPr>
            <w:tcW w:w="0" w:type="auto"/>
            <w:tcBorders>
              <w:top w:val="nil"/>
              <w:left w:val="nil"/>
              <w:bottom w:val="nil"/>
              <w:right w:val="nil"/>
            </w:tcBorders>
            <w:shd w:val="clear" w:color="auto" w:fill="auto"/>
            <w:noWrap/>
            <w:vAlign w:val="center"/>
            <w:hideMark/>
          </w:tcPr>
          <w:p w14:paraId="5D063EB0" w14:textId="77777777" w:rsidR="005C4215" w:rsidRPr="005045BF" w:rsidRDefault="005C4215" w:rsidP="005C4215">
            <w:pPr>
              <w:spacing w:before="6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539FC46C" w14:textId="5A0EBFFC" w:rsidR="005C4215" w:rsidRPr="005045BF" w:rsidRDefault="005C4215" w:rsidP="005C4215">
            <w:pPr>
              <w:spacing w:before="60" w:after="40"/>
              <w:rPr>
                <w:rFonts w:ascii="Arial" w:hAnsi="Arial" w:cs="Arial"/>
                <w:color w:val="0F243E"/>
                <w:sz w:val="20"/>
                <w:szCs w:val="20"/>
              </w:rPr>
            </w:pPr>
            <w:r w:rsidRPr="005045BF">
              <w:rPr>
                <w:rFonts w:ascii="Arial" w:hAnsi="Arial" w:cs="Arial"/>
                <w:color w:val="0F243E" w:themeColor="text2" w:themeShade="80"/>
                <w:sz w:val="20"/>
                <w:szCs w:val="20"/>
              </w:rPr>
              <w:t xml:space="preserve">Enero </w:t>
            </w:r>
          </w:p>
        </w:tc>
        <w:tc>
          <w:tcPr>
            <w:tcW w:w="0" w:type="auto"/>
            <w:tcBorders>
              <w:top w:val="nil"/>
              <w:left w:val="nil"/>
              <w:bottom w:val="nil"/>
              <w:right w:val="nil"/>
            </w:tcBorders>
            <w:shd w:val="clear" w:color="auto" w:fill="auto"/>
            <w:vAlign w:val="center"/>
          </w:tcPr>
          <w:p w14:paraId="333F3EF3" w14:textId="59D5F771"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356 </w:t>
            </w:r>
          </w:p>
        </w:tc>
        <w:tc>
          <w:tcPr>
            <w:tcW w:w="0" w:type="auto"/>
            <w:tcBorders>
              <w:top w:val="nil"/>
              <w:left w:val="nil"/>
              <w:bottom w:val="nil"/>
              <w:right w:val="nil"/>
            </w:tcBorders>
            <w:shd w:val="clear" w:color="auto" w:fill="auto"/>
            <w:vAlign w:val="center"/>
          </w:tcPr>
          <w:p w14:paraId="1C5EB058" w14:textId="00828D09"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320 </w:t>
            </w:r>
          </w:p>
        </w:tc>
        <w:tc>
          <w:tcPr>
            <w:tcW w:w="0" w:type="auto"/>
            <w:tcBorders>
              <w:top w:val="nil"/>
              <w:left w:val="nil"/>
              <w:bottom w:val="nil"/>
              <w:right w:val="nil"/>
            </w:tcBorders>
            <w:shd w:val="clear" w:color="auto" w:fill="auto"/>
            <w:vAlign w:val="center"/>
          </w:tcPr>
          <w:p w14:paraId="779FDF0E" w14:textId="590B3C5E"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36</w:t>
            </w:r>
          </w:p>
        </w:tc>
        <w:tc>
          <w:tcPr>
            <w:tcW w:w="0" w:type="auto"/>
            <w:tcBorders>
              <w:top w:val="nil"/>
              <w:left w:val="nil"/>
              <w:bottom w:val="nil"/>
              <w:right w:val="nil"/>
            </w:tcBorders>
            <w:shd w:val="clear" w:color="auto" w:fill="auto"/>
            <w:vAlign w:val="center"/>
          </w:tcPr>
          <w:p w14:paraId="4B3D1A0A" w14:textId="35612E42"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11%</w:t>
            </w:r>
          </w:p>
        </w:tc>
      </w:tr>
      <w:tr w:rsidR="005C4215" w:rsidRPr="005045BF" w14:paraId="4C049BFF" w14:textId="77777777" w:rsidTr="004312EC">
        <w:trPr>
          <w:cantSplit/>
        </w:trPr>
        <w:tc>
          <w:tcPr>
            <w:tcW w:w="0" w:type="auto"/>
            <w:tcBorders>
              <w:top w:val="nil"/>
              <w:left w:val="nil"/>
              <w:bottom w:val="nil"/>
              <w:right w:val="nil"/>
            </w:tcBorders>
            <w:shd w:val="clear" w:color="auto" w:fill="auto"/>
            <w:vAlign w:val="center"/>
            <w:hideMark/>
          </w:tcPr>
          <w:p w14:paraId="27AADC21" w14:textId="69055AF9" w:rsidR="005C4215" w:rsidRPr="005045BF" w:rsidRDefault="005C4215" w:rsidP="005C4215">
            <w:pPr>
              <w:spacing w:before="6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Febrero</w:t>
            </w:r>
          </w:p>
        </w:tc>
        <w:tc>
          <w:tcPr>
            <w:tcW w:w="0" w:type="auto"/>
            <w:tcBorders>
              <w:top w:val="nil"/>
              <w:left w:val="nil"/>
              <w:bottom w:val="nil"/>
              <w:right w:val="nil"/>
            </w:tcBorders>
            <w:shd w:val="clear" w:color="auto" w:fill="auto"/>
            <w:vAlign w:val="center"/>
          </w:tcPr>
          <w:p w14:paraId="60CB9CDB" w14:textId="157EE655"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858 </w:t>
            </w:r>
          </w:p>
        </w:tc>
        <w:tc>
          <w:tcPr>
            <w:tcW w:w="0" w:type="auto"/>
            <w:tcBorders>
              <w:top w:val="nil"/>
              <w:left w:val="nil"/>
              <w:bottom w:val="nil"/>
              <w:right w:val="nil"/>
            </w:tcBorders>
            <w:shd w:val="clear" w:color="auto" w:fill="auto"/>
            <w:vAlign w:val="center"/>
          </w:tcPr>
          <w:p w14:paraId="7E4D573F" w14:textId="7ADACF81"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744 </w:t>
            </w:r>
          </w:p>
        </w:tc>
        <w:tc>
          <w:tcPr>
            <w:tcW w:w="0" w:type="auto"/>
            <w:tcBorders>
              <w:top w:val="nil"/>
              <w:left w:val="nil"/>
              <w:bottom w:val="nil"/>
              <w:right w:val="nil"/>
            </w:tcBorders>
            <w:shd w:val="clear" w:color="auto" w:fill="auto"/>
            <w:vAlign w:val="center"/>
          </w:tcPr>
          <w:p w14:paraId="7818F5FB" w14:textId="1C955D48"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114</w:t>
            </w:r>
          </w:p>
        </w:tc>
        <w:tc>
          <w:tcPr>
            <w:tcW w:w="0" w:type="auto"/>
            <w:tcBorders>
              <w:top w:val="nil"/>
              <w:left w:val="nil"/>
              <w:bottom w:val="nil"/>
              <w:right w:val="single" w:sz="8" w:space="0" w:color="4F81BD"/>
            </w:tcBorders>
            <w:shd w:val="clear" w:color="auto" w:fill="auto"/>
            <w:vAlign w:val="center"/>
          </w:tcPr>
          <w:p w14:paraId="70A1A62D" w14:textId="1E3A979D"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15%</w:t>
            </w:r>
          </w:p>
        </w:tc>
        <w:tc>
          <w:tcPr>
            <w:tcW w:w="0" w:type="auto"/>
            <w:tcBorders>
              <w:top w:val="nil"/>
              <w:left w:val="nil"/>
              <w:bottom w:val="nil"/>
              <w:right w:val="nil"/>
            </w:tcBorders>
            <w:shd w:val="clear" w:color="auto" w:fill="auto"/>
            <w:noWrap/>
            <w:vAlign w:val="center"/>
            <w:hideMark/>
          </w:tcPr>
          <w:p w14:paraId="04710044" w14:textId="77777777" w:rsidR="005C4215" w:rsidRPr="005045BF" w:rsidRDefault="005C4215" w:rsidP="005C4215">
            <w:pPr>
              <w:spacing w:before="6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7E23E42D" w14:textId="1DE173E9" w:rsidR="005C4215" w:rsidRPr="005045BF" w:rsidRDefault="005C4215" w:rsidP="005C4215">
            <w:pPr>
              <w:spacing w:before="60" w:after="40"/>
              <w:rPr>
                <w:rFonts w:ascii="Arial" w:hAnsi="Arial" w:cs="Arial"/>
                <w:color w:val="0F243E"/>
                <w:sz w:val="20"/>
                <w:szCs w:val="20"/>
              </w:rPr>
            </w:pPr>
            <w:r w:rsidRPr="005045BF">
              <w:rPr>
                <w:rFonts w:ascii="Arial" w:hAnsi="Arial" w:cs="Arial"/>
                <w:color w:val="0F243E" w:themeColor="text2" w:themeShade="80"/>
                <w:sz w:val="20"/>
                <w:szCs w:val="20"/>
              </w:rPr>
              <w:t>Febrero</w:t>
            </w:r>
          </w:p>
        </w:tc>
        <w:tc>
          <w:tcPr>
            <w:tcW w:w="0" w:type="auto"/>
            <w:tcBorders>
              <w:top w:val="nil"/>
              <w:left w:val="nil"/>
              <w:bottom w:val="nil"/>
              <w:right w:val="nil"/>
            </w:tcBorders>
            <w:shd w:val="clear" w:color="auto" w:fill="auto"/>
            <w:vAlign w:val="center"/>
          </w:tcPr>
          <w:p w14:paraId="41F58A62" w14:textId="0057E58E"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428 </w:t>
            </w:r>
          </w:p>
        </w:tc>
        <w:tc>
          <w:tcPr>
            <w:tcW w:w="0" w:type="auto"/>
            <w:tcBorders>
              <w:top w:val="nil"/>
              <w:left w:val="nil"/>
              <w:bottom w:val="nil"/>
              <w:right w:val="nil"/>
            </w:tcBorders>
            <w:shd w:val="clear" w:color="auto" w:fill="auto"/>
            <w:vAlign w:val="center"/>
          </w:tcPr>
          <w:p w14:paraId="03CAAB25" w14:textId="06D29702"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275 </w:t>
            </w:r>
          </w:p>
        </w:tc>
        <w:tc>
          <w:tcPr>
            <w:tcW w:w="0" w:type="auto"/>
            <w:tcBorders>
              <w:top w:val="nil"/>
              <w:left w:val="nil"/>
              <w:bottom w:val="nil"/>
              <w:right w:val="nil"/>
            </w:tcBorders>
            <w:shd w:val="clear" w:color="auto" w:fill="auto"/>
            <w:vAlign w:val="center"/>
          </w:tcPr>
          <w:p w14:paraId="1114603E" w14:textId="1F17DA8F"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153</w:t>
            </w:r>
          </w:p>
        </w:tc>
        <w:tc>
          <w:tcPr>
            <w:tcW w:w="0" w:type="auto"/>
            <w:tcBorders>
              <w:top w:val="nil"/>
              <w:left w:val="nil"/>
              <w:bottom w:val="nil"/>
              <w:right w:val="nil"/>
            </w:tcBorders>
            <w:shd w:val="clear" w:color="auto" w:fill="auto"/>
            <w:vAlign w:val="center"/>
          </w:tcPr>
          <w:p w14:paraId="55BCEE08" w14:textId="0C613E80"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56%</w:t>
            </w:r>
          </w:p>
        </w:tc>
      </w:tr>
      <w:tr w:rsidR="005C4215" w:rsidRPr="005045BF" w14:paraId="26000DFC" w14:textId="77777777" w:rsidTr="004312EC">
        <w:trPr>
          <w:cantSplit/>
        </w:trPr>
        <w:tc>
          <w:tcPr>
            <w:tcW w:w="0" w:type="auto"/>
            <w:tcBorders>
              <w:top w:val="nil"/>
              <w:left w:val="nil"/>
              <w:bottom w:val="nil"/>
              <w:right w:val="nil"/>
            </w:tcBorders>
            <w:shd w:val="clear" w:color="auto" w:fill="auto"/>
            <w:vAlign w:val="center"/>
            <w:hideMark/>
          </w:tcPr>
          <w:p w14:paraId="67E15F79" w14:textId="6E07C8AC" w:rsidR="005C4215" w:rsidRPr="005045BF" w:rsidRDefault="005C4215" w:rsidP="005C4215">
            <w:pPr>
              <w:spacing w:before="6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Marzo </w:t>
            </w:r>
          </w:p>
        </w:tc>
        <w:tc>
          <w:tcPr>
            <w:tcW w:w="0" w:type="auto"/>
            <w:tcBorders>
              <w:top w:val="nil"/>
              <w:left w:val="nil"/>
              <w:bottom w:val="nil"/>
              <w:right w:val="nil"/>
            </w:tcBorders>
            <w:shd w:val="clear" w:color="auto" w:fill="auto"/>
            <w:vAlign w:val="center"/>
          </w:tcPr>
          <w:p w14:paraId="4C189CFE" w14:textId="40571429"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628 </w:t>
            </w:r>
          </w:p>
        </w:tc>
        <w:tc>
          <w:tcPr>
            <w:tcW w:w="0" w:type="auto"/>
            <w:tcBorders>
              <w:top w:val="nil"/>
              <w:left w:val="nil"/>
              <w:bottom w:val="nil"/>
              <w:right w:val="nil"/>
            </w:tcBorders>
            <w:shd w:val="clear" w:color="auto" w:fill="auto"/>
            <w:vAlign w:val="center"/>
          </w:tcPr>
          <w:p w14:paraId="674B95A9" w14:textId="37577662" w:rsidR="005C4215" w:rsidRPr="005045BF" w:rsidRDefault="005C4215" w:rsidP="005C4215">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909 </w:t>
            </w:r>
          </w:p>
        </w:tc>
        <w:tc>
          <w:tcPr>
            <w:tcW w:w="0" w:type="auto"/>
            <w:tcBorders>
              <w:top w:val="nil"/>
              <w:left w:val="nil"/>
              <w:bottom w:val="nil"/>
              <w:right w:val="nil"/>
            </w:tcBorders>
            <w:shd w:val="clear" w:color="auto" w:fill="auto"/>
            <w:vAlign w:val="center"/>
          </w:tcPr>
          <w:p w14:paraId="59B968FB" w14:textId="29284B47"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(281)</w:t>
            </w:r>
          </w:p>
        </w:tc>
        <w:tc>
          <w:tcPr>
            <w:tcW w:w="0" w:type="auto"/>
            <w:tcBorders>
              <w:top w:val="nil"/>
              <w:left w:val="nil"/>
              <w:bottom w:val="nil"/>
              <w:right w:val="single" w:sz="8" w:space="0" w:color="4F81BD"/>
            </w:tcBorders>
            <w:shd w:val="clear" w:color="auto" w:fill="auto"/>
            <w:vAlign w:val="center"/>
          </w:tcPr>
          <w:p w14:paraId="38FD574D" w14:textId="1BE84779" w:rsidR="005C4215" w:rsidRPr="00566B35" w:rsidRDefault="005C4215" w:rsidP="005C4215">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(31%)</w:t>
            </w:r>
          </w:p>
        </w:tc>
        <w:tc>
          <w:tcPr>
            <w:tcW w:w="0" w:type="auto"/>
            <w:tcBorders>
              <w:top w:val="nil"/>
              <w:left w:val="nil"/>
              <w:bottom w:val="nil"/>
              <w:right w:val="nil"/>
            </w:tcBorders>
            <w:shd w:val="clear" w:color="auto" w:fill="auto"/>
            <w:noWrap/>
            <w:vAlign w:val="center"/>
            <w:hideMark/>
          </w:tcPr>
          <w:p w14:paraId="6A0AF0F3" w14:textId="77777777" w:rsidR="005C4215" w:rsidRPr="005045BF" w:rsidRDefault="005C4215" w:rsidP="005C4215">
            <w:pPr>
              <w:spacing w:before="60" w:after="40"/>
              <w:jc w:val="center"/>
              <w:rPr>
                <w:rFonts w:ascii="Arial" w:hAnsi="Arial" w:cs="Arial"/>
                <w:color w:val="0F243E"/>
                <w:sz w:val="20"/>
                <w:szCs w:val="20"/>
              </w:rPr>
            </w:pPr>
          </w:p>
        </w:tc>
        <w:tc>
          <w:tcPr>
            <w:tcW w:w="0" w:type="auto"/>
            <w:tcBorders>
              <w:top w:val="nil"/>
              <w:left w:val="nil"/>
              <w:bottom w:val="nil"/>
              <w:right w:val="nil"/>
            </w:tcBorders>
            <w:shd w:val="clear" w:color="auto" w:fill="auto"/>
            <w:vAlign w:val="center"/>
            <w:hideMark/>
          </w:tcPr>
          <w:p w14:paraId="40CA7B29" w14:textId="41D8FDA5" w:rsidR="005C4215" w:rsidRPr="005045BF" w:rsidRDefault="005C4215" w:rsidP="005C4215">
            <w:pPr>
              <w:spacing w:before="60" w:after="40"/>
              <w:rPr>
                <w:rFonts w:ascii="Arial" w:hAnsi="Arial" w:cs="Arial"/>
                <w:color w:val="0F243E"/>
                <w:sz w:val="20"/>
                <w:szCs w:val="20"/>
              </w:rPr>
            </w:pPr>
            <w:r w:rsidRPr="005045BF">
              <w:rPr>
                <w:rFonts w:ascii="Arial" w:hAnsi="Arial" w:cs="Arial"/>
                <w:color w:val="0F243E" w:themeColor="text2" w:themeShade="80"/>
                <w:sz w:val="20"/>
                <w:szCs w:val="20"/>
              </w:rPr>
              <w:t xml:space="preserve">Marzo </w:t>
            </w:r>
          </w:p>
        </w:tc>
        <w:tc>
          <w:tcPr>
            <w:tcW w:w="0" w:type="auto"/>
            <w:tcBorders>
              <w:top w:val="nil"/>
              <w:left w:val="nil"/>
              <w:bottom w:val="nil"/>
              <w:right w:val="nil"/>
            </w:tcBorders>
            <w:shd w:val="clear" w:color="auto" w:fill="auto"/>
            <w:vAlign w:val="center"/>
          </w:tcPr>
          <w:p w14:paraId="32E3A86A" w14:textId="470E334B"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     240 </w:t>
            </w:r>
          </w:p>
        </w:tc>
        <w:tc>
          <w:tcPr>
            <w:tcW w:w="0" w:type="auto"/>
            <w:tcBorders>
              <w:top w:val="nil"/>
              <w:left w:val="nil"/>
              <w:bottom w:val="nil"/>
              <w:right w:val="nil"/>
            </w:tcBorders>
            <w:shd w:val="clear" w:color="auto" w:fill="auto"/>
            <w:vAlign w:val="center"/>
          </w:tcPr>
          <w:p w14:paraId="62C0C026" w14:textId="57F7EE3C" w:rsidR="005C4215" w:rsidRPr="005045BF" w:rsidRDefault="005C4215" w:rsidP="002130AF">
            <w:pPr>
              <w:spacing w:before="60" w:after="40"/>
              <w:jc w:val="right"/>
              <w:rPr>
                <w:rFonts w:ascii="Arial" w:hAnsi="Arial" w:cs="Arial"/>
                <w:color w:val="0F243E" w:themeColor="text2" w:themeShade="80"/>
                <w:sz w:val="20"/>
                <w:szCs w:val="20"/>
              </w:rPr>
            </w:pPr>
            <w:r w:rsidRPr="005045BF">
              <w:rPr>
                <w:rFonts w:ascii="Arial" w:hAnsi="Arial" w:cs="Arial"/>
                <w:color w:val="0F243E"/>
                <w:sz w:val="20"/>
                <w:szCs w:val="20"/>
              </w:rPr>
              <w:t xml:space="preserve">485 </w:t>
            </w:r>
          </w:p>
        </w:tc>
        <w:tc>
          <w:tcPr>
            <w:tcW w:w="0" w:type="auto"/>
            <w:tcBorders>
              <w:top w:val="nil"/>
              <w:left w:val="nil"/>
              <w:bottom w:val="nil"/>
              <w:right w:val="nil"/>
            </w:tcBorders>
            <w:shd w:val="clear" w:color="auto" w:fill="auto"/>
            <w:vAlign w:val="center"/>
          </w:tcPr>
          <w:p w14:paraId="17986340" w14:textId="712875D0"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(245)</w:t>
            </w:r>
          </w:p>
        </w:tc>
        <w:tc>
          <w:tcPr>
            <w:tcW w:w="0" w:type="auto"/>
            <w:tcBorders>
              <w:top w:val="nil"/>
              <w:left w:val="nil"/>
              <w:bottom w:val="nil"/>
              <w:right w:val="nil"/>
            </w:tcBorders>
            <w:shd w:val="clear" w:color="auto" w:fill="auto"/>
            <w:vAlign w:val="center"/>
          </w:tcPr>
          <w:p w14:paraId="4C2441E0" w14:textId="7577C723" w:rsidR="005C4215" w:rsidRPr="00566B35" w:rsidRDefault="005C4215" w:rsidP="002130AF">
            <w:pPr>
              <w:spacing w:before="60" w:after="40"/>
              <w:jc w:val="center"/>
              <w:rPr>
                <w:rFonts w:ascii="Arial" w:hAnsi="Arial" w:cs="Arial"/>
                <w:b/>
                <w:bCs/>
                <w:color w:val="0F243E" w:themeColor="text2" w:themeShade="80"/>
                <w:sz w:val="20"/>
                <w:szCs w:val="20"/>
              </w:rPr>
            </w:pPr>
            <w:r w:rsidRPr="00566B35">
              <w:rPr>
                <w:rFonts w:ascii="Arial" w:hAnsi="Arial" w:cs="Arial"/>
                <w:b/>
                <w:bCs/>
                <w:color w:val="0F243E"/>
                <w:sz w:val="20"/>
                <w:szCs w:val="20"/>
              </w:rPr>
              <w:t>(50%)</w:t>
            </w:r>
          </w:p>
        </w:tc>
      </w:tr>
      <w:tr w:rsidR="005C4215" w:rsidRPr="005045BF" w14:paraId="333F52CF" w14:textId="77777777" w:rsidTr="004312EC">
        <w:trPr>
          <w:cantSplit/>
        </w:trPr>
        <w:tc>
          <w:tcPr>
            <w:tcW w:w="0" w:type="auto"/>
            <w:tcBorders>
              <w:top w:val="nil"/>
              <w:left w:val="nil"/>
              <w:bottom w:val="nil"/>
              <w:right w:val="nil"/>
            </w:tcBorders>
            <w:shd w:val="clear" w:color="000000" w:fill="4F81BD"/>
            <w:vAlign w:val="center"/>
            <w:hideMark/>
          </w:tcPr>
          <w:p w14:paraId="6B254DB1" w14:textId="0A2D6562" w:rsidR="005C4215" w:rsidRPr="005045BF" w:rsidRDefault="005C4215" w:rsidP="005C4215">
            <w:pPr>
              <w:spacing w:before="60" w:after="40"/>
              <w:jc w:val="center"/>
              <w:rPr>
                <w:rFonts w:ascii="Arial" w:hAnsi="Arial" w:cs="Arial"/>
                <w:color w:val="FFFFFF"/>
                <w:sz w:val="20"/>
                <w:szCs w:val="20"/>
              </w:rPr>
            </w:pPr>
            <w:r w:rsidRPr="005045BF">
              <w:rPr>
                <w:rFonts w:ascii="Arial" w:hAnsi="Arial" w:cs="Arial"/>
                <w:color w:val="FFFFFF"/>
                <w:sz w:val="20"/>
                <w:szCs w:val="20"/>
              </w:rPr>
              <w:t>Total</w:t>
            </w:r>
          </w:p>
        </w:tc>
        <w:tc>
          <w:tcPr>
            <w:tcW w:w="0" w:type="auto"/>
            <w:tcBorders>
              <w:top w:val="nil"/>
              <w:left w:val="nil"/>
              <w:bottom w:val="nil"/>
              <w:right w:val="nil"/>
            </w:tcBorders>
            <w:shd w:val="clear" w:color="000000" w:fill="4F81BD"/>
            <w:vAlign w:val="center"/>
          </w:tcPr>
          <w:p w14:paraId="112274A4" w14:textId="4F301C1D" w:rsidR="005C4215" w:rsidRPr="005045BF" w:rsidRDefault="005C4215" w:rsidP="005C4215">
            <w:pPr>
              <w:spacing w:before="60" w:after="40"/>
              <w:jc w:val="right"/>
              <w:rPr>
                <w:rFonts w:ascii="Arial" w:hAnsi="Arial" w:cs="Arial"/>
                <w:b/>
                <w:bCs/>
                <w:color w:val="FFFFFF"/>
                <w:sz w:val="20"/>
                <w:szCs w:val="20"/>
              </w:rPr>
            </w:pPr>
            <w:r w:rsidRPr="005045BF">
              <w:rPr>
                <w:rFonts w:ascii="Arial" w:hAnsi="Arial" w:cs="Arial"/>
                <w:b/>
                <w:bCs/>
                <w:color w:val="FFFFFF"/>
                <w:sz w:val="20"/>
                <w:szCs w:val="20"/>
              </w:rPr>
              <w:t xml:space="preserve">2.206 </w:t>
            </w:r>
          </w:p>
        </w:tc>
        <w:tc>
          <w:tcPr>
            <w:tcW w:w="0" w:type="auto"/>
            <w:tcBorders>
              <w:top w:val="nil"/>
              <w:left w:val="nil"/>
              <w:bottom w:val="nil"/>
              <w:right w:val="nil"/>
            </w:tcBorders>
            <w:shd w:val="clear" w:color="000000" w:fill="4F81BD"/>
            <w:vAlign w:val="center"/>
          </w:tcPr>
          <w:p w14:paraId="71E17C6F" w14:textId="70CB3A22" w:rsidR="005C4215" w:rsidRPr="005045BF" w:rsidRDefault="005C4215" w:rsidP="005C4215">
            <w:pPr>
              <w:spacing w:before="60" w:after="40"/>
              <w:jc w:val="right"/>
              <w:rPr>
                <w:rFonts w:ascii="Arial" w:hAnsi="Arial" w:cs="Arial"/>
                <w:b/>
                <w:bCs/>
                <w:color w:val="FFFFFF"/>
                <w:sz w:val="20"/>
                <w:szCs w:val="20"/>
              </w:rPr>
            </w:pPr>
            <w:r w:rsidRPr="005045BF">
              <w:rPr>
                <w:rFonts w:ascii="Arial" w:hAnsi="Arial" w:cs="Arial"/>
                <w:b/>
                <w:bCs/>
                <w:color w:val="FFFFFF"/>
                <w:sz w:val="20"/>
                <w:szCs w:val="20"/>
              </w:rPr>
              <w:t xml:space="preserve">2.461 </w:t>
            </w:r>
          </w:p>
        </w:tc>
        <w:tc>
          <w:tcPr>
            <w:tcW w:w="0" w:type="auto"/>
            <w:tcBorders>
              <w:top w:val="nil"/>
              <w:left w:val="nil"/>
              <w:bottom w:val="nil"/>
              <w:right w:val="nil"/>
            </w:tcBorders>
            <w:shd w:val="clear" w:color="000000" w:fill="4F81BD"/>
            <w:vAlign w:val="center"/>
          </w:tcPr>
          <w:p w14:paraId="726FABC0" w14:textId="09DCBE82" w:rsidR="005C4215" w:rsidRPr="005045BF" w:rsidRDefault="005C4215" w:rsidP="005C4215">
            <w:pPr>
              <w:spacing w:before="60" w:after="40"/>
              <w:jc w:val="center"/>
              <w:rPr>
                <w:rFonts w:ascii="Arial" w:hAnsi="Arial" w:cs="Arial"/>
                <w:b/>
                <w:bCs/>
                <w:color w:val="FFFFFF"/>
                <w:sz w:val="20"/>
                <w:szCs w:val="20"/>
              </w:rPr>
            </w:pPr>
            <w:r w:rsidRPr="005045BF">
              <w:rPr>
                <w:rFonts w:ascii="Arial" w:hAnsi="Arial" w:cs="Arial"/>
                <w:b/>
                <w:bCs/>
                <w:color w:val="FFFFFF"/>
                <w:sz w:val="20"/>
                <w:szCs w:val="20"/>
              </w:rPr>
              <w:t>(255)</w:t>
            </w:r>
          </w:p>
        </w:tc>
        <w:tc>
          <w:tcPr>
            <w:tcW w:w="0" w:type="auto"/>
            <w:tcBorders>
              <w:top w:val="nil"/>
              <w:left w:val="nil"/>
              <w:bottom w:val="nil"/>
              <w:right w:val="single" w:sz="8" w:space="0" w:color="4F81BD"/>
            </w:tcBorders>
            <w:shd w:val="clear" w:color="000000" w:fill="4F81BD"/>
            <w:vAlign w:val="center"/>
          </w:tcPr>
          <w:p w14:paraId="411CE7A6" w14:textId="7DD27708" w:rsidR="005C4215" w:rsidRPr="005045BF" w:rsidRDefault="005C4215" w:rsidP="005C4215">
            <w:pPr>
              <w:spacing w:before="60" w:after="40"/>
              <w:jc w:val="center"/>
              <w:rPr>
                <w:rFonts w:ascii="Arial" w:hAnsi="Arial" w:cs="Arial"/>
                <w:b/>
                <w:bCs/>
                <w:color w:val="FFFFFF"/>
                <w:sz w:val="20"/>
                <w:szCs w:val="20"/>
              </w:rPr>
            </w:pPr>
            <w:r w:rsidRPr="005045BF">
              <w:rPr>
                <w:rFonts w:ascii="Arial" w:hAnsi="Arial" w:cs="Arial"/>
                <w:b/>
                <w:bCs/>
                <w:color w:val="FFFFFF"/>
                <w:sz w:val="20"/>
                <w:szCs w:val="20"/>
              </w:rPr>
              <w:t>(10%)</w:t>
            </w:r>
          </w:p>
        </w:tc>
        <w:tc>
          <w:tcPr>
            <w:tcW w:w="0" w:type="auto"/>
            <w:tcBorders>
              <w:top w:val="nil"/>
              <w:left w:val="nil"/>
              <w:bottom w:val="nil"/>
              <w:right w:val="nil"/>
            </w:tcBorders>
            <w:shd w:val="clear" w:color="auto" w:fill="auto"/>
            <w:noWrap/>
            <w:vAlign w:val="center"/>
            <w:hideMark/>
          </w:tcPr>
          <w:p w14:paraId="0CEFB1BC" w14:textId="77777777" w:rsidR="005C4215" w:rsidRPr="005045BF" w:rsidRDefault="005C4215" w:rsidP="005C4215">
            <w:pPr>
              <w:spacing w:before="60" w:after="40"/>
              <w:jc w:val="center"/>
              <w:rPr>
                <w:rFonts w:ascii="Arial" w:hAnsi="Arial" w:cs="Arial"/>
                <w:b/>
                <w:bCs/>
                <w:color w:val="FFFFFF"/>
                <w:sz w:val="20"/>
                <w:szCs w:val="20"/>
              </w:rPr>
            </w:pPr>
          </w:p>
        </w:tc>
        <w:tc>
          <w:tcPr>
            <w:tcW w:w="0" w:type="auto"/>
            <w:tcBorders>
              <w:top w:val="nil"/>
              <w:left w:val="nil"/>
              <w:bottom w:val="nil"/>
              <w:right w:val="nil"/>
            </w:tcBorders>
            <w:shd w:val="clear" w:color="000000" w:fill="4F81BD"/>
            <w:vAlign w:val="center"/>
            <w:hideMark/>
          </w:tcPr>
          <w:p w14:paraId="62823862" w14:textId="7DF5D1E9" w:rsidR="005C4215" w:rsidRPr="005045BF" w:rsidRDefault="005C4215" w:rsidP="005C4215">
            <w:pPr>
              <w:spacing w:before="60" w:after="40"/>
              <w:jc w:val="center"/>
              <w:rPr>
                <w:rFonts w:ascii="Arial" w:hAnsi="Arial" w:cs="Arial"/>
                <w:b/>
                <w:bCs/>
                <w:color w:val="FFFFFF"/>
                <w:sz w:val="20"/>
                <w:szCs w:val="20"/>
              </w:rPr>
            </w:pPr>
            <w:r w:rsidRPr="005045BF">
              <w:rPr>
                <w:rFonts w:ascii="Arial" w:hAnsi="Arial" w:cs="Arial"/>
                <w:b/>
                <w:bCs/>
                <w:color w:val="FFFFFF"/>
                <w:sz w:val="20"/>
                <w:szCs w:val="20"/>
              </w:rPr>
              <w:t>Total</w:t>
            </w:r>
          </w:p>
        </w:tc>
        <w:tc>
          <w:tcPr>
            <w:tcW w:w="0" w:type="auto"/>
            <w:tcBorders>
              <w:top w:val="nil"/>
              <w:left w:val="nil"/>
              <w:bottom w:val="nil"/>
              <w:right w:val="nil"/>
            </w:tcBorders>
            <w:shd w:val="clear" w:color="000000" w:fill="4F81BD"/>
            <w:vAlign w:val="center"/>
          </w:tcPr>
          <w:p w14:paraId="38BA058F" w14:textId="6E33BE98" w:rsidR="005C4215" w:rsidRPr="005045BF" w:rsidRDefault="005C4215" w:rsidP="005C4215">
            <w:pPr>
              <w:spacing w:before="60" w:after="40"/>
              <w:rPr>
                <w:rFonts w:ascii="Arial" w:hAnsi="Arial" w:cs="Arial"/>
                <w:b/>
                <w:bCs/>
                <w:color w:val="FFFFFF"/>
                <w:sz w:val="20"/>
                <w:szCs w:val="20"/>
              </w:rPr>
            </w:pPr>
            <w:r w:rsidRPr="005045BF">
              <w:rPr>
                <w:rFonts w:ascii="Arial" w:hAnsi="Arial" w:cs="Arial"/>
                <w:b/>
                <w:bCs/>
                <w:color w:val="FFFFFF"/>
                <w:sz w:val="20"/>
                <w:szCs w:val="20"/>
              </w:rPr>
              <w:t xml:space="preserve">1.024 </w:t>
            </w:r>
          </w:p>
        </w:tc>
        <w:tc>
          <w:tcPr>
            <w:tcW w:w="0" w:type="auto"/>
            <w:tcBorders>
              <w:top w:val="nil"/>
              <w:left w:val="nil"/>
              <w:bottom w:val="nil"/>
              <w:right w:val="nil"/>
            </w:tcBorders>
            <w:shd w:val="clear" w:color="000000" w:fill="4F81BD"/>
            <w:vAlign w:val="center"/>
          </w:tcPr>
          <w:p w14:paraId="5373FF63" w14:textId="5223B658" w:rsidR="005C4215" w:rsidRPr="005045BF" w:rsidRDefault="005C4215" w:rsidP="005C4215">
            <w:pPr>
              <w:spacing w:before="60" w:after="40"/>
              <w:rPr>
                <w:rFonts w:ascii="Arial" w:hAnsi="Arial" w:cs="Arial"/>
                <w:b/>
                <w:bCs/>
                <w:color w:val="FFFFFF"/>
                <w:sz w:val="20"/>
                <w:szCs w:val="20"/>
              </w:rPr>
            </w:pPr>
            <w:r w:rsidRPr="005045BF">
              <w:rPr>
                <w:rFonts w:ascii="Arial" w:hAnsi="Arial" w:cs="Arial"/>
                <w:b/>
                <w:bCs/>
                <w:color w:val="FFFFFF"/>
                <w:sz w:val="20"/>
                <w:szCs w:val="20"/>
              </w:rPr>
              <w:t xml:space="preserve">1.080 </w:t>
            </w:r>
          </w:p>
        </w:tc>
        <w:tc>
          <w:tcPr>
            <w:tcW w:w="0" w:type="auto"/>
            <w:tcBorders>
              <w:top w:val="nil"/>
              <w:left w:val="nil"/>
              <w:bottom w:val="nil"/>
              <w:right w:val="nil"/>
            </w:tcBorders>
            <w:shd w:val="clear" w:color="000000" w:fill="4F81BD"/>
            <w:vAlign w:val="center"/>
          </w:tcPr>
          <w:p w14:paraId="24195AE6" w14:textId="383CB2E9" w:rsidR="005C4215" w:rsidRPr="005045BF" w:rsidRDefault="005C4215" w:rsidP="002130AF">
            <w:pPr>
              <w:spacing w:before="60" w:after="40"/>
              <w:jc w:val="center"/>
              <w:rPr>
                <w:rFonts w:ascii="Arial" w:hAnsi="Arial" w:cs="Arial"/>
                <w:b/>
                <w:bCs/>
                <w:color w:val="FFFFFF"/>
                <w:sz w:val="20"/>
                <w:szCs w:val="20"/>
              </w:rPr>
            </w:pPr>
            <w:r w:rsidRPr="005045BF">
              <w:rPr>
                <w:rFonts w:ascii="Arial" w:hAnsi="Arial" w:cs="Arial"/>
                <w:b/>
                <w:bCs/>
                <w:color w:val="FFFFFF"/>
                <w:sz w:val="20"/>
                <w:szCs w:val="20"/>
              </w:rPr>
              <w:t>(56)</w:t>
            </w:r>
          </w:p>
        </w:tc>
        <w:tc>
          <w:tcPr>
            <w:tcW w:w="0" w:type="auto"/>
            <w:tcBorders>
              <w:top w:val="nil"/>
              <w:left w:val="nil"/>
              <w:bottom w:val="nil"/>
              <w:right w:val="nil"/>
            </w:tcBorders>
            <w:shd w:val="clear" w:color="000000" w:fill="4F81BD"/>
            <w:vAlign w:val="center"/>
          </w:tcPr>
          <w:p w14:paraId="7BC0EC8A" w14:textId="61B4D0A2" w:rsidR="005C4215" w:rsidRPr="005045BF" w:rsidRDefault="005C4215" w:rsidP="002130AF">
            <w:pPr>
              <w:spacing w:before="60" w:after="40"/>
              <w:jc w:val="center"/>
              <w:rPr>
                <w:rFonts w:ascii="Arial" w:hAnsi="Arial" w:cs="Arial"/>
                <w:b/>
                <w:bCs/>
                <w:color w:val="FFFFFF"/>
                <w:sz w:val="20"/>
                <w:szCs w:val="20"/>
              </w:rPr>
            </w:pPr>
            <w:r w:rsidRPr="005045BF">
              <w:rPr>
                <w:rFonts w:ascii="Arial" w:hAnsi="Arial" w:cs="Arial"/>
                <w:b/>
                <w:bCs/>
                <w:color w:val="FFFFFF"/>
                <w:sz w:val="20"/>
                <w:szCs w:val="20"/>
              </w:rPr>
              <w:t>(5%)</w:t>
            </w:r>
          </w:p>
        </w:tc>
      </w:tr>
    </w:tbl>
    <w:p w14:paraId="45F19DA8" w14:textId="3D6CF19C" w:rsidR="00397766" w:rsidRPr="005045BF" w:rsidRDefault="00397766" w:rsidP="004F1906">
      <w:pPr>
        <w:rPr>
          <w:rFonts w:ascii="Arial" w:hAnsi="Arial" w:cs="Arial"/>
          <w:sz w:val="22"/>
          <w:szCs w:val="22"/>
        </w:rPr>
      </w:pPr>
    </w:p>
    <w:p w14:paraId="32B45A5D" w14:textId="488F987C" w:rsidR="001F5D54" w:rsidRPr="005045BF" w:rsidRDefault="001F5D54" w:rsidP="009A4703">
      <w:pPr>
        <w:jc w:val="both"/>
        <w:rPr>
          <w:rFonts w:ascii="Arial" w:hAnsi="Arial" w:cs="Arial"/>
          <w:sz w:val="22"/>
          <w:szCs w:val="22"/>
        </w:rPr>
      </w:pPr>
    </w:p>
    <w:p w14:paraId="689D339D" w14:textId="109E8A39" w:rsidR="001F5D54" w:rsidRPr="005045BF" w:rsidRDefault="001F5D54" w:rsidP="009A4703">
      <w:pPr>
        <w:jc w:val="both"/>
        <w:rPr>
          <w:rFonts w:ascii="Arial" w:hAnsi="Arial" w:cs="Arial"/>
          <w:sz w:val="22"/>
          <w:szCs w:val="22"/>
        </w:rPr>
      </w:pPr>
    </w:p>
    <w:tbl>
      <w:tblPr>
        <w:tblW w:w="9756" w:type="dxa"/>
        <w:tblCellMar>
          <w:left w:w="70" w:type="dxa"/>
          <w:right w:w="70" w:type="dxa"/>
        </w:tblCellMar>
        <w:tblLook w:val="04A0" w:firstRow="1" w:lastRow="0" w:firstColumn="1" w:lastColumn="0" w:noHBand="0" w:noVBand="1"/>
      </w:tblPr>
      <w:tblGrid>
        <w:gridCol w:w="1800"/>
        <w:gridCol w:w="1976"/>
        <w:gridCol w:w="1336"/>
        <w:gridCol w:w="1916"/>
        <w:gridCol w:w="1376"/>
        <w:gridCol w:w="1476"/>
      </w:tblGrid>
      <w:tr w:rsidR="002130AF" w:rsidRPr="005045BF" w14:paraId="5DF19C84" w14:textId="77777777" w:rsidTr="002130AF">
        <w:trPr>
          <w:trHeight w:val="300"/>
        </w:trPr>
        <w:tc>
          <w:tcPr>
            <w:tcW w:w="1676" w:type="dxa"/>
            <w:tcBorders>
              <w:top w:val="nil"/>
              <w:left w:val="nil"/>
              <w:bottom w:val="nil"/>
              <w:right w:val="nil"/>
            </w:tcBorders>
            <w:shd w:val="clear" w:color="auto" w:fill="auto"/>
            <w:noWrap/>
            <w:vAlign w:val="bottom"/>
            <w:hideMark/>
          </w:tcPr>
          <w:p w14:paraId="792F1E44" w14:textId="37EC9E02" w:rsidR="002130AF" w:rsidRPr="005045BF" w:rsidRDefault="002130AF" w:rsidP="002130AF">
            <w:pPr>
              <w:rPr>
                <w:rFonts w:ascii="Calibri" w:hAnsi="Calibri" w:cs="Calibri"/>
                <w:color w:val="000000"/>
                <w:sz w:val="22"/>
                <w:szCs w:val="22"/>
              </w:rPr>
            </w:pPr>
            <w:r w:rsidRPr="005045BF">
              <w:rPr>
                <w:rFonts w:ascii="Calibri" w:hAnsi="Calibri" w:cs="Calibri"/>
                <w:noProof/>
                <w:color w:val="000000"/>
                <w:sz w:val="22"/>
                <w:szCs w:val="22"/>
              </w:rPr>
              <w:drawing>
                <wp:anchor distT="0" distB="0" distL="114300" distR="114300" simplePos="0" relativeHeight="252241920" behindDoc="0" locked="0" layoutInCell="1" allowOverlap="1" wp14:anchorId="1C5B649A" wp14:editId="6AA2F888">
                  <wp:simplePos x="0" y="0"/>
                  <wp:positionH relativeFrom="column">
                    <wp:posOffset>3312795</wp:posOffset>
                  </wp:positionH>
                  <wp:positionV relativeFrom="paragraph">
                    <wp:posOffset>-178435</wp:posOffset>
                  </wp:positionV>
                  <wp:extent cx="2800350" cy="1971675"/>
                  <wp:effectExtent l="0" t="0" r="0" b="9525"/>
                  <wp:wrapNone/>
                  <wp:docPr id="6" name="Gráfico 6">
                    <a:extLst xmlns:a="http://schemas.openxmlformats.org/drawingml/2006/main">
                      <a:ext uri="{FF2B5EF4-FFF2-40B4-BE49-F238E27FC236}">
                        <a16:creationId xmlns:a16="http://schemas.microsoft.com/office/drawing/2014/main" id="{CEF0D827-D1AA-45FA-94BF-5FFDAA67EAF8}"/>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660"/>
            </w:tblGrid>
            <w:tr w:rsidR="002130AF" w:rsidRPr="005045BF" w14:paraId="33178884" w14:textId="77777777">
              <w:trPr>
                <w:trHeight w:val="300"/>
                <w:tblCellSpacing w:w="0" w:type="dxa"/>
              </w:trPr>
              <w:tc>
                <w:tcPr>
                  <w:tcW w:w="1660" w:type="dxa"/>
                  <w:tcBorders>
                    <w:top w:val="nil"/>
                    <w:left w:val="nil"/>
                    <w:bottom w:val="nil"/>
                    <w:right w:val="nil"/>
                  </w:tcBorders>
                  <w:shd w:val="clear" w:color="auto" w:fill="auto"/>
                  <w:noWrap/>
                  <w:vAlign w:val="bottom"/>
                  <w:hideMark/>
                </w:tcPr>
                <w:p w14:paraId="1FA90AFE" w14:textId="77777777" w:rsidR="002130AF" w:rsidRPr="005045BF" w:rsidRDefault="002130AF" w:rsidP="002130AF">
                  <w:pPr>
                    <w:rPr>
                      <w:rFonts w:ascii="Calibri" w:hAnsi="Calibri" w:cs="Calibri"/>
                      <w:color w:val="000000"/>
                      <w:sz w:val="22"/>
                      <w:szCs w:val="22"/>
                    </w:rPr>
                  </w:pPr>
                </w:p>
              </w:tc>
            </w:tr>
          </w:tbl>
          <w:p w14:paraId="28DD0C6B" w14:textId="77777777" w:rsidR="002130AF" w:rsidRPr="005045BF" w:rsidRDefault="002130AF" w:rsidP="002130AF">
            <w:pPr>
              <w:rPr>
                <w:rFonts w:ascii="Calibri" w:hAnsi="Calibri" w:cs="Calibri"/>
                <w:color w:val="000000"/>
                <w:sz w:val="22"/>
                <w:szCs w:val="22"/>
              </w:rPr>
            </w:pPr>
          </w:p>
        </w:tc>
        <w:tc>
          <w:tcPr>
            <w:tcW w:w="1976" w:type="dxa"/>
            <w:tcBorders>
              <w:top w:val="nil"/>
              <w:left w:val="nil"/>
              <w:bottom w:val="nil"/>
              <w:right w:val="nil"/>
            </w:tcBorders>
            <w:shd w:val="clear" w:color="auto" w:fill="auto"/>
            <w:noWrap/>
            <w:vAlign w:val="bottom"/>
            <w:hideMark/>
          </w:tcPr>
          <w:p w14:paraId="43321DE4" w14:textId="0B767F3B" w:rsidR="002130AF" w:rsidRPr="005045BF" w:rsidRDefault="002130AF" w:rsidP="002130AF">
            <w:pPr>
              <w:rPr>
                <w:sz w:val="20"/>
                <w:szCs w:val="20"/>
              </w:rPr>
            </w:pPr>
            <w:r w:rsidRPr="005045BF">
              <w:rPr>
                <w:rFonts w:ascii="Calibri" w:hAnsi="Calibri" w:cs="Calibri"/>
                <w:noProof/>
                <w:color w:val="000000"/>
                <w:sz w:val="22"/>
                <w:szCs w:val="22"/>
              </w:rPr>
              <w:drawing>
                <wp:anchor distT="0" distB="0" distL="114300" distR="114300" simplePos="0" relativeHeight="252242944" behindDoc="0" locked="0" layoutInCell="1" allowOverlap="1" wp14:anchorId="7661ADF4" wp14:editId="07C03762">
                  <wp:simplePos x="0" y="0"/>
                  <wp:positionH relativeFrom="column">
                    <wp:posOffset>-1183005</wp:posOffset>
                  </wp:positionH>
                  <wp:positionV relativeFrom="paragraph">
                    <wp:posOffset>-168910</wp:posOffset>
                  </wp:positionV>
                  <wp:extent cx="3181350" cy="1933575"/>
                  <wp:effectExtent l="0" t="0" r="0" b="9525"/>
                  <wp:wrapNone/>
                  <wp:docPr id="7" name="Gráfico 7">
                    <a:extLst xmlns:a="http://schemas.openxmlformats.org/drawingml/2006/main">
                      <a:ext uri="{FF2B5EF4-FFF2-40B4-BE49-F238E27FC236}">
                        <a16:creationId xmlns:a16="http://schemas.microsoft.com/office/drawing/2014/main" id="{AAF0C495-4EDD-4455-8433-FFAE17C3E5F2}"/>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page">
                    <wp14:pctWidth>0</wp14:pctWidth>
                  </wp14:sizeRelH>
                  <wp14:sizeRelV relativeFrom="page">
                    <wp14:pctHeight>0</wp14:pctHeight>
                  </wp14:sizeRelV>
                </wp:anchor>
              </w:drawing>
            </w:r>
          </w:p>
        </w:tc>
        <w:tc>
          <w:tcPr>
            <w:tcW w:w="1336" w:type="dxa"/>
            <w:tcBorders>
              <w:top w:val="nil"/>
              <w:left w:val="nil"/>
              <w:bottom w:val="nil"/>
              <w:right w:val="nil"/>
            </w:tcBorders>
            <w:shd w:val="clear" w:color="auto" w:fill="auto"/>
            <w:noWrap/>
            <w:vAlign w:val="bottom"/>
            <w:hideMark/>
          </w:tcPr>
          <w:p w14:paraId="74B1966E"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5BE4FBA9"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7A976C6A"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1E271F89" w14:textId="77777777" w:rsidR="002130AF" w:rsidRPr="005045BF" w:rsidRDefault="002130AF" w:rsidP="002130AF">
            <w:pPr>
              <w:rPr>
                <w:sz w:val="20"/>
                <w:szCs w:val="20"/>
              </w:rPr>
            </w:pPr>
          </w:p>
        </w:tc>
      </w:tr>
      <w:tr w:rsidR="002130AF" w:rsidRPr="005045BF" w14:paraId="3FF1DE82" w14:textId="77777777" w:rsidTr="002130AF">
        <w:trPr>
          <w:trHeight w:val="300"/>
        </w:trPr>
        <w:tc>
          <w:tcPr>
            <w:tcW w:w="1676" w:type="dxa"/>
            <w:tcBorders>
              <w:top w:val="nil"/>
              <w:left w:val="nil"/>
              <w:bottom w:val="nil"/>
              <w:right w:val="nil"/>
            </w:tcBorders>
            <w:shd w:val="clear" w:color="auto" w:fill="auto"/>
            <w:noWrap/>
            <w:vAlign w:val="bottom"/>
            <w:hideMark/>
          </w:tcPr>
          <w:p w14:paraId="190E5450"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55C54B2A"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0CE17CC0"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417B9A35"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3DD7AF88"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1675CACD" w14:textId="77777777" w:rsidR="002130AF" w:rsidRPr="005045BF" w:rsidRDefault="002130AF" w:rsidP="002130AF">
            <w:pPr>
              <w:rPr>
                <w:sz w:val="20"/>
                <w:szCs w:val="20"/>
              </w:rPr>
            </w:pPr>
          </w:p>
        </w:tc>
      </w:tr>
      <w:tr w:rsidR="002130AF" w:rsidRPr="005045BF" w14:paraId="685C5758" w14:textId="77777777" w:rsidTr="002130AF">
        <w:trPr>
          <w:trHeight w:val="315"/>
        </w:trPr>
        <w:tc>
          <w:tcPr>
            <w:tcW w:w="1676" w:type="dxa"/>
            <w:tcBorders>
              <w:top w:val="nil"/>
              <w:left w:val="nil"/>
              <w:bottom w:val="nil"/>
              <w:right w:val="nil"/>
            </w:tcBorders>
            <w:shd w:val="clear" w:color="auto" w:fill="auto"/>
            <w:noWrap/>
            <w:vAlign w:val="bottom"/>
            <w:hideMark/>
          </w:tcPr>
          <w:p w14:paraId="3CF1F85E"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29D21181"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7AF65628"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575423A2"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51E7D54B"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45EE771C" w14:textId="77777777" w:rsidR="002130AF" w:rsidRPr="005045BF" w:rsidRDefault="002130AF" w:rsidP="002130AF">
            <w:pPr>
              <w:rPr>
                <w:sz w:val="20"/>
                <w:szCs w:val="20"/>
              </w:rPr>
            </w:pPr>
          </w:p>
        </w:tc>
      </w:tr>
      <w:tr w:rsidR="002130AF" w:rsidRPr="005045BF" w14:paraId="398B98C8" w14:textId="77777777" w:rsidTr="002130AF">
        <w:trPr>
          <w:trHeight w:val="315"/>
        </w:trPr>
        <w:tc>
          <w:tcPr>
            <w:tcW w:w="1676" w:type="dxa"/>
            <w:tcBorders>
              <w:top w:val="nil"/>
              <w:left w:val="nil"/>
              <w:bottom w:val="nil"/>
              <w:right w:val="nil"/>
            </w:tcBorders>
            <w:shd w:val="clear" w:color="auto" w:fill="auto"/>
            <w:noWrap/>
            <w:vAlign w:val="bottom"/>
            <w:hideMark/>
          </w:tcPr>
          <w:p w14:paraId="398FB392"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58E8B165"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71EA42DC"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4313E397"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6D0EE075"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6EC5E914" w14:textId="77777777" w:rsidR="002130AF" w:rsidRPr="005045BF" w:rsidRDefault="002130AF" w:rsidP="002130AF">
            <w:pPr>
              <w:rPr>
                <w:sz w:val="20"/>
                <w:szCs w:val="20"/>
              </w:rPr>
            </w:pPr>
          </w:p>
        </w:tc>
      </w:tr>
      <w:tr w:rsidR="002130AF" w:rsidRPr="005045BF" w14:paraId="5EF9639A" w14:textId="77777777" w:rsidTr="002130AF">
        <w:trPr>
          <w:trHeight w:val="315"/>
        </w:trPr>
        <w:tc>
          <w:tcPr>
            <w:tcW w:w="1676" w:type="dxa"/>
            <w:tcBorders>
              <w:top w:val="nil"/>
              <w:left w:val="nil"/>
              <w:bottom w:val="nil"/>
              <w:right w:val="nil"/>
            </w:tcBorders>
            <w:shd w:val="clear" w:color="auto" w:fill="auto"/>
            <w:noWrap/>
            <w:vAlign w:val="bottom"/>
            <w:hideMark/>
          </w:tcPr>
          <w:p w14:paraId="3B70F584"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7787A004"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2912BC34"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4ECAEF61"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5A4E49EF"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08772CAB" w14:textId="77777777" w:rsidR="002130AF" w:rsidRPr="005045BF" w:rsidRDefault="002130AF" w:rsidP="002130AF">
            <w:pPr>
              <w:rPr>
                <w:sz w:val="20"/>
                <w:szCs w:val="20"/>
              </w:rPr>
            </w:pPr>
          </w:p>
        </w:tc>
      </w:tr>
      <w:tr w:rsidR="002130AF" w:rsidRPr="005045BF" w14:paraId="2AD0264C" w14:textId="77777777" w:rsidTr="002130AF">
        <w:trPr>
          <w:trHeight w:val="315"/>
        </w:trPr>
        <w:tc>
          <w:tcPr>
            <w:tcW w:w="1676" w:type="dxa"/>
            <w:tcBorders>
              <w:top w:val="nil"/>
              <w:left w:val="nil"/>
              <w:bottom w:val="nil"/>
              <w:right w:val="nil"/>
            </w:tcBorders>
            <w:shd w:val="clear" w:color="auto" w:fill="auto"/>
            <w:noWrap/>
            <w:vAlign w:val="bottom"/>
            <w:hideMark/>
          </w:tcPr>
          <w:p w14:paraId="206EEFBA"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5AEF71CF"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2EEDF7BA"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7A457920"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5644C9AB"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27F98781" w14:textId="77777777" w:rsidR="002130AF" w:rsidRPr="005045BF" w:rsidRDefault="002130AF" w:rsidP="002130AF">
            <w:pPr>
              <w:rPr>
                <w:sz w:val="20"/>
                <w:szCs w:val="20"/>
              </w:rPr>
            </w:pPr>
          </w:p>
        </w:tc>
      </w:tr>
      <w:tr w:rsidR="002130AF" w:rsidRPr="005045BF" w14:paraId="5F69FA62" w14:textId="77777777" w:rsidTr="002130AF">
        <w:trPr>
          <w:trHeight w:val="315"/>
        </w:trPr>
        <w:tc>
          <w:tcPr>
            <w:tcW w:w="1676" w:type="dxa"/>
            <w:tcBorders>
              <w:top w:val="nil"/>
              <w:left w:val="nil"/>
              <w:bottom w:val="nil"/>
              <w:right w:val="nil"/>
            </w:tcBorders>
            <w:shd w:val="clear" w:color="auto" w:fill="auto"/>
            <w:noWrap/>
            <w:vAlign w:val="bottom"/>
            <w:hideMark/>
          </w:tcPr>
          <w:p w14:paraId="0E5A0190"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2DFA9D86"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0279D79A"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1750F215"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1763DFE2"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6D9099D2" w14:textId="77777777" w:rsidR="002130AF" w:rsidRPr="005045BF" w:rsidRDefault="002130AF" w:rsidP="002130AF">
            <w:pPr>
              <w:rPr>
                <w:sz w:val="20"/>
                <w:szCs w:val="20"/>
              </w:rPr>
            </w:pPr>
          </w:p>
        </w:tc>
      </w:tr>
      <w:tr w:rsidR="002130AF" w:rsidRPr="005045BF" w14:paraId="1D719A17" w14:textId="77777777" w:rsidTr="002130AF">
        <w:trPr>
          <w:trHeight w:val="315"/>
        </w:trPr>
        <w:tc>
          <w:tcPr>
            <w:tcW w:w="1676" w:type="dxa"/>
            <w:tcBorders>
              <w:top w:val="nil"/>
              <w:left w:val="nil"/>
              <w:bottom w:val="nil"/>
              <w:right w:val="nil"/>
            </w:tcBorders>
            <w:shd w:val="clear" w:color="auto" w:fill="auto"/>
            <w:noWrap/>
            <w:vAlign w:val="bottom"/>
            <w:hideMark/>
          </w:tcPr>
          <w:p w14:paraId="7FB76D6B"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3AEDB0AF"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4BA00B81"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55E63D36"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7CC7294A"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7F87F291" w14:textId="77777777" w:rsidR="002130AF" w:rsidRPr="005045BF" w:rsidRDefault="002130AF" w:rsidP="002130AF">
            <w:pPr>
              <w:rPr>
                <w:sz w:val="20"/>
                <w:szCs w:val="20"/>
              </w:rPr>
            </w:pPr>
          </w:p>
        </w:tc>
      </w:tr>
      <w:tr w:rsidR="002130AF" w:rsidRPr="005045BF" w14:paraId="11E79E18" w14:textId="77777777" w:rsidTr="002130AF">
        <w:trPr>
          <w:trHeight w:val="375"/>
        </w:trPr>
        <w:tc>
          <w:tcPr>
            <w:tcW w:w="1676" w:type="dxa"/>
            <w:tcBorders>
              <w:top w:val="nil"/>
              <w:left w:val="nil"/>
              <w:bottom w:val="nil"/>
              <w:right w:val="nil"/>
            </w:tcBorders>
            <w:shd w:val="clear" w:color="auto" w:fill="auto"/>
            <w:noWrap/>
            <w:vAlign w:val="bottom"/>
            <w:hideMark/>
          </w:tcPr>
          <w:p w14:paraId="2A31301C" w14:textId="77777777" w:rsidR="002130AF" w:rsidRPr="005045BF" w:rsidRDefault="002130AF" w:rsidP="002130AF">
            <w:pPr>
              <w:rPr>
                <w:sz w:val="20"/>
                <w:szCs w:val="20"/>
              </w:rPr>
            </w:pPr>
          </w:p>
        </w:tc>
        <w:tc>
          <w:tcPr>
            <w:tcW w:w="1976" w:type="dxa"/>
            <w:tcBorders>
              <w:top w:val="nil"/>
              <w:left w:val="nil"/>
              <w:bottom w:val="nil"/>
              <w:right w:val="nil"/>
            </w:tcBorders>
            <w:shd w:val="clear" w:color="auto" w:fill="auto"/>
            <w:noWrap/>
            <w:vAlign w:val="bottom"/>
            <w:hideMark/>
          </w:tcPr>
          <w:p w14:paraId="3C0F6E26" w14:textId="77777777" w:rsidR="002130AF" w:rsidRPr="005045BF" w:rsidRDefault="002130AF" w:rsidP="002130AF">
            <w:pPr>
              <w:rPr>
                <w:sz w:val="20"/>
                <w:szCs w:val="20"/>
              </w:rPr>
            </w:pPr>
          </w:p>
        </w:tc>
        <w:tc>
          <w:tcPr>
            <w:tcW w:w="1336" w:type="dxa"/>
            <w:tcBorders>
              <w:top w:val="nil"/>
              <w:left w:val="nil"/>
              <w:bottom w:val="nil"/>
              <w:right w:val="nil"/>
            </w:tcBorders>
            <w:shd w:val="clear" w:color="auto" w:fill="auto"/>
            <w:noWrap/>
            <w:vAlign w:val="bottom"/>
            <w:hideMark/>
          </w:tcPr>
          <w:p w14:paraId="370188B0" w14:textId="77777777" w:rsidR="002130AF" w:rsidRPr="005045BF" w:rsidRDefault="002130AF" w:rsidP="002130AF">
            <w:pPr>
              <w:rPr>
                <w:sz w:val="20"/>
                <w:szCs w:val="20"/>
              </w:rPr>
            </w:pPr>
          </w:p>
        </w:tc>
        <w:tc>
          <w:tcPr>
            <w:tcW w:w="1916" w:type="dxa"/>
            <w:tcBorders>
              <w:top w:val="nil"/>
              <w:left w:val="nil"/>
              <w:bottom w:val="nil"/>
              <w:right w:val="nil"/>
            </w:tcBorders>
            <w:shd w:val="clear" w:color="auto" w:fill="auto"/>
            <w:noWrap/>
            <w:vAlign w:val="bottom"/>
            <w:hideMark/>
          </w:tcPr>
          <w:p w14:paraId="50E59C75" w14:textId="77777777" w:rsidR="002130AF" w:rsidRPr="005045BF" w:rsidRDefault="002130AF" w:rsidP="002130AF">
            <w:pPr>
              <w:rPr>
                <w:sz w:val="20"/>
                <w:szCs w:val="20"/>
              </w:rPr>
            </w:pPr>
          </w:p>
        </w:tc>
        <w:tc>
          <w:tcPr>
            <w:tcW w:w="1376" w:type="dxa"/>
            <w:tcBorders>
              <w:top w:val="nil"/>
              <w:left w:val="nil"/>
              <w:bottom w:val="nil"/>
              <w:right w:val="nil"/>
            </w:tcBorders>
            <w:shd w:val="clear" w:color="auto" w:fill="auto"/>
            <w:noWrap/>
            <w:vAlign w:val="bottom"/>
            <w:hideMark/>
          </w:tcPr>
          <w:p w14:paraId="13B00A26" w14:textId="77777777" w:rsidR="002130AF" w:rsidRPr="005045BF" w:rsidRDefault="002130AF" w:rsidP="002130AF">
            <w:pPr>
              <w:rPr>
                <w:sz w:val="20"/>
                <w:szCs w:val="20"/>
              </w:rPr>
            </w:pPr>
          </w:p>
        </w:tc>
        <w:tc>
          <w:tcPr>
            <w:tcW w:w="1476" w:type="dxa"/>
            <w:tcBorders>
              <w:top w:val="nil"/>
              <w:left w:val="nil"/>
              <w:bottom w:val="nil"/>
              <w:right w:val="nil"/>
            </w:tcBorders>
            <w:shd w:val="clear" w:color="auto" w:fill="auto"/>
            <w:noWrap/>
            <w:vAlign w:val="bottom"/>
            <w:hideMark/>
          </w:tcPr>
          <w:p w14:paraId="63821EE2" w14:textId="77777777" w:rsidR="002130AF" w:rsidRPr="005045BF" w:rsidRDefault="002130AF" w:rsidP="002130AF">
            <w:pPr>
              <w:rPr>
                <w:sz w:val="20"/>
                <w:szCs w:val="20"/>
              </w:rPr>
            </w:pPr>
          </w:p>
        </w:tc>
      </w:tr>
    </w:tbl>
    <w:p w14:paraId="5F644611" w14:textId="51FE3E25" w:rsidR="00CD3C72" w:rsidRPr="005045BF" w:rsidRDefault="009A4703" w:rsidP="009A4703">
      <w:pPr>
        <w:jc w:val="both"/>
        <w:rPr>
          <w:rFonts w:ascii="Arial" w:hAnsi="Arial" w:cs="Arial"/>
          <w:sz w:val="22"/>
          <w:szCs w:val="22"/>
        </w:rPr>
      </w:pPr>
      <w:r w:rsidRPr="005045BF">
        <w:rPr>
          <w:rFonts w:ascii="Arial" w:hAnsi="Arial" w:cs="Arial"/>
          <w:sz w:val="22"/>
          <w:szCs w:val="22"/>
        </w:rPr>
        <w:t xml:space="preserve">Teniendo en cuenta, las variaciones en el valor del gasto y consumo en cantidad </w:t>
      </w:r>
      <w:r w:rsidR="00174044" w:rsidRPr="005045BF">
        <w:rPr>
          <w:rFonts w:ascii="Arial" w:hAnsi="Arial" w:cs="Arial"/>
          <w:sz w:val="22"/>
          <w:szCs w:val="22"/>
        </w:rPr>
        <w:t xml:space="preserve">de galones para </w:t>
      </w:r>
      <w:r w:rsidR="003749FC" w:rsidRPr="005045BF">
        <w:rPr>
          <w:rFonts w:ascii="Arial" w:hAnsi="Arial" w:cs="Arial"/>
          <w:sz w:val="22"/>
          <w:szCs w:val="22"/>
        </w:rPr>
        <w:t xml:space="preserve">los conceptos de </w:t>
      </w:r>
      <w:r w:rsidRPr="005045BF">
        <w:rPr>
          <w:rFonts w:ascii="Arial" w:hAnsi="Arial" w:cs="Arial"/>
          <w:sz w:val="22"/>
          <w:szCs w:val="22"/>
        </w:rPr>
        <w:t>combustible</w:t>
      </w:r>
      <w:r w:rsidR="003749FC" w:rsidRPr="005045BF">
        <w:rPr>
          <w:rFonts w:ascii="Arial" w:hAnsi="Arial" w:cs="Arial"/>
          <w:sz w:val="22"/>
          <w:szCs w:val="22"/>
        </w:rPr>
        <w:t>s</w:t>
      </w:r>
      <w:r w:rsidRPr="005045BF">
        <w:rPr>
          <w:rFonts w:ascii="Arial" w:hAnsi="Arial" w:cs="Arial"/>
          <w:sz w:val="22"/>
          <w:szCs w:val="22"/>
        </w:rPr>
        <w:t xml:space="preserve"> [gasolina y ACPM], se puede deducir que </w:t>
      </w:r>
      <w:r w:rsidR="003749FC" w:rsidRPr="005045BF">
        <w:rPr>
          <w:rFonts w:ascii="Arial" w:hAnsi="Arial" w:cs="Arial"/>
          <w:sz w:val="22"/>
          <w:szCs w:val="22"/>
        </w:rPr>
        <w:t xml:space="preserve">los </w:t>
      </w:r>
      <w:r w:rsidR="003749FC" w:rsidRPr="005045BF">
        <w:rPr>
          <w:rFonts w:ascii="Arial" w:hAnsi="Arial" w:cs="Arial"/>
          <w:b/>
          <w:sz w:val="22"/>
          <w:szCs w:val="22"/>
        </w:rPr>
        <w:t>incrementos</w:t>
      </w:r>
      <w:r w:rsidR="00874A3C" w:rsidRPr="005045BF">
        <w:rPr>
          <w:rFonts w:ascii="Arial" w:hAnsi="Arial" w:cs="Arial"/>
          <w:b/>
          <w:sz w:val="22"/>
          <w:szCs w:val="22"/>
        </w:rPr>
        <w:t xml:space="preserve"> y disminuciones </w:t>
      </w:r>
      <w:r w:rsidR="003749FC" w:rsidRPr="005045BF">
        <w:rPr>
          <w:rFonts w:ascii="Arial" w:hAnsi="Arial" w:cs="Arial"/>
          <w:sz w:val="22"/>
          <w:szCs w:val="22"/>
        </w:rPr>
        <w:t>presentados</w:t>
      </w:r>
      <w:r w:rsidR="002E006D" w:rsidRPr="005045BF">
        <w:rPr>
          <w:rFonts w:ascii="Arial" w:hAnsi="Arial" w:cs="Arial"/>
          <w:sz w:val="22"/>
          <w:szCs w:val="22"/>
        </w:rPr>
        <w:t xml:space="preserve"> durante el </w:t>
      </w:r>
      <w:r w:rsidR="00A56236" w:rsidRPr="005045BF">
        <w:rPr>
          <w:rFonts w:ascii="Arial" w:hAnsi="Arial" w:cs="Arial"/>
          <w:sz w:val="22"/>
          <w:szCs w:val="22"/>
        </w:rPr>
        <w:t>primer t</w:t>
      </w:r>
      <w:r w:rsidR="002E006D" w:rsidRPr="005045BF">
        <w:rPr>
          <w:rFonts w:ascii="Arial" w:hAnsi="Arial" w:cs="Arial"/>
          <w:sz w:val="22"/>
          <w:szCs w:val="22"/>
        </w:rPr>
        <w:t>rimestre 20</w:t>
      </w:r>
      <w:r w:rsidR="00A56236" w:rsidRPr="005045BF">
        <w:rPr>
          <w:rFonts w:ascii="Arial" w:hAnsi="Arial" w:cs="Arial"/>
          <w:sz w:val="22"/>
          <w:szCs w:val="22"/>
        </w:rPr>
        <w:t>20</w:t>
      </w:r>
      <w:r w:rsidR="002E006D" w:rsidRPr="005045BF">
        <w:rPr>
          <w:rFonts w:ascii="Arial" w:hAnsi="Arial" w:cs="Arial"/>
          <w:sz w:val="22"/>
          <w:szCs w:val="22"/>
        </w:rPr>
        <w:t>-201</w:t>
      </w:r>
      <w:r w:rsidR="00A56236" w:rsidRPr="005045BF">
        <w:rPr>
          <w:rFonts w:ascii="Arial" w:hAnsi="Arial" w:cs="Arial"/>
          <w:sz w:val="22"/>
          <w:szCs w:val="22"/>
        </w:rPr>
        <w:t xml:space="preserve">9 </w:t>
      </w:r>
      <w:r w:rsidR="003749FC" w:rsidRPr="005045BF">
        <w:rPr>
          <w:rFonts w:ascii="Arial" w:hAnsi="Arial" w:cs="Arial"/>
          <w:sz w:val="22"/>
          <w:szCs w:val="22"/>
        </w:rPr>
        <w:t>están directamente relacionado</w:t>
      </w:r>
      <w:r w:rsidR="008B12EC" w:rsidRPr="005045BF">
        <w:rPr>
          <w:rFonts w:ascii="Arial" w:hAnsi="Arial" w:cs="Arial"/>
          <w:sz w:val="22"/>
          <w:szCs w:val="22"/>
        </w:rPr>
        <w:t xml:space="preserve">s con las variaciones </w:t>
      </w:r>
      <w:r w:rsidR="00B969BD" w:rsidRPr="005045BF">
        <w:rPr>
          <w:rFonts w:ascii="Arial" w:hAnsi="Arial" w:cs="Arial"/>
          <w:sz w:val="22"/>
          <w:szCs w:val="22"/>
        </w:rPr>
        <w:t>entre el valor</w:t>
      </w:r>
      <w:r w:rsidR="00204863" w:rsidRPr="005045BF">
        <w:rPr>
          <w:rFonts w:ascii="Arial" w:hAnsi="Arial" w:cs="Arial"/>
          <w:sz w:val="22"/>
          <w:szCs w:val="22"/>
        </w:rPr>
        <w:t xml:space="preserve"> del gasto</w:t>
      </w:r>
      <w:r w:rsidR="00B969BD" w:rsidRPr="005045BF">
        <w:rPr>
          <w:rFonts w:ascii="Arial" w:hAnsi="Arial" w:cs="Arial"/>
          <w:sz w:val="22"/>
          <w:szCs w:val="22"/>
        </w:rPr>
        <w:t xml:space="preserve"> y el consumo. </w:t>
      </w:r>
    </w:p>
    <w:p w14:paraId="24E0DB5C" w14:textId="77777777" w:rsidR="002E006D" w:rsidRPr="005045BF" w:rsidRDefault="002E006D" w:rsidP="009A4703">
      <w:pPr>
        <w:jc w:val="both"/>
        <w:rPr>
          <w:rFonts w:ascii="Arial" w:hAnsi="Arial" w:cs="Arial"/>
          <w:sz w:val="22"/>
          <w:szCs w:val="22"/>
          <w:highlight w:val="yellow"/>
        </w:rPr>
      </w:pPr>
    </w:p>
    <w:tbl>
      <w:tblPr>
        <w:tblStyle w:val="Tablaconcuadrcula1clara-nfasis1"/>
        <w:tblW w:w="0" w:type="auto"/>
        <w:jc w:val="center"/>
        <w:tblLayout w:type="fixed"/>
        <w:tblLook w:val="04A0" w:firstRow="1" w:lastRow="0" w:firstColumn="1" w:lastColumn="0" w:noHBand="0" w:noVBand="1"/>
      </w:tblPr>
      <w:tblGrid>
        <w:gridCol w:w="2852"/>
        <w:gridCol w:w="1396"/>
        <w:gridCol w:w="1276"/>
        <w:gridCol w:w="1134"/>
        <w:gridCol w:w="1701"/>
      </w:tblGrid>
      <w:tr w:rsidR="00BD2E0F" w:rsidRPr="005045BF" w14:paraId="1D417421" w14:textId="77777777" w:rsidTr="00DB416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852" w:type="dxa"/>
            <w:vMerge w:val="restart"/>
            <w:shd w:val="clear" w:color="auto" w:fill="4F81BD" w:themeFill="accent1"/>
            <w:vAlign w:val="center"/>
            <w:hideMark/>
          </w:tcPr>
          <w:p w14:paraId="614C2273" w14:textId="77777777" w:rsidR="00BD2E0F" w:rsidRPr="005045BF" w:rsidRDefault="00BD2E0F" w:rsidP="00E77832">
            <w:pPr>
              <w:spacing w:before="40" w:after="20"/>
              <w:jc w:val="center"/>
              <w:rPr>
                <w:rFonts w:ascii="Arial" w:hAnsi="Arial" w:cs="Arial"/>
                <w:color w:val="FFFFFF" w:themeColor="background1"/>
                <w:sz w:val="20"/>
                <w:szCs w:val="20"/>
              </w:rPr>
            </w:pPr>
            <w:bookmarkStart w:id="7" w:name="_Hlk44718171"/>
            <w:r w:rsidRPr="005045BF">
              <w:rPr>
                <w:rFonts w:ascii="Arial" w:hAnsi="Arial" w:cs="Arial"/>
                <w:color w:val="FFFFFF" w:themeColor="background1"/>
                <w:sz w:val="20"/>
                <w:szCs w:val="20"/>
              </w:rPr>
              <w:t>Periodo</w:t>
            </w:r>
          </w:p>
        </w:tc>
        <w:tc>
          <w:tcPr>
            <w:tcW w:w="2672" w:type="dxa"/>
            <w:gridSpan w:val="2"/>
            <w:shd w:val="clear" w:color="auto" w:fill="4F81BD" w:themeFill="accent1"/>
            <w:vAlign w:val="center"/>
            <w:hideMark/>
          </w:tcPr>
          <w:p w14:paraId="40D2814D" w14:textId="77777777" w:rsidR="00BD2E0F" w:rsidRPr="005045BF" w:rsidRDefault="00BD2E0F" w:rsidP="00E7783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Concepto de Gasolina </w:t>
            </w:r>
          </w:p>
        </w:tc>
        <w:tc>
          <w:tcPr>
            <w:tcW w:w="2835" w:type="dxa"/>
            <w:gridSpan w:val="2"/>
            <w:shd w:val="clear" w:color="auto" w:fill="4F81BD" w:themeFill="accent1"/>
            <w:vAlign w:val="center"/>
            <w:hideMark/>
          </w:tcPr>
          <w:p w14:paraId="66B7338C" w14:textId="77777777" w:rsidR="00BD2E0F" w:rsidRPr="005045BF" w:rsidRDefault="00BD2E0F" w:rsidP="00E77832">
            <w:pPr>
              <w:spacing w:before="4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Concepto de ACPM</w:t>
            </w:r>
          </w:p>
        </w:tc>
      </w:tr>
      <w:tr w:rsidR="00BD2E0F" w:rsidRPr="005045BF" w14:paraId="296E6F49"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Merge/>
            <w:shd w:val="clear" w:color="auto" w:fill="4F81BD" w:themeFill="accent1"/>
            <w:vAlign w:val="center"/>
            <w:hideMark/>
          </w:tcPr>
          <w:p w14:paraId="7310C989" w14:textId="77777777" w:rsidR="00BD2E0F" w:rsidRPr="005045BF" w:rsidRDefault="00BD2E0F" w:rsidP="00E77832">
            <w:pPr>
              <w:spacing w:before="40" w:after="20"/>
              <w:rPr>
                <w:rFonts w:ascii="Arial" w:hAnsi="Arial" w:cs="Arial"/>
                <w:color w:val="FFFFFF" w:themeColor="background1"/>
                <w:sz w:val="20"/>
                <w:szCs w:val="20"/>
              </w:rPr>
            </w:pPr>
          </w:p>
        </w:tc>
        <w:tc>
          <w:tcPr>
            <w:tcW w:w="1396" w:type="dxa"/>
            <w:shd w:val="clear" w:color="auto" w:fill="4F81BD" w:themeFill="accent1"/>
            <w:vAlign w:val="center"/>
            <w:hideMark/>
          </w:tcPr>
          <w:p w14:paraId="66108BC5" w14:textId="77777777" w:rsidR="00BD2E0F" w:rsidRPr="005045BF"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Variación Gasto ($)</w:t>
            </w:r>
          </w:p>
        </w:tc>
        <w:tc>
          <w:tcPr>
            <w:tcW w:w="1276" w:type="dxa"/>
            <w:shd w:val="clear" w:color="auto" w:fill="4F81BD" w:themeFill="accent1"/>
            <w:vAlign w:val="center"/>
            <w:hideMark/>
          </w:tcPr>
          <w:p w14:paraId="23CF0046" w14:textId="77777777" w:rsidR="00BD2E0F" w:rsidRPr="005045BF"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Variación Cantidad</w:t>
            </w:r>
          </w:p>
        </w:tc>
        <w:tc>
          <w:tcPr>
            <w:tcW w:w="1134" w:type="dxa"/>
            <w:shd w:val="clear" w:color="auto" w:fill="4F81BD" w:themeFill="accent1"/>
            <w:vAlign w:val="center"/>
            <w:hideMark/>
          </w:tcPr>
          <w:p w14:paraId="574A52FF" w14:textId="77777777" w:rsidR="00BD2E0F" w:rsidRPr="005045BF"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Variación Gasto ($)</w:t>
            </w:r>
          </w:p>
        </w:tc>
        <w:tc>
          <w:tcPr>
            <w:tcW w:w="1701" w:type="dxa"/>
            <w:shd w:val="clear" w:color="auto" w:fill="4F81BD" w:themeFill="accent1"/>
            <w:vAlign w:val="center"/>
            <w:hideMark/>
          </w:tcPr>
          <w:p w14:paraId="595EEB1C" w14:textId="77777777" w:rsidR="00BD2E0F" w:rsidRPr="005045BF" w:rsidRDefault="00BD2E0F" w:rsidP="00E77832">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Variación Cantidad</w:t>
            </w:r>
          </w:p>
        </w:tc>
      </w:tr>
      <w:tr w:rsidR="00263C4D" w:rsidRPr="005045BF" w14:paraId="52BBB457"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0CAFFC65" w14:textId="53B43EB5" w:rsidR="00263C4D" w:rsidRPr="005045BF" w:rsidRDefault="00263C4D" w:rsidP="00263C4D">
            <w:pPr>
              <w:spacing w:before="40" w:after="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Enero </w:t>
            </w:r>
          </w:p>
        </w:tc>
        <w:tc>
          <w:tcPr>
            <w:tcW w:w="1396" w:type="dxa"/>
            <w:vAlign w:val="center"/>
            <w:hideMark/>
          </w:tcPr>
          <w:p w14:paraId="56725CFF" w14:textId="077A3098"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(10%)</w:t>
            </w:r>
          </w:p>
        </w:tc>
        <w:tc>
          <w:tcPr>
            <w:tcW w:w="1276" w:type="dxa"/>
            <w:vAlign w:val="center"/>
            <w:hideMark/>
          </w:tcPr>
          <w:p w14:paraId="7C668637" w14:textId="63086F42"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w:t>
            </w:r>
          </w:p>
        </w:tc>
        <w:tc>
          <w:tcPr>
            <w:tcW w:w="1134" w:type="dxa"/>
            <w:vAlign w:val="center"/>
            <w:hideMark/>
          </w:tcPr>
          <w:p w14:paraId="0437D52F" w14:textId="277C4C7B"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18%</w:t>
            </w:r>
          </w:p>
        </w:tc>
        <w:tc>
          <w:tcPr>
            <w:tcW w:w="1701" w:type="dxa"/>
            <w:vAlign w:val="center"/>
            <w:hideMark/>
          </w:tcPr>
          <w:p w14:paraId="6CFA2072" w14:textId="10D0D227"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w:t>
            </w:r>
          </w:p>
        </w:tc>
      </w:tr>
      <w:tr w:rsidR="00263C4D" w:rsidRPr="005045BF" w14:paraId="6B39E7DC"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0602626C" w14:textId="297C6AF5" w:rsidR="00263C4D" w:rsidRPr="005045BF" w:rsidRDefault="00263C4D" w:rsidP="00263C4D">
            <w:pPr>
              <w:spacing w:before="40" w:after="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Febrero</w:t>
            </w:r>
          </w:p>
        </w:tc>
        <w:tc>
          <w:tcPr>
            <w:tcW w:w="1396" w:type="dxa"/>
            <w:vAlign w:val="center"/>
            <w:hideMark/>
          </w:tcPr>
          <w:p w14:paraId="24868388" w14:textId="3D18BCE9"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17%</w:t>
            </w:r>
          </w:p>
        </w:tc>
        <w:tc>
          <w:tcPr>
            <w:tcW w:w="1276" w:type="dxa"/>
            <w:vAlign w:val="center"/>
            <w:hideMark/>
          </w:tcPr>
          <w:p w14:paraId="5770B805" w14:textId="0F0BD647"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15%</w:t>
            </w:r>
          </w:p>
        </w:tc>
        <w:tc>
          <w:tcPr>
            <w:tcW w:w="1134" w:type="dxa"/>
            <w:vAlign w:val="center"/>
            <w:hideMark/>
          </w:tcPr>
          <w:p w14:paraId="1A5079D3" w14:textId="21EFBC4A"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63%</w:t>
            </w:r>
          </w:p>
        </w:tc>
        <w:tc>
          <w:tcPr>
            <w:tcW w:w="1701" w:type="dxa"/>
            <w:vAlign w:val="center"/>
            <w:hideMark/>
          </w:tcPr>
          <w:p w14:paraId="1C5E5D9C" w14:textId="66732309"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56%</w:t>
            </w:r>
          </w:p>
        </w:tc>
      </w:tr>
      <w:tr w:rsidR="00263C4D" w:rsidRPr="005045BF" w14:paraId="1C1EAE6A" w14:textId="77777777" w:rsidTr="00DB416B">
        <w:trPr>
          <w:cantSplit/>
          <w:jc w:val="center"/>
        </w:trPr>
        <w:tc>
          <w:tcPr>
            <w:cnfStyle w:val="001000000000" w:firstRow="0" w:lastRow="0" w:firstColumn="1" w:lastColumn="0" w:oddVBand="0" w:evenVBand="0" w:oddHBand="0" w:evenHBand="0" w:firstRowFirstColumn="0" w:firstRowLastColumn="0" w:lastRowFirstColumn="0" w:lastRowLastColumn="0"/>
            <w:tcW w:w="2852" w:type="dxa"/>
            <w:vAlign w:val="center"/>
            <w:hideMark/>
          </w:tcPr>
          <w:p w14:paraId="2780D9FC" w14:textId="16513B7C" w:rsidR="00263C4D" w:rsidRPr="005045BF" w:rsidRDefault="00263C4D" w:rsidP="00263C4D">
            <w:pPr>
              <w:spacing w:before="40" w:after="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Marzo</w:t>
            </w:r>
          </w:p>
        </w:tc>
        <w:tc>
          <w:tcPr>
            <w:tcW w:w="1396" w:type="dxa"/>
            <w:vAlign w:val="center"/>
            <w:hideMark/>
          </w:tcPr>
          <w:p w14:paraId="15376427" w14:textId="5272243A"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w:t>
            </w:r>
          </w:p>
        </w:tc>
        <w:tc>
          <w:tcPr>
            <w:tcW w:w="1276" w:type="dxa"/>
            <w:vAlign w:val="center"/>
            <w:hideMark/>
          </w:tcPr>
          <w:p w14:paraId="0909EA36" w14:textId="7BA1528E"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w:t>
            </w:r>
          </w:p>
        </w:tc>
        <w:tc>
          <w:tcPr>
            <w:tcW w:w="1134" w:type="dxa"/>
            <w:vAlign w:val="center"/>
            <w:hideMark/>
          </w:tcPr>
          <w:p w14:paraId="5C6ADC60" w14:textId="7E573045"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(50%)</w:t>
            </w:r>
          </w:p>
        </w:tc>
        <w:tc>
          <w:tcPr>
            <w:tcW w:w="1701" w:type="dxa"/>
            <w:vAlign w:val="center"/>
            <w:hideMark/>
          </w:tcPr>
          <w:p w14:paraId="0A954903" w14:textId="79BA4F20" w:rsidR="00263C4D" w:rsidRPr="005045BF" w:rsidRDefault="00263C4D" w:rsidP="00263C4D">
            <w:pPr>
              <w:spacing w:before="4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(50%)</w:t>
            </w:r>
          </w:p>
        </w:tc>
      </w:tr>
      <w:bookmarkEnd w:id="7"/>
    </w:tbl>
    <w:p w14:paraId="639339A2" w14:textId="2216F6E3" w:rsidR="0023238D" w:rsidRPr="005045BF" w:rsidRDefault="0023238D" w:rsidP="009A4703">
      <w:pPr>
        <w:jc w:val="both"/>
        <w:rPr>
          <w:rFonts w:ascii="Arial" w:hAnsi="Arial" w:cs="Arial"/>
          <w:sz w:val="22"/>
          <w:szCs w:val="22"/>
          <w:highlight w:val="yellow"/>
        </w:rPr>
      </w:pPr>
    </w:p>
    <w:p w14:paraId="660A1FAE" w14:textId="002915DF" w:rsidR="0023238D" w:rsidRPr="005045BF" w:rsidRDefault="0023238D" w:rsidP="0023238D">
      <w:pPr>
        <w:ind w:left="709"/>
        <w:jc w:val="both"/>
        <w:rPr>
          <w:rFonts w:ascii="Arial" w:hAnsi="Arial" w:cs="Arial"/>
          <w:sz w:val="22"/>
          <w:szCs w:val="22"/>
          <w:highlight w:val="yellow"/>
        </w:rPr>
      </w:pPr>
      <w:r w:rsidRPr="005045BF">
        <w:rPr>
          <w:rFonts w:ascii="Arial" w:hAnsi="Arial" w:cs="Arial"/>
          <w:noProof/>
          <w:sz w:val="22"/>
          <w:szCs w:val="22"/>
        </w:rPr>
        <w:drawing>
          <wp:inline distT="0" distB="0" distL="0" distR="0" wp14:anchorId="4338AC88" wp14:editId="41869699">
            <wp:extent cx="5314950" cy="2219931"/>
            <wp:effectExtent l="0" t="0" r="0" b="0"/>
            <wp:docPr id="25" name="Gráfico 25">
              <a:extLst xmlns:a="http://schemas.openxmlformats.org/drawingml/2006/main">
                <a:ext uri="{FF2B5EF4-FFF2-40B4-BE49-F238E27FC236}">
                  <a16:creationId xmlns:a16="http://schemas.microsoft.com/office/drawing/2014/main" id="{6FB7347C-7B22-4240-BFC7-0B4E5E19B1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1EF90399" w14:textId="21D7E84D" w:rsidR="002650B9" w:rsidRPr="005045BF" w:rsidRDefault="002650B9" w:rsidP="00283990">
      <w:pPr>
        <w:spacing w:before="100" w:beforeAutospacing="1" w:after="100" w:afterAutospacing="1"/>
        <w:jc w:val="both"/>
        <w:rPr>
          <w:rFonts w:ascii="Arial" w:hAnsi="Arial" w:cs="Arial"/>
          <w:sz w:val="22"/>
          <w:szCs w:val="22"/>
        </w:rPr>
      </w:pPr>
      <w:r w:rsidRPr="005045BF">
        <w:rPr>
          <w:rFonts w:ascii="Arial" w:hAnsi="Arial" w:cs="Arial"/>
          <w:sz w:val="22"/>
          <w:szCs w:val="22"/>
        </w:rPr>
        <w:lastRenderedPageBreak/>
        <w:t xml:space="preserve">En términos globales, el consumo en galones de combustible presentó </w:t>
      </w:r>
      <w:r w:rsidR="00092DB9" w:rsidRPr="005045BF">
        <w:rPr>
          <w:rFonts w:ascii="Arial" w:hAnsi="Arial" w:cs="Arial"/>
          <w:sz w:val="22"/>
          <w:szCs w:val="22"/>
        </w:rPr>
        <w:t>un</w:t>
      </w:r>
      <w:r w:rsidR="00C179D8" w:rsidRPr="005045BF">
        <w:rPr>
          <w:rFonts w:ascii="Arial" w:hAnsi="Arial" w:cs="Arial"/>
          <w:sz w:val="22"/>
          <w:szCs w:val="22"/>
        </w:rPr>
        <w:t xml:space="preserve">a reducción </w:t>
      </w:r>
      <w:r w:rsidR="00092DB9" w:rsidRPr="005045BF">
        <w:rPr>
          <w:rFonts w:ascii="Arial" w:hAnsi="Arial" w:cs="Arial"/>
          <w:sz w:val="22"/>
          <w:szCs w:val="22"/>
        </w:rPr>
        <w:t xml:space="preserve">del 9% para el </w:t>
      </w:r>
      <w:r w:rsidR="00C179D8" w:rsidRPr="005045BF">
        <w:rPr>
          <w:rFonts w:ascii="Arial" w:hAnsi="Arial" w:cs="Arial"/>
          <w:sz w:val="22"/>
          <w:szCs w:val="22"/>
        </w:rPr>
        <w:t xml:space="preserve">primer </w:t>
      </w:r>
      <w:r w:rsidR="00092DB9" w:rsidRPr="005045BF">
        <w:rPr>
          <w:rFonts w:ascii="Arial" w:hAnsi="Arial" w:cs="Arial"/>
          <w:sz w:val="22"/>
          <w:szCs w:val="22"/>
        </w:rPr>
        <w:t>trimestre de 20</w:t>
      </w:r>
      <w:r w:rsidR="00C179D8" w:rsidRPr="005045BF">
        <w:rPr>
          <w:rFonts w:ascii="Arial" w:hAnsi="Arial" w:cs="Arial"/>
          <w:sz w:val="22"/>
          <w:szCs w:val="22"/>
        </w:rPr>
        <w:t>20</w:t>
      </w:r>
      <w:r w:rsidR="00092DB9" w:rsidRPr="005045BF">
        <w:rPr>
          <w:rFonts w:ascii="Arial" w:hAnsi="Arial" w:cs="Arial"/>
          <w:sz w:val="22"/>
          <w:szCs w:val="22"/>
        </w:rPr>
        <w:t xml:space="preserve"> comparado con el mismo periodo de la vigencia 201</w:t>
      </w:r>
      <w:r w:rsidR="00F52968" w:rsidRPr="005045BF">
        <w:rPr>
          <w:rFonts w:ascii="Arial" w:hAnsi="Arial" w:cs="Arial"/>
          <w:sz w:val="22"/>
          <w:szCs w:val="22"/>
        </w:rPr>
        <w:t>9</w:t>
      </w:r>
      <w:r w:rsidR="00092DB9" w:rsidRPr="005045BF">
        <w:rPr>
          <w:rFonts w:ascii="Arial" w:hAnsi="Arial" w:cs="Arial"/>
          <w:sz w:val="22"/>
          <w:szCs w:val="22"/>
        </w:rPr>
        <w:t xml:space="preserve">. </w:t>
      </w:r>
    </w:p>
    <w:tbl>
      <w:tblPr>
        <w:tblW w:w="7078" w:type="dxa"/>
        <w:jc w:val="center"/>
        <w:tblLook w:val="04A0" w:firstRow="1" w:lastRow="0" w:firstColumn="1" w:lastColumn="0" w:noHBand="0" w:noVBand="1"/>
      </w:tblPr>
      <w:tblGrid>
        <w:gridCol w:w="1896"/>
        <w:gridCol w:w="1458"/>
        <w:gridCol w:w="1233"/>
        <w:gridCol w:w="1235"/>
        <w:gridCol w:w="1256"/>
      </w:tblGrid>
      <w:tr w:rsidR="002650B9" w:rsidRPr="005045BF" w14:paraId="33A7127F" w14:textId="77777777" w:rsidTr="00BD391B">
        <w:trPr>
          <w:trHeight w:val="540"/>
          <w:jc w:val="center"/>
        </w:trPr>
        <w:tc>
          <w:tcPr>
            <w:tcW w:w="0" w:type="auto"/>
            <w:vMerge w:val="restart"/>
            <w:tcBorders>
              <w:top w:val="single" w:sz="8" w:space="0" w:color="B8CCE4"/>
              <w:left w:val="single" w:sz="8" w:space="0" w:color="B8CCE4"/>
              <w:bottom w:val="nil"/>
              <w:right w:val="single" w:sz="8" w:space="0" w:color="B8CCE4"/>
            </w:tcBorders>
            <w:shd w:val="clear" w:color="000000" w:fill="4F81BD"/>
            <w:vAlign w:val="center"/>
            <w:hideMark/>
          </w:tcPr>
          <w:p w14:paraId="3A47943A" w14:textId="77777777" w:rsidR="002650B9" w:rsidRPr="00566B35" w:rsidRDefault="002650B9" w:rsidP="00D046DC">
            <w:pPr>
              <w:spacing w:before="60" w:after="80"/>
              <w:jc w:val="center"/>
              <w:rPr>
                <w:rFonts w:ascii="Arial" w:hAnsi="Arial" w:cs="Arial"/>
                <w:b/>
                <w:bCs/>
                <w:color w:val="FFFFFF"/>
                <w:sz w:val="20"/>
                <w:szCs w:val="20"/>
                <w:lang w:eastAsia="en-US"/>
              </w:rPr>
            </w:pPr>
            <w:r w:rsidRPr="00566B35">
              <w:rPr>
                <w:rFonts w:ascii="Arial" w:hAnsi="Arial" w:cs="Arial"/>
                <w:b/>
                <w:bCs/>
                <w:color w:val="FFFFFF"/>
                <w:sz w:val="20"/>
                <w:szCs w:val="20"/>
                <w:lang w:eastAsia="en-US"/>
              </w:rPr>
              <w:t>Gasolina y ACPM</w:t>
            </w:r>
          </w:p>
        </w:tc>
        <w:tc>
          <w:tcPr>
            <w:tcW w:w="0" w:type="auto"/>
            <w:gridSpan w:val="2"/>
            <w:tcBorders>
              <w:top w:val="single" w:sz="8" w:space="0" w:color="B8CCE4"/>
              <w:left w:val="nil"/>
              <w:bottom w:val="single" w:sz="12" w:space="0" w:color="95B3D7"/>
              <w:right w:val="single" w:sz="8" w:space="0" w:color="B8CCE4"/>
            </w:tcBorders>
            <w:shd w:val="clear" w:color="000000" w:fill="4F81BD"/>
            <w:vAlign w:val="center"/>
            <w:hideMark/>
          </w:tcPr>
          <w:p w14:paraId="54122BC1" w14:textId="77777777" w:rsidR="00073A3A" w:rsidRPr="00566B35" w:rsidRDefault="00B12494" w:rsidP="00D046DC">
            <w:pPr>
              <w:spacing w:before="60" w:after="80"/>
              <w:jc w:val="center"/>
              <w:rPr>
                <w:rFonts w:ascii="Arial" w:hAnsi="Arial" w:cs="Arial"/>
                <w:b/>
                <w:bCs/>
                <w:color w:val="FFFFFF"/>
                <w:sz w:val="20"/>
                <w:szCs w:val="20"/>
                <w:lang w:eastAsia="en-US"/>
              </w:rPr>
            </w:pPr>
            <w:r w:rsidRPr="00566B35">
              <w:rPr>
                <w:rFonts w:ascii="Arial" w:hAnsi="Arial" w:cs="Arial"/>
                <w:b/>
                <w:bCs/>
                <w:color w:val="FFFFFF"/>
                <w:sz w:val="20"/>
                <w:szCs w:val="20"/>
                <w:lang w:eastAsia="en-US"/>
              </w:rPr>
              <w:t>Consumo en</w:t>
            </w:r>
            <w:r w:rsidR="002650B9" w:rsidRPr="00566B35">
              <w:rPr>
                <w:rFonts w:ascii="Arial" w:hAnsi="Arial" w:cs="Arial"/>
                <w:b/>
                <w:bCs/>
                <w:color w:val="FFFFFF"/>
                <w:sz w:val="20"/>
                <w:szCs w:val="20"/>
                <w:lang w:eastAsia="en-US"/>
              </w:rPr>
              <w:t xml:space="preserve"> </w:t>
            </w:r>
            <w:r w:rsidRPr="00566B35">
              <w:rPr>
                <w:rFonts w:ascii="Arial" w:hAnsi="Arial" w:cs="Arial"/>
                <w:b/>
                <w:bCs/>
                <w:color w:val="FFFFFF"/>
                <w:sz w:val="20"/>
                <w:szCs w:val="20"/>
                <w:lang w:eastAsia="en-US"/>
              </w:rPr>
              <w:t xml:space="preserve">Galones </w:t>
            </w:r>
          </w:p>
          <w:p w14:paraId="670E416C" w14:textId="7245E76F" w:rsidR="002650B9" w:rsidRPr="00566B35" w:rsidRDefault="00B12494" w:rsidP="00D046DC">
            <w:pPr>
              <w:spacing w:before="60" w:after="80"/>
              <w:jc w:val="center"/>
              <w:rPr>
                <w:rFonts w:ascii="Arial" w:hAnsi="Arial" w:cs="Arial"/>
                <w:b/>
                <w:bCs/>
                <w:color w:val="FFFFFF"/>
                <w:sz w:val="20"/>
                <w:szCs w:val="20"/>
                <w:lang w:eastAsia="en-US"/>
              </w:rPr>
            </w:pPr>
            <w:r w:rsidRPr="00566B35">
              <w:rPr>
                <w:rFonts w:ascii="Arial" w:hAnsi="Arial" w:cs="Arial"/>
                <w:b/>
                <w:bCs/>
                <w:color w:val="FFFFFF"/>
                <w:sz w:val="20"/>
                <w:szCs w:val="20"/>
                <w:lang w:eastAsia="en-US"/>
              </w:rPr>
              <w:t>I</w:t>
            </w:r>
            <w:r w:rsidR="002650B9" w:rsidRPr="00566B35">
              <w:rPr>
                <w:rFonts w:ascii="Arial" w:hAnsi="Arial" w:cs="Arial"/>
                <w:b/>
                <w:bCs/>
                <w:color w:val="FFFFFF"/>
                <w:sz w:val="20"/>
                <w:szCs w:val="20"/>
                <w:lang w:eastAsia="en-US"/>
              </w:rPr>
              <w:t xml:space="preserve"> Trimestre</w:t>
            </w:r>
          </w:p>
        </w:tc>
        <w:tc>
          <w:tcPr>
            <w:tcW w:w="2475" w:type="dxa"/>
            <w:gridSpan w:val="2"/>
            <w:tcBorders>
              <w:top w:val="single" w:sz="8" w:space="0" w:color="B8CCE4"/>
              <w:left w:val="nil"/>
              <w:bottom w:val="single" w:sz="12" w:space="0" w:color="95B3D7"/>
              <w:right w:val="single" w:sz="8" w:space="0" w:color="4F81BD"/>
            </w:tcBorders>
            <w:shd w:val="clear" w:color="000000" w:fill="4F81BD"/>
            <w:vAlign w:val="center"/>
            <w:hideMark/>
          </w:tcPr>
          <w:p w14:paraId="28F0A999" w14:textId="77777777" w:rsidR="002650B9" w:rsidRPr="00566B35" w:rsidRDefault="002650B9" w:rsidP="00D046DC">
            <w:pPr>
              <w:spacing w:before="60" w:after="80"/>
              <w:jc w:val="center"/>
              <w:rPr>
                <w:rFonts w:ascii="Arial" w:hAnsi="Arial" w:cs="Arial"/>
                <w:b/>
                <w:bCs/>
                <w:color w:val="FFFFFF"/>
                <w:sz w:val="20"/>
                <w:szCs w:val="20"/>
                <w:lang w:eastAsia="en-US"/>
              </w:rPr>
            </w:pPr>
            <w:r w:rsidRPr="00566B35">
              <w:rPr>
                <w:rFonts w:ascii="Arial" w:hAnsi="Arial" w:cs="Arial"/>
                <w:b/>
                <w:bCs/>
                <w:color w:val="FFFFFF"/>
                <w:sz w:val="20"/>
                <w:szCs w:val="20"/>
                <w:lang w:eastAsia="en-US"/>
              </w:rPr>
              <w:t xml:space="preserve">Variaciones </w:t>
            </w:r>
          </w:p>
        </w:tc>
      </w:tr>
      <w:tr w:rsidR="00C179D8" w:rsidRPr="005045BF" w14:paraId="554E6959" w14:textId="77777777" w:rsidTr="00BD391B">
        <w:trPr>
          <w:trHeight w:val="510"/>
          <w:jc w:val="center"/>
        </w:trPr>
        <w:tc>
          <w:tcPr>
            <w:tcW w:w="0" w:type="auto"/>
            <w:vMerge/>
            <w:tcBorders>
              <w:top w:val="single" w:sz="8" w:space="0" w:color="B8CCE4"/>
              <w:left w:val="single" w:sz="8" w:space="0" w:color="B8CCE4"/>
              <w:right w:val="single" w:sz="8" w:space="0" w:color="B8CCE4"/>
            </w:tcBorders>
            <w:vAlign w:val="center"/>
            <w:hideMark/>
          </w:tcPr>
          <w:p w14:paraId="2B7D69A8" w14:textId="77777777" w:rsidR="002650B9" w:rsidRPr="005045BF" w:rsidRDefault="002650B9" w:rsidP="00D046DC">
            <w:pPr>
              <w:spacing w:before="60" w:after="80"/>
              <w:rPr>
                <w:rFonts w:ascii="Arial" w:hAnsi="Arial" w:cs="Arial"/>
                <w:color w:val="FFFFFF"/>
                <w:sz w:val="20"/>
                <w:szCs w:val="20"/>
                <w:lang w:eastAsia="en-US"/>
              </w:rPr>
            </w:pPr>
          </w:p>
        </w:tc>
        <w:tc>
          <w:tcPr>
            <w:tcW w:w="0" w:type="auto"/>
            <w:tcBorders>
              <w:top w:val="nil"/>
              <w:left w:val="nil"/>
              <w:right w:val="single" w:sz="8" w:space="0" w:color="B8CCE4"/>
            </w:tcBorders>
            <w:shd w:val="clear" w:color="000000" w:fill="4F81BD"/>
            <w:vAlign w:val="center"/>
            <w:hideMark/>
          </w:tcPr>
          <w:p w14:paraId="054B0B81" w14:textId="1CFB47A4" w:rsidR="002650B9" w:rsidRPr="005045BF" w:rsidRDefault="002650B9"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lang w:eastAsia="en-US"/>
              </w:rPr>
              <w:t>20</w:t>
            </w:r>
            <w:r w:rsidR="00B03711" w:rsidRPr="005045BF">
              <w:rPr>
                <w:rFonts w:ascii="Arial" w:hAnsi="Arial" w:cs="Arial"/>
                <w:b/>
                <w:bCs/>
                <w:color w:val="FFFFFF"/>
                <w:sz w:val="20"/>
                <w:szCs w:val="20"/>
                <w:lang w:eastAsia="en-US"/>
              </w:rPr>
              <w:t>20</w:t>
            </w:r>
          </w:p>
        </w:tc>
        <w:tc>
          <w:tcPr>
            <w:tcW w:w="0" w:type="auto"/>
            <w:tcBorders>
              <w:top w:val="nil"/>
              <w:left w:val="nil"/>
              <w:right w:val="single" w:sz="8" w:space="0" w:color="B8CCE4"/>
            </w:tcBorders>
            <w:shd w:val="clear" w:color="000000" w:fill="4F81BD"/>
            <w:vAlign w:val="center"/>
            <w:hideMark/>
          </w:tcPr>
          <w:p w14:paraId="2B05138E" w14:textId="41F5856D" w:rsidR="002650B9" w:rsidRPr="005045BF" w:rsidRDefault="002650B9"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lang w:eastAsia="en-US"/>
              </w:rPr>
              <w:t>201</w:t>
            </w:r>
            <w:r w:rsidR="00B03711" w:rsidRPr="005045BF">
              <w:rPr>
                <w:rFonts w:ascii="Arial" w:hAnsi="Arial" w:cs="Arial"/>
                <w:b/>
                <w:bCs/>
                <w:color w:val="FFFFFF"/>
                <w:sz w:val="20"/>
                <w:szCs w:val="20"/>
                <w:lang w:eastAsia="en-US"/>
              </w:rPr>
              <w:t>9</w:t>
            </w:r>
          </w:p>
        </w:tc>
        <w:tc>
          <w:tcPr>
            <w:tcW w:w="0" w:type="auto"/>
            <w:tcBorders>
              <w:top w:val="nil"/>
              <w:left w:val="nil"/>
              <w:right w:val="single" w:sz="8" w:space="0" w:color="B8CCE4"/>
            </w:tcBorders>
            <w:shd w:val="clear" w:color="000000" w:fill="4F81BD"/>
            <w:vAlign w:val="center"/>
            <w:hideMark/>
          </w:tcPr>
          <w:p w14:paraId="7CCBF132" w14:textId="77777777" w:rsidR="002650B9" w:rsidRPr="005045BF" w:rsidRDefault="002650B9"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lang w:eastAsia="en-US"/>
              </w:rPr>
              <w:t>Cantidad</w:t>
            </w:r>
          </w:p>
        </w:tc>
        <w:tc>
          <w:tcPr>
            <w:tcW w:w="1104" w:type="dxa"/>
            <w:tcBorders>
              <w:top w:val="nil"/>
              <w:left w:val="nil"/>
              <w:right w:val="single" w:sz="8" w:space="0" w:color="4F81BD"/>
            </w:tcBorders>
            <w:shd w:val="clear" w:color="000000" w:fill="4F81BD"/>
            <w:vAlign w:val="center"/>
            <w:hideMark/>
          </w:tcPr>
          <w:p w14:paraId="36F0F75D" w14:textId="77777777" w:rsidR="002650B9" w:rsidRPr="005045BF" w:rsidRDefault="002650B9"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lang w:eastAsia="en-US"/>
              </w:rPr>
              <w:t>%</w:t>
            </w:r>
          </w:p>
        </w:tc>
      </w:tr>
      <w:tr w:rsidR="00BD391B" w:rsidRPr="005045BF" w14:paraId="31E1A385" w14:textId="77777777" w:rsidTr="00BD391B">
        <w:trPr>
          <w:trHeight w:val="315"/>
          <w:jc w:val="center"/>
        </w:trPr>
        <w:tc>
          <w:tcPr>
            <w:tcW w:w="0" w:type="auto"/>
            <w:tcBorders>
              <w:top w:val="nil"/>
            </w:tcBorders>
            <w:shd w:val="clear" w:color="auto" w:fill="auto"/>
            <w:vAlign w:val="center"/>
            <w:hideMark/>
          </w:tcPr>
          <w:p w14:paraId="3C2C6EDF" w14:textId="789F1C23" w:rsidR="00BD391B" w:rsidRPr="005045BF" w:rsidRDefault="00BD391B" w:rsidP="00D046DC">
            <w:pPr>
              <w:spacing w:before="60" w:after="80"/>
              <w:jc w:val="center"/>
              <w:rPr>
                <w:rFonts w:ascii="Arial" w:hAnsi="Arial" w:cs="Arial"/>
                <w:color w:val="000000"/>
                <w:sz w:val="20"/>
                <w:szCs w:val="20"/>
                <w:lang w:eastAsia="en-US"/>
              </w:rPr>
            </w:pPr>
            <w:r w:rsidRPr="005045BF">
              <w:rPr>
                <w:rFonts w:ascii="Arial" w:hAnsi="Arial" w:cs="Arial"/>
                <w:color w:val="000000"/>
                <w:sz w:val="20"/>
                <w:szCs w:val="20"/>
                <w:lang w:eastAsia="en-US"/>
              </w:rPr>
              <w:t xml:space="preserve">Enero </w:t>
            </w:r>
          </w:p>
        </w:tc>
        <w:tc>
          <w:tcPr>
            <w:tcW w:w="0" w:type="auto"/>
            <w:tcBorders>
              <w:top w:val="nil"/>
            </w:tcBorders>
            <w:shd w:val="clear" w:color="auto" w:fill="auto"/>
            <w:vAlign w:val="center"/>
          </w:tcPr>
          <w:p w14:paraId="0FA63E4D" w14:textId="19FDB349"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1.076 </w:t>
            </w:r>
          </w:p>
        </w:tc>
        <w:tc>
          <w:tcPr>
            <w:tcW w:w="0" w:type="auto"/>
            <w:tcBorders>
              <w:top w:val="nil"/>
            </w:tcBorders>
            <w:shd w:val="clear" w:color="auto" w:fill="auto"/>
            <w:vAlign w:val="center"/>
          </w:tcPr>
          <w:p w14:paraId="77B0C8EA" w14:textId="3AE30150"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1.128 </w:t>
            </w:r>
          </w:p>
        </w:tc>
        <w:tc>
          <w:tcPr>
            <w:tcW w:w="0" w:type="auto"/>
            <w:tcBorders>
              <w:top w:val="nil"/>
            </w:tcBorders>
            <w:shd w:val="clear" w:color="auto" w:fill="auto"/>
            <w:vAlign w:val="center"/>
          </w:tcPr>
          <w:p w14:paraId="5418BB02" w14:textId="4A69B4D9"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(52)</w:t>
            </w:r>
          </w:p>
        </w:tc>
        <w:tc>
          <w:tcPr>
            <w:tcW w:w="1104" w:type="dxa"/>
            <w:tcBorders>
              <w:top w:val="nil"/>
              <w:right w:val="nil"/>
            </w:tcBorders>
            <w:shd w:val="clear" w:color="auto" w:fill="auto"/>
            <w:vAlign w:val="center"/>
          </w:tcPr>
          <w:p w14:paraId="53CB1B42" w14:textId="3ABAC1B8" w:rsidR="00BD391B" w:rsidRPr="005045BF" w:rsidRDefault="00BD391B" w:rsidP="00D046DC">
            <w:pPr>
              <w:spacing w:before="60" w:after="80"/>
              <w:jc w:val="center"/>
              <w:rPr>
                <w:rFonts w:ascii="Arial" w:hAnsi="Arial" w:cs="Arial"/>
                <w:b/>
                <w:bCs/>
                <w:color w:val="0F243E"/>
                <w:sz w:val="20"/>
                <w:szCs w:val="20"/>
                <w:lang w:eastAsia="en-US"/>
              </w:rPr>
            </w:pPr>
            <w:r w:rsidRPr="005045BF">
              <w:rPr>
                <w:rFonts w:ascii="Arial" w:hAnsi="Arial" w:cs="Arial"/>
                <w:b/>
                <w:bCs/>
                <w:color w:val="0F243E"/>
                <w:sz w:val="20"/>
                <w:szCs w:val="20"/>
              </w:rPr>
              <w:t>(5%)</w:t>
            </w:r>
          </w:p>
        </w:tc>
      </w:tr>
      <w:tr w:rsidR="00BD391B" w:rsidRPr="005045BF" w14:paraId="2F680775" w14:textId="77777777" w:rsidTr="00BD391B">
        <w:trPr>
          <w:trHeight w:val="300"/>
          <w:jc w:val="center"/>
        </w:trPr>
        <w:tc>
          <w:tcPr>
            <w:tcW w:w="0" w:type="auto"/>
            <w:tcBorders>
              <w:top w:val="nil"/>
            </w:tcBorders>
            <w:shd w:val="clear" w:color="auto" w:fill="auto"/>
            <w:vAlign w:val="center"/>
            <w:hideMark/>
          </w:tcPr>
          <w:p w14:paraId="384AF86A" w14:textId="31BE3F4D" w:rsidR="00BD391B" w:rsidRPr="005045BF" w:rsidRDefault="00BD391B" w:rsidP="00D046DC">
            <w:pPr>
              <w:spacing w:before="60" w:after="80"/>
              <w:jc w:val="center"/>
              <w:rPr>
                <w:rFonts w:ascii="Arial" w:hAnsi="Arial" w:cs="Arial"/>
                <w:color w:val="000000"/>
                <w:sz w:val="20"/>
                <w:szCs w:val="20"/>
                <w:lang w:eastAsia="en-US"/>
              </w:rPr>
            </w:pPr>
            <w:r w:rsidRPr="005045BF">
              <w:rPr>
                <w:rFonts w:ascii="Arial" w:hAnsi="Arial" w:cs="Arial"/>
                <w:color w:val="000000"/>
                <w:sz w:val="20"/>
                <w:szCs w:val="20"/>
                <w:lang w:eastAsia="en-US"/>
              </w:rPr>
              <w:t xml:space="preserve">Febrero </w:t>
            </w:r>
          </w:p>
        </w:tc>
        <w:tc>
          <w:tcPr>
            <w:tcW w:w="0" w:type="auto"/>
            <w:tcBorders>
              <w:top w:val="nil"/>
            </w:tcBorders>
            <w:shd w:val="clear" w:color="auto" w:fill="auto"/>
            <w:vAlign w:val="center"/>
          </w:tcPr>
          <w:p w14:paraId="2F28BED8" w14:textId="49FB05F3"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1.286 </w:t>
            </w:r>
          </w:p>
        </w:tc>
        <w:tc>
          <w:tcPr>
            <w:tcW w:w="0" w:type="auto"/>
            <w:tcBorders>
              <w:top w:val="nil"/>
            </w:tcBorders>
            <w:shd w:val="clear" w:color="auto" w:fill="auto"/>
            <w:vAlign w:val="center"/>
          </w:tcPr>
          <w:p w14:paraId="492E311F" w14:textId="6D616DE4"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1.019 </w:t>
            </w:r>
          </w:p>
        </w:tc>
        <w:tc>
          <w:tcPr>
            <w:tcW w:w="0" w:type="auto"/>
            <w:tcBorders>
              <w:top w:val="nil"/>
            </w:tcBorders>
            <w:shd w:val="clear" w:color="auto" w:fill="auto"/>
            <w:vAlign w:val="center"/>
          </w:tcPr>
          <w:p w14:paraId="0C1F4523" w14:textId="7952B3D6"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267</w:t>
            </w:r>
          </w:p>
        </w:tc>
        <w:tc>
          <w:tcPr>
            <w:tcW w:w="1104" w:type="dxa"/>
            <w:tcBorders>
              <w:top w:val="nil"/>
              <w:right w:val="nil"/>
            </w:tcBorders>
            <w:shd w:val="clear" w:color="auto" w:fill="auto"/>
            <w:vAlign w:val="center"/>
          </w:tcPr>
          <w:p w14:paraId="26ABFF25" w14:textId="5607210C" w:rsidR="00BD391B" w:rsidRPr="005045BF" w:rsidRDefault="00BD391B" w:rsidP="00D046DC">
            <w:pPr>
              <w:spacing w:before="60" w:after="80"/>
              <w:jc w:val="center"/>
              <w:rPr>
                <w:rFonts w:ascii="Arial" w:hAnsi="Arial" w:cs="Arial"/>
                <w:b/>
                <w:bCs/>
                <w:color w:val="0F243E"/>
                <w:sz w:val="20"/>
                <w:szCs w:val="20"/>
                <w:lang w:eastAsia="en-US"/>
              </w:rPr>
            </w:pPr>
            <w:r w:rsidRPr="005045BF">
              <w:rPr>
                <w:rFonts w:ascii="Arial" w:hAnsi="Arial" w:cs="Arial"/>
                <w:b/>
                <w:bCs/>
                <w:color w:val="0F243E"/>
                <w:sz w:val="20"/>
                <w:szCs w:val="20"/>
              </w:rPr>
              <w:t>26%</w:t>
            </w:r>
          </w:p>
        </w:tc>
      </w:tr>
      <w:tr w:rsidR="00BD391B" w:rsidRPr="005045BF" w14:paraId="373A1594" w14:textId="77777777" w:rsidTr="00BD391B">
        <w:trPr>
          <w:trHeight w:val="315"/>
          <w:jc w:val="center"/>
        </w:trPr>
        <w:tc>
          <w:tcPr>
            <w:tcW w:w="0" w:type="auto"/>
            <w:tcBorders>
              <w:top w:val="nil"/>
            </w:tcBorders>
            <w:shd w:val="clear" w:color="auto" w:fill="auto"/>
            <w:vAlign w:val="center"/>
            <w:hideMark/>
          </w:tcPr>
          <w:p w14:paraId="44F2E540" w14:textId="1420A7D1" w:rsidR="00BD391B" w:rsidRPr="005045BF" w:rsidRDefault="00BD391B" w:rsidP="00D046DC">
            <w:pPr>
              <w:spacing w:before="60" w:after="80"/>
              <w:jc w:val="center"/>
              <w:rPr>
                <w:rFonts w:ascii="Arial" w:hAnsi="Arial" w:cs="Arial"/>
                <w:color w:val="000000"/>
                <w:sz w:val="20"/>
                <w:szCs w:val="20"/>
                <w:lang w:eastAsia="en-US"/>
              </w:rPr>
            </w:pPr>
            <w:r w:rsidRPr="005045BF">
              <w:rPr>
                <w:rFonts w:ascii="Arial" w:hAnsi="Arial" w:cs="Arial"/>
                <w:color w:val="000000"/>
                <w:sz w:val="20"/>
                <w:szCs w:val="20"/>
                <w:lang w:eastAsia="en-US"/>
              </w:rPr>
              <w:t xml:space="preserve">Marzo </w:t>
            </w:r>
          </w:p>
        </w:tc>
        <w:tc>
          <w:tcPr>
            <w:tcW w:w="0" w:type="auto"/>
            <w:tcBorders>
              <w:top w:val="nil"/>
            </w:tcBorders>
            <w:shd w:val="clear" w:color="auto" w:fill="auto"/>
            <w:vAlign w:val="center"/>
          </w:tcPr>
          <w:p w14:paraId="3551A89C" w14:textId="0CEEEB73"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868 </w:t>
            </w:r>
          </w:p>
        </w:tc>
        <w:tc>
          <w:tcPr>
            <w:tcW w:w="0" w:type="auto"/>
            <w:tcBorders>
              <w:top w:val="nil"/>
            </w:tcBorders>
            <w:shd w:val="clear" w:color="auto" w:fill="auto"/>
            <w:vAlign w:val="center"/>
          </w:tcPr>
          <w:p w14:paraId="18BE32C7" w14:textId="463E0885"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 xml:space="preserve">         1.394 </w:t>
            </w:r>
          </w:p>
        </w:tc>
        <w:tc>
          <w:tcPr>
            <w:tcW w:w="0" w:type="auto"/>
            <w:tcBorders>
              <w:top w:val="nil"/>
            </w:tcBorders>
            <w:shd w:val="clear" w:color="auto" w:fill="auto"/>
            <w:vAlign w:val="center"/>
          </w:tcPr>
          <w:p w14:paraId="53AEC86B" w14:textId="04A25654" w:rsidR="00BD391B" w:rsidRPr="005045BF" w:rsidRDefault="00BD391B" w:rsidP="00D046DC">
            <w:pPr>
              <w:spacing w:before="60" w:after="80"/>
              <w:jc w:val="center"/>
              <w:rPr>
                <w:rFonts w:ascii="Arial" w:hAnsi="Arial" w:cs="Arial"/>
                <w:color w:val="0F243E"/>
                <w:sz w:val="20"/>
                <w:szCs w:val="20"/>
                <w:lang w:eastAsia="en-US"/>
              </w:rPr>
            </w:pPr>
            <w:r w:rsidRPr="005045BF">
              <w:rPr>
                <w:rFonts w:ascii="Arial" w:hAnsi="Arial" w:cs="Arial"/>
                <w:color w:val="0F243E"/>
                <w:sz w:val="20"/>
                <w:szCs w:val="20"/>
              </w:rPr>
              <w:t>(526)</w:t>
            </w:r>
          </w:p>
        </w:tc>
        <w:tc>
          <w:tcPr>
            <w:tcW w:w="1104" w:type="dxa"/>
            <w:tcBorders>
              <w:top w:val="nil"/>
              <w:right w:val="nil"/>
            </w:tcBorders>
            <w:shd w:val="clear" w:color="auto" w:fill="auto"/>
            <w:vAlign w:val="center"/>
          </w:tcPr>
          <w:p w14:paraId="734B9FB0" w14:textId="6118A275" w:rsidR="00BD391B" w:rsidRPr="005045BF" w:rsidRDefault="00BD391B" w:rsidP="00D046DC">
            <w:pPr>
              <w:spacing w:before="60" w:after="80"/>
              <w:jc w:val="center"/>
              <w:rPr>
                <w:rFonts w:ascii="Arial" w:hAnsi="Arial" w:cs="Arial"/>
                <w:b/>
                <w:bCs/>
                <w:color w:val="0F243E"/>
                <w:sz w:val="20"/>
                <w:szCs w:val="20"/>
                <w:lang w:eastAsia="en-US"/>
              </w:rPr>
            </w:pPr>
            <w:r w:rsidRPr="005045BF">
              <w:rPr>
                <w:rFonts w:ascii="Arial" w:hAnsi="Arial" w:cs="Arial"/>
                <w:b/>
                <w:bCs/>
                <w:color w:val="0F243E"/>
                <w:sz w:val="20"/>
                <w:szCs w:val="20"/>
              </w:rPr>
              <w:t>(38%)</w:t>
            </w:r>
          </w:p>
        </w:tc>
      </w:tr>
      <w:tr w:rsidR="00BD391B" w:rsidRPr="005045BF" w14:paraId="49E2609E" w14:textId="77777777" w:rsidTr="00BD391B">
        <w:trPr>
          <w:trHeight w:val="300"/>
          <w:jc w:val="center"/>
        </w:trPr>
        <w:tc>
          <w:tcPr>
            <w:tcW w:w="0" w:type="auto"/>
            <w:tcBorders>
              <w:left w:val="nil"/>
              <w:bottom w:val="nil"/>
              <w:right w:val="nil"/>
            </w:tcBorders>
            <w:shd w:val="clear" w:color="000000" w:fill="4F81BD"/>
            <w:vAlign w:val="center"/>
            <w:hideMark/>
          </w:tcPr>
          <w:p w14:paraId="4A5AA54F" w14:textId="77777777" w:rsidR="00BD391B" w:rsidRPr="005045BF" w:rsidRDefault="00BD391B"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lang w:eastAsia="en-US"/>
              </w:rPr>
              <w:t>Total</w:t>
            </w:r>
          </w:p>
        </w:tc>
        <w:tc>
          <w:tcPr>
            <w:tcW w:w="0" w:type="auto"/>
            <w:tcBorders>
              <w:left w:val="nil"/>
              <w:bottom w:val="nil"/>
              <w:right w:val="nil"/>
            </w:tcBorders>
            <w:shd w:val="clear" w:color="000000" w:fill="4F81BD"/>
            <w:vAlign w:val="center"/>
          </w:tcPr>
          <w:p w14:paraId="128499AD" w14:textId="70BEA49A" w:rsidR="00BD391B" w:rsidRPr="005045BF" w:rsidRDefault="00BD391B"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rPr>
              <w:t xml:space="preserve">             3.230 </w:t>
            </w:r>
          </w:p>
        </w:tc>
        <w:tc>
          <w:tcPr>
            <w:tcW w:w="0" w:type="auto"/>
            <w:tcBorders>
              <w:left w:val="nil"/>
              <w:bottom w:val="nil"/>
              <w:right w:val="nil"/>
            </w:tcBorders>
            <w:shd w:val="clear" w:color="000000" w:fill="4F81BD"/>
            <w:vAlign w:val="center"/>
          </w:tcPr>
          <w:p w14:paraId="04082A63" w14:textId="7380FBB3" w:rsidR="00BD391B" w:rsidRPr="005045BF" w:rsidRDefault="00BD391B"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rPr>
              <w:t xml:space="preserve">         3.541 </w:t>
            </w:r>
          </w:p>
        </w:tc>
        <w:tc>
          <w:tcPr>
            <w:tcW w:w="0" w:type="auto"/>
            <w:tcBorders>
              <w:left w:val="nil"/>
              <w:bottom w:val="nil"/>
              <w:right w:val="nil"/>
            </w:tcBorders>
            <w:shd w:val="clear" w:color="000000" w:fill="4F81BD"/>
            <w:vAlign w:val="center"/>
          </w:tcPr>
          <w:p w14:paraId="484ED5B5" w14:textId="62D68165" w:rsidR="00BD391B" w:rsidRPr="005045BF" w:rsidRDefault="00BD391B"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rPr>
              <w:t>(311)</w:t>
            </w:r>
          </w:p>
        </w:tc>
        <w:tc>
          <w:tcPr>
            <w:tcW w:w="1104" w:type="dxa"/>
            <w:tcBorders>
              <w:left w:val="nil"/>
              <w:bottom w:val="nil"/>
              <w:right w:val="nil"/>
            </w:tcBorders>
            <w:shd w:val="clear" w:color="000000" w:fill="4F81BD"/>
            <w:vAlign w:val="center"/>
          </w:tcPr>
          <w:p w14:paraId="13694E02" w14:textId="50BFABC1" w:rsidR="00BD391B" w:rsidRPr="005045BF" w:rsidRDefault="00BD391B" w:rsidP="00D046DC">
            <w:pPr>
              <w:spacing w:before="60" w:after="80"/>
              <w:jc w:val="center"/>
              <w:rPr>
                <w:rFonts w:ascii="Arial" w:hAnsi="Arial" w:cs="Arial"/>
                <w:b/>
                <w:bCs/>
                <w:color w:val="FFFFFF"/>
                <w:sz w:val="20"/>
                <w:szCs w:val="20"/>
                <w:lang w:eastAsia="en-US"/>
              </w:rPr>
            </w:pPr>
            <w:r w:rsidRPr="005045BF">
              <w:rPr>
                <w:rFonts w:ascii="Arial" w:hAnsi="Arial" w:cs="Arial"/>
                <w:b/>
                <w:bCs/>
                <w:color w:val="FFFFFF"/>
                <w:sz w:val="20"/>
                <w:szCs w:val="20"/>
              </w:rPr>
              <w:t>(9%)</w:t>
            </w:r>
          </w:p>
        </w:tc>
      </w:tr>
    </w:tbl>
    <w:p w14:paraId="736B9065" w14:textId="1E8F246B" w:rsidR="001F5D54" w:rsidRPr="005045BF" w:rsidRDefault="0076368F" w:rsidP="001F5D54">
      <w:pPr>
        <w:jc w:val="both"/>
        <w:rPr>
          <w:rFonts w:ascii="Arial" w:hAnsi="Arial" w:cs="Arial"/>
          <w:sz w:val="22"/>
          <w:szCs w:val="22"/>
        </w:rPr>
      </w:pPr>
      <w:r w:rsidRPr="005045BF">
        <w:rPr>
          <w:rFonts w:ascii="Arial" w:hAnsi="Arial" w:cs="Arial"/>
          <w:sz w:val="22"/>
          <w:szCs w:val="22"/>
        </w:rPr>
        <w:tab/>
        <w:t xml:space="preserve">          </w:t>
      </w:r>
    </w:p>
    <w:p w14:paraId="2113CBBF" w14:textId="008F5F44" w:rsidR="00665F45" w:rsidRPr="005045BF" w:rsidRDefault="00665F45" w:rsidP="001F5D54">
      <w:pPr>
        <w:jc w:val="both"/>
        <w:rPr>
          <w:rFonts w:ascii="Arial" w:hAnsi="Arial" w:cs="Arial"/>
          <w:sz w:val="22"/>
          <w:szCs w:val="22"/>
        </w:rPr>
      </w:pPr>
      <w:r w:rsidRPr="005045BF">
        <w:rPr>
          <w:rFonts w:ascii="Arial" w:hAnsi="Arial" w:cs="Arial"/>
          <w:sz w:val="22"/>
          <w:szCs w:val="22"/>
        </w:rPr>
        <w:t xml:space="preserve">En conclusión, para el </w:t>
      </w:r>
      <w:r w:rsidR="00B96C22" w:rsidRPr="005045BF">
        <w:rPr>
          <w:rFonts w:ascii="Arial" w:hAnsi="Arial" w:cs="Arial"/>
          <w:sz w:val="22"/>
          <w:szCs w:val="22"/>
        </w:rPr>
        <w:t xml:space="preserve">primer </w:t>
      </w:r>
      <w:r w:rsidRPr="005045BF">
        <w:rPr>
          <w:rFonts w:ascii="Arial" w:hAnsi="Arial" w:cs="Arial"/>
          <w:sz w:val="22"/>
          <w:szCs w:val="22"/>
        </w:rPr>
        <w:t>trimestre de 20</w:t>
      </w:r>
      <w:r w:rsidR="00B96C22" w:rsidRPr="005045BF">
        <w:rPr>
          <w:rFonts w:ascii="Arial" w:hAnsi="Arial" w:cs="Arial"/>
          <w:sz w:val="22"/>
          <w:szCs w:val="22"/>
        </w:rPr>
        <w:t>20</w:t>
      </w:r>
      <w:r w:rsidRPr="005045BF">
        <w:rPr>
          <w:rFonts w:ascii="Arial" w:hAnsi="Arial" w:cs="Arial"/>
          <w:sz w:val="22"/>
          <w:szCs w:val="22"/>
        </w:rPr>
        <w:t xml:space="preserve"> comparado con el mismo periodo del año 201</w:t>
      </w:r>
      <w:r w:rsidR="00153F45" w:rsidRPr="005045BF">
        <w:rPr>
          <w:rFonts w:ascii="Arial" w:hAnsi="Arial" w:cs="Arial"/>
          <w:sz w:val="22"/>
          <w:szCs w:val="22"/>
        </w:rPr>
        <w:t>9</w:t>
      </w:r>
      <w:r w:rsidRPr="005045BF">
        <w:rPr>
          <w:rFonts w:ascii="Arial" w:hAnsi="Arial" w:cs="Arial"/>
          <w:sz w:val="22"/>
          <w:szCs w:val="22"/>
        </w:rPr>
        <w:t>,</w:t>
      </w:r>
      <w:r w:rsidR="001800D1" w:rsidRPr="005045BF">
        <w:rPr>
          <w:rFonts w:ascii="Arial" w:hAnsi="Arial" w:cs="Arial"/>
          <w:sz w:val="22"/>
          <w:szCs w:val="22"/>
        </w:rPr>
        <w:t xml:space="preserve"> </w:t>
      </w:r>
      <w:r w:rsidR="00153F45" w:rsidRPr="005045BF">
        <w:rPr>
          <w:rFonts w:ascii="Arial" w:hAnsi="Arial" w:cs="Arial"/>
          <w:sz w:val="22"/>
          <w:szCs w:val="22"/>
        </w:rPr>
        <w:t xml:space="preserve">la disminución </w:t>
      </w:r>
      <w:r w:rsidRPr="005045BF">
        <w:rPr>
          <w:rFonts w:ascii="Arial" w:hAnsi="Arial" w:cs="Arial"/>
          <w:sz w:val="22"/>
          <w:szCs w:val="22"/>
        </w:rPr>
        <w:t>presentad</w:t>
      </w:r>
      <w:r w:rsidR="00153F45" w:rsidRPr="005045BF">
        <w:rPr>
          <w:rFonts w:ascii="Arial" w:hAnsi="Arial" w:cs="Arial"/>
          <w:sz w:val="22"/>
          <w:szCs w:val="22"/>
        </w:rPr>
        <w:t>a</w:t>
      </w:r>
      <w:r w:rsidRPr="005045BF">
        <w:rPr>
          <w:rFonts w:ascii="Arial" w:hAnsi="Arial" w:cs="Arial"/>
          <w:sz w:val="22"/>
          <w:szCs w:val="22"/>
        </w:rPr>
        <w:t xml:space="preserve"> en el valor del gasto por concepto de combustible [</w:t>
      </w:r>
      <w:r w:rsidR="00153F45" w:rsidRPr="005045BF">
        <w:rPr>
          <w:rFonts w:ascii="Arial" w:hAnsi="Arial" w:cs="Arial"/>
          <w:sz w:val="22"/>
          <w:szCs w:val="22"/>
        </w:rPr>
        <w:t>7</w:t>
      </w:r>
      <w:r w:rsidRPr="005045BF">
        <w:rPr>
          <w:rFonts w:ascii="Arial" w:hAnsi="Arial" w:cs="Arial"/>
          <w:sz w:val="22"/>
          <w:szCs w:val="22"/>
        </w:rPr>
        <w:t>%]</w:t>
      </w:r>
      <w:r w:rsidR="001800D1" w:rsidRPr="005045BF">
        <w:rPr>
          <w:rFonts w:ascii="Arial" w:hAnsi="Arial" w:cs="Arial"/>
          <w:sz w:val="22"/>
          <w:szCs w:val="22"/>
        </w:rPr>
        <w:t xml:space="preserve"> </w:t>
      </w:r>
      <w:r w:rsidR="00153F45" w:rsidRPr="005045BF">
        <w:rPr>
          <w:rFonts w:ascii="Arial" w:hAnsi="Arial" w:cs="Arial"/>
          <w:sz w:val="22"/>
          <w:szCs w:val="22"/>
        </w:rPr>
        <w:t xml:space="preserve">está relacionada con la reducción del consumo </w:t>
      </w:r>
      <w:r w:rsidRPr="005045BF">
        <w:rPr>
          <w:rFonts w:ascii="Arial" w:hAnsi="Arial" w:cs="Arial"/>
          <w:sz w:val="22"/>
          <w:szCs w:val="22"/>
        </w:rPr>
        <w:t>en número de galones de gasolina y ACPM [9%]</w:t>
      </w:r>
      <w:r w:rsidR="00FF62CE" w:rsidRPr="005045BF">
        <w:rPr>
          <w:rFonts w:ascii="Arial" w:hAnsi="Arial" w:cs="Arial"/>
          <w:sz w:val="22"/>
          <w:szCs w:val="22"/>
        </w:rPr>
        <w:t xml:space="preserve">. </w:t>
      </w:r>
    </w:p>
    <w:p w14:paraId="17466ED3" w14:textId="77777777" w:rsidR="001F5D54" w:rsidRPr="005045BF" w:rsidRDefault="001F5D54" w:rsidP="00D046DC">
      <w:pPr>
        <w:spacing w:line="168" w:lineRule="auto"/>
        <w:jc w:val="both"/>
        <w:rPr>
          <w:rFonts w:ascii="Arial" w:hAnsi="Arial" w:cs="Arial"/>
          <w:sz w:val="22"/>
          <w:szCs w:val="22"/>
        </w:rPr>
      </w:pPr>
    </w:p>
    <w:p w14:paraId="53AE5333" w14:textId="3C915F55" w:rsidR="007B3C6A" w:rsidRPr="005045BF" w:rsidRDefault="0005612D" w:rsidP="001F5D54">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Respecto a las variaciones negativas presentadas para el periodo de marzo, tanto para el gasto de combustible como la cantidad de </w:t>
      </w:r>
      <w:r w:rsidR="00667408" w:rsidRPr="005045BF">
        <w:rPr>
          <w:rFonts w:ascii="Arial" w:hAnsi="Arial" w:cs="Arial"/>
          <w:color w:val="000000" w:themeColor="text1"/>
          <w:sz w:val="22"/>
          <w:szCs w:val="22"/>
        </w:rPr>
        <w:t xml:space="preserve">galones, </w:t>
      </w:r>
      <w:r w:rsidR="00226D10" w:rsidRPr="005045BF">
        <w:rPr>
          <w:rFonts w:ascii="Arial" w:hAnsi="Arial" w:cs="Arial"/>
          <w:color w:val="000000" w:themeColor="text1"/>
          <w:sz w:val="22"/>
          <w:szCs w:val="22"/>
        </w:rPr>
        <w:t xml:space="preserve">la Subdirección de Servicios informó que </w:t>
      </w:r>
      <w:r w:rsidRPr="005045BF">
        <w:rPr>
          <w:rFonts w:ascii="Arial" w:hAnsi="Arial" w:cs="Arial"/>
          <w:color w:val="000000" w:themeColor="text1"/>
          <w:sz w:val="22"/>
          <w:szCs w:val="22"/>
        </w:rPr>
        <w:t xml:space="preserve">dichas variaciones en parte obedecieron </w:t>
      </w:r>
      <w:r w:rsidR="00226D10" w:rsidRPr="005045BF">
        <w:rPr>
          <w:rFonts w:ascii="Arial" w:hAnsi="Arial" w:cs="Arial"/>
          <w:color w:val="000000" w:themeColor="text1"/>
          <w:sz w:val="22"/>
          <w:szCs w:val="22"/>
        </w:rPr>
        <w:t>a</w:t>
      </w:r>
      <w:r w:rsidR="007B3C6A" w:rsidRPr="005045BF">
        <w:rPr>
          <w:rFonts w:ascii="Arial" w:hAnsi="Arial" w:cs="Arial"/>
          <w:color w:val="000000" w:themeColor="text1"/>
          <w:sz w:val="22"/>
          <w:szCs w:val="22"/>
        </w:rPr>
        <w:t xml:space="preserve"> </w:t>
      </w:r>
      <w:r w:rsidR="007B3C6A" w:rsidRPr="005045BF">
        <w:rPr>
          <w:rFonts w:ascii="Arial" w:hAnsi="Arial" w:cs="Arial"/>
          <w:sz w:val="22"/>
          <w:szCs w:val="22"/>
        </w:rPr>
        <w:t>las medidas adoptadas por el Gobierno Nacional</w:t>
      </w:r>
      <w:r w:rsidR="00226D10" w:rsidRPr="005045BF">
        <w:rPr>
          <w:rFonts w:ascii="Arial" w:hAnsi="Arial" w:cs="Arial"/>
          <w:sz w:val="22"/>
          <w:szCs w:val="22"/>
        </w:rPr>
        <w:t xml:space="preserve"> -</w:t>
      </w:r>
      <w:r w:rsidR="007B3C6A" w:rsidRPr="005045BF">
        <w:rPr>
          <w:rFonts w:ascii="Arial" w:hAnsi="Arial" w:cs="Arial"/>
          <w:sz w:val="22"/>
          <w:szCs w:val="22"/>
        </w:rPr>
        <w:t xml:space="preserve"> Ministerio de Minas y Energía mediante Resolución 40096 del 16 de marzo de 2020</w:t>
      </w:r>
      <w:r w:rsidR="003E5EB0">
        <w:rPr>
          <w:rFonts w:ascii="Arial" w:hAnsi="Arial" w:cs="Arial"/>
          <w:sz w:val="22"/>
          <w:szCs w:val="22"/>
        </w:rPr>
        <w:t xml:space="preserve"> </w:t>
      </w:r>
      <w:r w:rsidR="007B3C6A" w:rsidRPr="005045BF">
        <w:rPr>
          <w:rFonts w:ascii="Arial" w:hAnsi="Arial" w:cs="Arial"/>
          <w:sz w:val="22"/>
          <w:szCs w:val="22"/>
        </w:rPr>
        <w:t xml:space="preserve">dispuso la disminución de los precios del combustible a partir del 17 de marzo de 2020, medida que fue reglamentada por Colombia Compra Eficiente mediante comunicado dirigido a los Proveedores del Acuerdo Marco de Precios </w:t>
      </w:r>
      <w:r w:rsidR="003E5EB0">
        <w:rPr>
          <w:rFonts w:ascii="Arial" w:hAnsi="Arial" w:cs="Arial"/>
          <w:sz w:val="22"/>
          <w:szCs w:val="22"/>
        </w:rPr>
        <w:t xml:space="preserve">de </w:t>
      </w:r>
      <w:r w:rsidR="007B3C6A" w:rsidRPr="005045BF">
        <w:rPr>
          <w:rFonts w:ascii="Arial" w:hAnsi="Arial" w:cs="Arial"/>
          <w:sz w:val="22"/>
          <w:szCs w:val="22"/>
        </w:rPr>
        <w:t>Combustible Nacional CCE-715-1-AMP-2018, con el propósito de precisar la progresividad en la aplicación del nuevo precio de referencia.  Estas disposiciones fueron atendidas en su totalidad por el contratista Organización TERPEL S.A., el cual realizó la facturación del combustible según los nuevos precio</w:t>
      </w:r>
      <w:r w:rsidR="00226D10" w:rsidRPr="005045BF">
        <w:rPr>
          <w:rFonts w:ascii="Arial" w:hAnsi="Arial" w:cs="Arial"/>
          <w:sz w:val="22"/>
          <w:szCs w:val="22"/>
        </w:rPr>
        <w:t xml:space="preserve">s. </w:t>
      </w:r>
    </w:p>
    <w:p w14:paraId="51D3F3DC" w14:textId="77777777" w:rsidR="007B3C6A" w:rsidRPr="005045BF" w:rsidRDefault="007B3C6A" w:rsidP="00D046DC">
      <w:pPr>
        <w:spacing w:line="168" w:lineRule="auto"/>
        <w:jc w:val="both"/>
        <w:rPr>
          <w:rFonts w:ascii="Arial" w:hAnsi="Arial" w:cs="Arial"/>
          <w:color w:val="000000" w:themeColor="text1"/>
          <w:sz w:val="22"/>
          <w:szCs w:val="22"/>
        </w:rPr>
      </w:pPr>
    </w:p>
    <w:p w14:paraId="17C658E9" w14:textId="6D45E2A6" w:rsidR="00D34F20" w:rsidRPr="005045BF" w:rsidRDefault="0011170C" w:rsidP="001F5D54">
      <w:pPr>
        <w:jc w:val="both"/>
        <w:rPr>
          <w:rFonts w:ascii="Arial" w:hAnsi="Arial" w:cs="Arial"/>
          <w:sz w:val="22"/>
          <w:szCs w:val="22"/>
        </w:rPr>
      </w:pPr>
      <w:r w:rsidRPr="005045BF">
        <w:rPr>
          <w:rFonts w:ascii="Arial" w:hAnsi="Arial" w:cs="Arial"/>
          <w:sz w:val="22"/>
          <w:szCs w:val="22"/>
        </w:rPr>
        <w:t xml:space="preserve">Aunado a lo anterior, </w:t>
      </w:r>
      <w:r w:rsidR="00F96968" w:rsidRPr="005045BF">
        <w:rPr>
          <w:rFonts w:ascii="Arial" w:hAnsi="Arial" w:cs="Arial"/>
          <w:sz w:val="22"/>
          <w:szCs w:val="22"/>
        </w:rPr>
        <w:t xml:space="preserve">la Subdirección de </w:t>
      </w:r>
      <w:r w:rsidR="001F5D54" w:rsidRPr="005045BF">
        <w:rPr>
          <w:rFonts w:ascii="Arial" w:hAnsi="Arial" w:cs="Arial"/>
          <w:sz w:val="22"/>
          <w:szCs w:val="22"/>
        </w:rPr>
        <w:t xml:space="preserve">Servicios </w:t>
      </w:r>
      <w:r w:rsidR="00E26BAC" w:rsidRPr="005045BF">
        <w:rPr>
          <w:rFonts w:ascii="Arial" w:hAnsi="Arial" w:cs="Arial"/>
          <w:sz w:val="22"/>
          <w:szCs w:val="22"/>
        </w:rPr>
        <w:t xml:space="preserve">controla el consumo de </w:t>
      </w:r>
      <w:r w:rsidR="006E710E" w:rsidRPr="005045BF">
        <w:rPr>
          <w:rFonts w:ascii="Arial" w:hAnsi="Arial" w:cs="Arial"/>
          <w:sz w:val="22"/>
          <w:szCs w:val="22"/>
        </w:rPr>
        <w:t xml:space="preserve">combustible </w:t>
      </w:r>
      <w:r w:rsidR="00E26BAC" w:rsidRPr="005045BF">
        <w:rPr>
          <w:rFonts w:ascii="Arial" w:hAnsi="Arial" w:cs="Arial"/>
          <w:sz w:val="22"/>
          <w:szCs w:val="22"/>
        </w:rPr>
        <w:t xml:space="preserve">mediante </w:t>
      </w:r>
      <w:r w:rsidR="00D34F20" w:rsidRPr="005045BF">
        <w:rPr>
          <w:rFonts w:ascii="Arial" w:hAnsi="Arial" w:cs="Arial"/>
          <w:sz w:val="22"/>
          <w:szCs w:val="22"/>
        </w:rPr>
        <w:t>el dispositivo</w:t>
      </w:r>
      <w:r w:rsidR="00AF3352" w:rsidRPr="005045BF">
        <w:rPr>
          <w:rFonts w:ascii="Arial" w:hAnsi="Arial" w:cs="Arial"/>
          <w:sz w:val="22"/>
          <w:szCs w:val="22"/>
        </w:rPr>
        <w:t xml:space="preserve"> [CHIP]</w:t>
      </w:r>
      <w:r w:rsidR="00D34F20" w:rsidRPr="005045BF">
        <w:rPr>
          <w:rFonts w:ascii="Arial" w:hAnsi="Arial" w:cs="Arial"/>
          <w:sz w:val="22"/>
          <w:szCs w:val="22"/>
        </w:rPr>
        <w:t xml:space="preserve"> que se encuentra instalado en cada vehículo y motocicleta que conforma el parque automotor de la Entidad y las camionetas de la Unidad Nacional de Protección asignadas al esquema de seguridad del Ministro y el </w:t>
      </w:r>
      <w:r w:rsidR="00010843" w:rsidRPr="005045BF">
        <w:rPr>
          <w:rFonts w:ascii="Arial" w:hAnsi="Arial" w:cs="Arial"/>
          <w:sz w:val="22"/>
          <w:szCs w:val="22"/>
        </w:rPr>
        <w:t>V</w:t>
      </w:r>
      <w:r w:rsidR="00D34F20" w:rsidRPr="005045BF">
        <w:rPr>
          <w:rFonts w:ascii="Arial" w:hAnsi="Arial" w:cs="Arial"/>
          <w:sz w:val="22"/>
          <w:szCs w:val="22"/>
        </w:rPr>
        <w:t>iceministro</w:t>
      </w:r>
      <w:r w:rsidR="001F5D54" w:rsidRPr="005045BF">
        <w:rPr>
          <w:rFonts w:ascii="Arial" w:hAnsi="Arial" w:cs="Arial"/>
          <w:sz w:val="22"/>
          <w:szCs w:val="22"/>
        </w:rPr>
        <w:t xml:space="preserve"> General</w:t>
      </w:r>
      <w:r w:rsidR="00D34F20" w:rsidRPr="005045BF">
        <w:rPr>
          <w:rFonts w:ascii="Arial" w:hAnsi="Arial" w:cs="Arial"/>
          <w:sz w:val="22"/>
          <w:szCs w:val="22"/>
        </w:rPr>
        <w:t xml:space="preserve">, </w:t>
      </w:r>
      <w:r w:rsidR="00AF3352" w:rsidRPr="005045BF">
        <w:rPr>
          <w:rFonts w:ascii="Arial" w:hAnsi="Arial" w:cs="Arial"/>
          <w:sz w:val="22"/>
          <w:szCs w:val="22"/>
        </w:rPr>
        <w:t xml:space="preserve">los cuales </w:t>
      </w:r>
      <w:r w:rsidR="00D34F20" w:rsidRPr="005045BF">
        <w:rPr>
          <w:rFonts w:ascii="Arial" w:hAnsi="Arial" w:cs="Arial"/>
          <w:sz w:val="22"/>
          <w:szCs w:val="22"/>
        </w:rPr>
        <w:t xml:space="preserve"> est</w:t>
      </w:r>
      <w:r w:rsidR="005A2DC3" w:rsidRPr="005045BF">
        <w:rPr>
          <w:rFonts w:ascii="Arial" w:hAnsi="Arial" w:cs="Arial"/>
          <w:sz w:val="22"/>
          <w:szCs w:val="22"/>
        </w:rPr>
        <w:t>á</w:t>
      </w:r>
      <w:r w:rsidR="00AF3352" w:rsidRPr="005045BF">
        <w:rPr>
          <w:rFonts w:ascii="Arial" w:hAnsi="Arial" w:cs="Arial"/>
          <w:sz w:val="22"/>
          <w:szCs w:val="22"/>
        </w:rPr>
        <w:t>n</w:t>
      </w:r>
      <w:r w:rsidR="00D34F20" w:rsidRPr="005045BF">
        <w:rPr>
          <w:rFonts w:ascii="Arial" w:hAnsi="Arial" w:cs="Arial"/>
          <w:sz w:val="22"/>
          <w:szCs w:val="22"/>
        </w:rPr>
        <w:t xml:space="preserve"> parametrizado</w:t>
      </w:r>
      <w:r w:rsidR="00AF3352" w:rsidRPr="005045BF">
        <w:rPr>
          <w:rFonts w:ascii="Arial" w:hAnsi="Arial" w:cs="Arial"/>
          <w:sz w:val="22"/>
          <w:szCs w:val="22"/>
        </w:rPr>
        <w:t>s</w:t>
      </w:r>
      <w:r w:rsidR="00D34F20" w:rsidRPr="005045BF">
        <w:rPr>
          <w:rFonts w:ascii="Arial" w:hAnsi="Arial" w:cs="Arial"/>
          <w:sz w:val="22"/>
          <w:szCs w:val="22"/>
        </w:rPr>
        <w:t xml:space="preserve"> para llevar el registro de los consumos de gasolina y ACPM, con fecha, día, hora y kilometraje, dicho dispositivo es suministrado por el contratista, de este modo, cuando el proveedor del servicio contratado envía el informe de ejecución mensual detallado con los consumos por placa</w:t>
      </w:r>
      <w:r w:rsidR="001561A5">
        <w:rPr>
          <w:rFonts w:ascii="Arial" w:hAnsi="Arial" w:cs="Arial"/>
          <w:sz w:val="22"/>
          <w:szCs w:val="22"/>
        </w:rPr>
        <w:t>, lo anterior, se</w:t>
      </w:r>
      <w:r w:rsidR="00D34F20" w:rsidRPr="005045BF">
        <w:rPr>
          <w:rFonts w:ascii="Arial" w:hAnsi="Arial" w:cs="Arial"/>
          <w:sz w:val="22"/>
          <w:szCs w:val="22"/>
        </w:rPr>
        <w:t xml:space="preserve"> concilia con el ticket físico entregado por cada conductor. </w:t>
      </w:r>
    </w:p>
    <w:p w14:paraId="04605B13" w14:textId="7F92923C" w:rsidR="001F5D54" w:rsidRPr="005045BF" w:rsidRDefault="001F5D54" w:rsidP="00D046DC">
      <w:pPr>
        <w:spacing w:line="168" w:lineRule="auto"/>
        <w:jc w:val="both"/>
        <w:rPr>
          <w:rFonts w:ascii="Arial" w:hAnsi="Arial" w:cs="Arial"/>
          <w:sz w:val="22"/>
          <w:szCs w:val="22"/>
        </w:rPr>
      </w:pPr>
    </w:p>
    <w:p w14:paraId="3500F9B0" w14:textId="77777777" w:rsidR="001F5D54" w:rsidRPr="005045BF" w:rsidRDefault="001F5D54" w:rsidP="001F5D54">
      <w:pPr>
        <w:jc w:val="both"/>
        <w:rPr>
          <w:rFonts w:ascii="Arial" w:hAnsi="Arial" w:cs="Arial"/>
          <w:sz w:val="22"/>
          <w:szCs w:val="22"/>
        </w:rPr>
      </w:pPr>
    </w:p>
    <w:p w14:paraId="46918C8B" w14:textId="1C615593" w:rsidR="00DF6E6A" w:rsidRPr="005045BF" w:rsidRDefault="00E234F0" w:rsidP="00B83072">
      <w:pPr>
        <w:rPr>
          <w:rFonts w:ascii="Arial" w:hAnsi="Arial" w:cs="Arial"/>
          <w:b/>
          <w:sz w:val="22"/>
          <w:szCs w:val="22"/>
        </w:rPr>
      </w:pPr>
      <w:r w:rsidRPr="005045BF">
        <w:rPr>
          <w:rFonts w:ascii="Arial" w:hAnsi="Arial" w:cs="Arial"/>
          <w:b/>
          <w:sz w:val="22"/>
          <w:szCs w:val="22"/>
        </w:rPr>
        <w:t>5.3</w:t>
      </w:r>
      <w:r w:rsidR="00AA58AE" w:rsidRPr="005045BF">
        <w:rPr>
          <w:rFonts w:ascii="Arial" w:hAnsi="Arial" w:cs="Arial"/>
          <w:b/>
          <w:sz w:val="22"/>
          <w:szCs w:val="22"/>
        </w:rPr>
        <w:t xml:space="preserve">. </w:t>
      </w:r>
      <w:r w:rsidRPr="005045BF">
        <w:rPr>
          <w:rFonts w:ascii="Arial" w:hAnsi="Arial" w:cs="Arial"/>
          <w:b/>
          <w:sz w:val="22"/>
          <w:szCs w:val="22"/>
        </w:rPr>
        <w:t xml:space="preserve"> </w:t>
      </w:r>
      <w:r w:rsidR="00FB4B9D" w:rsidRPr="005045BF">
        <w:rPr>
          <w:rFonts w:ascii="Arial" w:hAnsi="Arial" w:cs="Arial"/>
          <w:b/>
          <w:sz w:val="22"/>
          <w:szCs w:val="22"/>
        </w:rPr>
        <w:t>GARAJES Y/O PARQUEADEROS</w:t>
      </w:r>
    </w:p>
    <w:p w14:paraId="58C9828B" w14:textId="77777777" w:rsidR="00FB4B9D" w:rsidRPr="005045BF" w:rsidRDefault="00FB4B9D" w:rsidP="00B83072">
      <w:pPr>
        <w:rPr>
          <w:rFonts w:ascii="Arial" w:hAnsi="Arial" w:cs="Arial"/>
          <w:sz w:val="22"/>
          <w:szCs w:val="22"/>
        </w:rPr>
      </w:pPr>
    </w:p>
    <w:p w14:paraId="45A1E45D" w14:textId="108BB85F" w:rsidR="00A86733" w:rsidRPr="005045BF" w:rsidRDefault="003B6677" w:rsidP="00FF1131">
      <w:pPr>
        <w:jc w:val="both"/>
        <w:rPr>
          <w:rFonts w:ascii="Arial" w:hAnsi="Arial" w:cs="Arial"/>
          <w:sz w:val="22"/>
          <w:szCs w:val="22"/>
        </w:rPr>
      </w:pPr>
      <w:r w:rsidRPr="005045BF">
        <w:rPr>
          <w:rFonts w:ascii="Arial" w:hAnsi="Arial" w:cs="Arial"/>
          <w:sz w:val="22"/>
          <w:szCs w:val="22"/>
        </w:rPr>
        <w:t>El Ministerio de Hacienda y Crédito Públic</w:t>
      </w:r>
      <w:r w:rsidR="00B65AB2" w:rsidRPr="005045BF">
        <w:rPr>
          <w:rFonts w:ascii="Arial" w:hAnsi="Arial" w:cs="Arial"/>
          <w:sz w:val="22"/>
          <w:szCs w:val="22"/>
        </w:rPr>
        <w:t>o, mediante</w:t>
      </w:r>
      <w:r w:rsidRPr="005045BF">
        <w:rPr>
          <w:rFonts w:ascii="Arial" w:hAnsi="Arial" w:cs="Arial"/>
          <w:sz w:val="22"/>
          <w:szCs w:val="22"/>
        </w:rPr>
        <w:t xml:space="preserve"> </w:t>
      </w:r>
      <w:r w:rsidR="00A86733" w:rsidRPr="005045BF">
        <w:rPr>
          <w:rFonts w:ascii="Arial" w:hAnsi="Arial" w:cs="Arial"/>
          <w:sz w:val="22"/>
          <w:szCs w:val="22"/>
        </w:rPr>
        <w:t>Resolución Interna 743 del 22 de abril de 2002, viabilizó el reconocimiento mensual de pago por concepto de servicio de garaje y /o pa</w:t>
      </w:r>
      <w:r w:rsidR="00431DA7" w:rsidRPr="005045BF">
        <w:rPr>
          <w:rFonts w:ascii="Arial" w:hAnsi="Arial" w:cs="Arial"/>
          <w:sz w:val="22"/>
          <w:szCs w:val="22"/>
        </w:rPr>
        <w:t>rqueadero para los vehículos de</w:t>
      </w:r>
      <w:r w:rsidR="00A86733" w:rsidRPr="005045BF">
        <w:rPr>
          <w:rFonts w:ascii="Arial" w:hAnsi="Arial" w:cs="Arial"/>
          <w:sz w:val="22"/>
          <w:szCs w:val="22"/>
        </w:rPr>
        <w:t xml:space="preserve"> esta Entidad </w:t>
      </w:r>
      <w:r w:rsidR="00EE1932" w:rsidRPr="005045BF">
        <w:rPr>
          <w:rFonts w:ascii="Arial" w:hAnsi="Arial" w:cs="Arial"/>
          <w:sz w:val="22"/>
          <w:szCs w:val="22"/>
        </w:rPr>
        <w:t xml:space="preserve">asignados a los Directivos y </w:t>
      </w:r>
      <w:r w:rsidR="00B65AB2" w:rsidRPr="005045BF">
        <w:rPr>
          <w:rFonts w:ascii="Arial" w:hAnsi="Arial" w:cs="Arial"/>
          <w:sz w:val="22"/>
          <w:szCs w:val="22"/>
        </w:rPr>
        <w:t>los destinado</w:t>
      </w:r>
      <w:r w:rsidR="00A06428" w:rsidRPr="005045BF">
        <w:rPr>
          <w:rFonts w:ascii="Arial" w:hAnsi="Arial" w:cs="Arial"/>
          <w:sz w:val="22"/>
          <w:szCs w:val="22"/>
        </w:rPr>
        <w:t>s</w:t>
      </w:r>
      <w:r w:rsidR="00B65AB2" w:rsidRPr="005045BF">
        <w:rPr>
          <w:rFonts w:ascii="Arial" w:hAnsi="Arial" w:cs="Arial"/>
          <w:sz w:val="22"/>
          <w:szCs w:val="22"/>
        </w:rPr>
        <w:t xml:space="preserve"> a ofrecer el servicio de </w:t>
      </w:r>
      <w:r w:rsidR="00EE1932" w:rsidRPr="005045BF">
        <w:rPr>
          <w:rFonts w:ascii="Arial" w:hAnsi="Arial" w:cs="Arial"/>
          <w:sz w:val="22"/>
          <w:szCs w:val="22"/>
        </w:rPr>
        <w:t xml:space="preserve">operativo, los cuales </w:t>
      </w:r>
      <w:r w:rsidR="00A86733" w:rsidRPr="005045BF">
        <w:rPr>
          <w:rFonts w:ascii="Arial" w:hAnsi="Arial" w:cs="Arial"/>
          <w:sz w:val="22"/>
          <w:szCs w:val="22"/>
        </w:rPr>
        <w:t xml:space="preserve">deben </w:t>
      </w:r>
      <w:r w:rsidR="00B65AB2" w:rsidRPr="005045BF">
        <w:rPr>
          <w:rFonts w:ascii="Arial" w:hAnsi="Arial" w:cs="Arial"/>
          <w:sz w:val="22"/>
          <w:szCs w:val="22"/>
        </w:rPr>
        <w:t xml:space="preserve">prestar los </w:t>
      </w:r>
      <w:r w:rsidR="00A86733" w:rsidRPr="005045BF">
        <w:rPr>
          <w:rFonts w:ascii="Arial" w:hAnsi="Arial" w:cs="Arial"/>
          <w:sz w:val="22"/>
          <w:szCs w:val="22"/>
        </w:rPr>
        <w:t>servicio</w:t>
      </w:r>
      <w:r w:rsidR="00B65AB2" w:rsidRPr="005045BF">
        <w:rPr>
          <w:rFonts w:ascii="Arial" w:hAnsi="Arial" w:cs="Arial"/>
          <w:sz w:val="22"/>
          <w:szCs w:val="22"/>
        </w:rPr>
        <w:t>s</w:t>
      </w:r>
      <w:r w:rsidR="00A86733" w:rsidRPr="005045BF">
        <w:rPr>
          <w:rFonts w:ascii="Arial" w:hAnsi="Arial" w:cs="Arial"/>
          <w:sz w:val="22"/>
          <w:szCs w:val="22"/>
        </w:rPr>
        <w:t xml:space="preserve"> en horas nocturnas y días no laborales. Actualmente, el valor mensual pagado por concepto de parqueadero es de $ 111.700 el cual fue determinado mediante la Resolución Interna 3464 de 2014.  </w:t>
      </w:r>
    </w:p>
    <w:p w14:paraId="6EC2A3C4" w14:textId="77777777" w:rsidR="00273BC5" w:rsidRPr="005045BF" w:rsidRDefault="00273BC5" w:rsidP="00FF1131">
      <w:pPr>
        <w:jc w:val="both"/>
        <w:rPr>
          <w:rFonts w:ascii="Arial" w:hAnsi="Arial" w:cs="Arial"/>
          <w:sz w:val="22"/>
          <w:szCs w:val="22"/>
        </w:rPr>
      </w:pPr>
    </w:p>
    <w:p w14:paraId="3C118A31" w14:textId="202ABFE3" w:rsidR="00443160" w:rsidRPr="005045BF" w:rsidRDefault="00C96B65" w:rsidP="00FF1131">
      <w:pPr>
        <w:jc w:val="both"/>
        <w:rPr>
          <w:rFonts w:ascii="Arial" w:hAnsi="Arial" w:cs="Arial"/>
          <w:sz w:val="22"/>
          <w:szCs w:val="22"/>
        </w:rPr>
      </w:pPr>
      <w:r w:rsidRPr="005045BF">
        <w:rPr>
          <w:rFonts w:ascii="Arial" w:hAnsi="Arial" w:cs="Arial"/>
          <w:sz w:val="22"/>
          <w:szCs w:val="22"/>
        </w:rPr>
        <w:t xml:space="preserve">Para este punto, la Dirección Administrativa mensualmente mediante acto administrativo (resolución) reconoce y ordena el pago por concepto de servicio de garajes y /o parqueaderos para los vehículos </w:t>
      </w:r>
      <w:r w:rsidR="00455163" w:rsidRPr="005045BF">
        <w:rPr>
          <w:rFonts w:ascii="Arial" w:hAnsi="Arial" w:cs="Arial"/>
          <w:sz w:val="22"/>
          <w:szCs w:val="22"/>
        </w:rPr>
        <w:t>que están al servicio del</w:t>
      </w:r>
      <w:r w:rsidRPr="005045BF">
        <w:rPr>
          <w:rFonts w:ascii="Arial" w:hAnsi="Arial" w:cs="Arial"/>
          <w:sz w:val="22"/>
          <w:szCs w:val="22"/>
        </w:rPr>
        <w:t xml:space="preserve"> Ministerio</w:t>
      </w:r>
      <w:r w:rsidR="00EE1932" w:rsidRPr="005045BF">
        <w:rPr>
          <w:rFonts w:ascii="Arial" w:hAnsi="Arial" w:cs="Arial"/>
          <w:sz w:val="22"/>
          <w:szCs w:val="22"/>
        </w:rPr>
        <w:t xml:space="preserve"> de Hacienda y Crédito Público. </w:t>
      </w:r>
      <w:r w:rsidR="002651E2" w:rsidRPr="005045BF">
        <w:rPr>
          <w:rFonts w:ascii="Arial" w:hAnsi="Arial" w:cs="Arial"/>
          <w:sz w:val="22"/>
          <w:szCs w:val="22"/>
        </w:rPr>
        <w:t>El</w:t>
      </w:r>
      <w:r w:rsidR="00C47475" w:rsidRPr="005045BF">
        <w:rPr>
          <w:rFonts w:ascii="Arial" w:hAnsi="Arial" w:cs="Arial"/>
          <w:sz w:val="22"/>
          <w:szCs w:val="22"/>
        </w:rPr>
        <w:t xml:space="preserve"> gasto analizado, se fundamen</w:t>
      </w:r>
      <w:r w:rsidR="002651E2" w:rsidRPr="005045BF">
        <w:rPr>
          <w:rFonts w:ascii="Arial" w:hAnsi="Arial" w:cs="Arial"/>
          <w:sz w:val="22"/>
          <w:szCs w:val="22"/>
        </w:rPr>
        <w:t xml:space="preserve">ta en la necesidad del servicio prestado por </w:t>
      </w:r>
      <w:r w:rsidR="00C47475" w:rsidRPr="005045BF">
        <w:rPr>
          <w:rFonts w:ascii="Arial" w:hAnsi="Arial" w:cs="Arial"/>
          <w:sz w:val="22"/>
          <w:szCs w:val="22"/>
        </w:rPr>
        <w:t xml:space="preserve">los conductores que tienen asignados </w:t>
      </w:r>
      <w:r w:rsidR="002651E2" w:rsidRPr="005045BF">
        <w:rPr>
          <w:rFonts w:ascii="Arial" w:hAnsi="Arial" w:cs="Arial"/>
          <w:sz w:val="22"/>
          <w:szCs w:val="22"/>
        </w:rPr>
        <w:t xml:space="preserve">vehículos para el traslado de </w:t>
      </w:r>
      <w:r w:rsidR="00C47475" w:rsidRPr="005045BF">
        <w:rPr>
          <w:rFonts w:ascii="Arial" w:hAnsi="Arial" w:cs="Arial"/>
          <w:sz w:val="22"/>
          <w:szCs w:val="22"/>
        </w:rPr>
        <w:t>los Directivos de esta Entidad</w:t>
      </w:r>
      <w:r w:rsidR="002651E2" w:rsidRPr="005045BF">
        <w:rPr>
          <w:rFonts w:ascii="Arial" w:hAnsi="Arial" w:cs="Arial"/>
          <w:sz w:val="22"/>
          <w:szCs w:val="22"/>
        </w:rPr>
        <w:t xml:space="preserve">. </w:t>
      </w:r>
    </w:p>
    <w:p w14:paraId="0471005B" w14:textId="5FC0055C" w:rsidR="00C47475" w:rsidRPr="005045BF" w:rsidRDefault="002651E2" w:rsidP="00FF1131">
      <w:pPr>
        <w:jc w:val="both"/>
        <w:rPr>
          <w:rFonts w:ascii="Arial" w:hAnsi="Arial" w:cs="Arial"/>
          <w:bCs/>
          <w:sz w:val="22"/>
          <w:szCs w:val="22"/>
        </w:rPr>
      </w:pPr>
      <w:r w:rsidRPr="005045BF">
        <w:rPr>
          <w:rFonts w:ascii="Arial" w:hAnsi="Arial" w:cs="Arial"/>
          <w:sz w:val="22"/>
          <w:szCs w:val="22"/>
        </w:rPr>
        <w:lastRenderedPageBreak/>
        <w:t xml:space="preserve">De acuerdo con la información allegada por la Subdirección de Servicios, se efectuó una comparación del gasto </w:t>
      </w:r>
      <w:r w:rsidR="00DB1A20" w:rsidRPr="005045BF">
        <w:rPr>
          <w:rFonts w:ascii="Arial" w:hAnsi="Arial" w:cs="Arial"/>
          <w:sz w:val="22"/>
          <w:szCs w:val="22"/>
        </w:rPr>
        <w:t xml:space="preserve">reconocido durante el </w:t>
      </w:r>
      <w:r w:rsidR="008D6DF0" w:rsidRPr="005045BF">
        <w:rPr>
          <w:rFonts w:ascii="Arial" w:hAnsi="Arial" w:cs="Arial"/>
          <w:sz w:val="22"/>
          <w:szCs w:val="22"/>
        </w:rPr>
        <w:t xml:space="preserve">primer </w:t>
      </w:r>
      <w:r w:rsidRPr="005045BF">
        <w:rPr>
          <w:rFonts w:ascii="Arial" w:hAnsi="Arial" w:cs="Arial"/>
          <w:sz w:val="22"/>
          <w:szCs w:val="22"/>
        </w:rPr>
        <w:t>trimestre de 20</w:t>
      </w:r>
      <w:r w:rsidR="008D6DF0" w:rsidRPr="005045BF">
        <w:rPr>
          <w:rFonts w:ascii="Arial" w:hAnsi="Arial" w:cs="Arial"/>
          <w:sz w:val="22"/>
          <w:szCs w:val="22"/>
        </w:rPr>
        <w:t>20</w:t>
      </w:r>
      <w:r w:rsidRPr="005045BF">
        <w:rPr>
          <w:rFonts w:ascii="Arial" w:hAnsi="Arial" w:cs="Arial"/>
          <w:sz w:val="22"/>
          <w:szCs w:val="22"/>
        </w:rPr>
        <w:t xml:space="preserve"> comparado con el mismo periodo de 201</w:t>
      </w:r>
      <w:r w:rsidR="008D6DF0" w:rsidRPr="005045BF">
        <w:rPr>
          <w:rFonts w:ascii="Arial" w:hAnsi="Arial" w:cs="Arial"/>
          <w:sz w:val="22"/>
          <w:szCs w:val="22"/>
        </w:rPr>
        <w:t>9</w:t>
      </w:r>
      <w:r w:rsidR="001A3E9B" w:rsidRPr="005045BF">
        <w:rPr>
          <w:rFonts w:ascii="Arial" w:hAnsi="Arial" w:cs="Arial"/>
          <w:sz w:val="22"/>
          <w:szCs w:val="22"/>
        </w:rPr>
        <w:t xml:space="preserve">, como resultado se observó una </w:t>
      </w:r>
      <w:r w:rsidR="001A3E9B" w:rsidRPr="005045BF">
        <w:rPr>
          <w:rFonts w:ascii="Arial" w:hAnsi="Arial" w:cs="Arial"/>
          <w:bCs/>
          <w:sz w:val="22"/>
          <w:szCs w:val="22"/>
        </w:rPr>
        <w:t>disminución d</w:t>
      </w:r>
      <w:r w:rsidR="00443160" w:rsidRPr="005045BF">
        <w:rPr>
          <w:rFonts w:ascii="Arial" w:hAnsi="Arial" w:cs="Arial"/>
          <w:bCs/>
          <w:sz w:val="22"/>
          <w:szCs w:val="22"/>
        </w:rPr>
        <w:t xml:space="preserve">el </w:t>
      </w:r>
      <w:r w:rsidR="005A01B0" w:rsidRPr="005045BF">
        <w:rPr>
          <w:rFonts w:ascii="Arial" w:hAnsi="Arial" w:cs="Arial"/>
          <w:bCs/>
          <w:sz w:val="22"/>
          <w:szCs w:val="22"/>
        </w:rPr>
        <w:t>1</w:t>
      </w:r>
      <w:r w:rsidR="008D6DF0" w:rsidRPr="005045BF">
        <w:rPr>
          <w:rFonts w:ascii="Arial" w:hAnsi="Arial" w:cs="Arial"/>
          <w:bCs/>
          <w:sz w:val="22"/>
          <w:szCs w:val="22"/>
        </w:rPr>
        <w:t>6</w:t>
      </w:r>
      <w:r w:rsidR="005A01B0" w:rsidRPr="005045BF">
        <w:rPr>
          <w:rFonts w:ascii="Arial" w:hAnsi="Arial" w:cs="Arial"/>
          <w:bCs/>
          <w:sz w:val="22"/>
          <w:szCs w:val="22"/>
        </w:rPr>
        <w:t>%</w:t>
      </w:r>
      <w:r w:rsidR="00443160" w:rsidRPr="005045BF">
        <w:rPr>
          <w:rFonts w:ascii="Arial" w:hAnsi="Arial" w:cs="Arial"/>
          <w:bCs/>
          <w:sz w:val="22"/>
          <w:szCs w:val="22"/>
        </w:rPr>
        <w:t xml:space="preserve"> por concepto gasto de garajes y /o parqueaderos para los vehículos de este Ministerio</w:t>
      </w:r>
      <w:r w:rsidR="001A3E9B" w:rsidRPr="005045BF">
        <w:rPr>
          <w:rFonts w:ascii="Arial" w:hAnsi="Arial" w:cs="Arial"/>
          <w:bCs/>
          <w:sz w:val="22"/>
          <w:szCs w:val="22"/>
        </w:rPr>
        <w:t xml:space="preserve">. </w:t>
      </w:r>
    </w:p>
    <w:p w14:paraId="6DABF989" w14:textId="12ED74B6" w:rsidR="002651E2" w:rsidRPr="005045BF" w:rsidRDefault="002651E2" w:rsidP="00FF1131">
      <w:pPr>
        <w:jc w:val="both"/>
        <w:rPr>
          <w:rFonts w:ascii="Arial" w:hAnsi="Arial" w:cs="Arial"/>
          <w:sz w:val="22"/>
          <w:szCs w:val="22"/>
          <w:highlight w:val="yellow"/>
        </w:rPr>
      </w:pPr>
    </w:p>
    <w:tbl>
      <w:tblPr>
        <w:tblW w:w="0" w:type="auto"/>
        <w:jc w:val="center"/>
        <w:tblCellMar>
          <w:left w:w="70" w:type="dxa"/>
          <w:right w:w="70" w:type="dxa"/>
        </w:tblCellMar>
        <w:tblLook w:val="04A0" w:firstRow="1" w:lastRow="0" w:firstColumn="1" w:lastColumn="0" w:noHBand="0" w:noVBand="1"/>
      </w:tblPr>
      <w:tblGrid>
        <w:gridCol w:w="885"/>
        <w:gridCol w:w="1232"/>
        <w:gridCol w:w="2409"/>
        <w:gridCol w:w="1351"/>
        <w:gridCol w:w="1387"/>
      </w:tblGrid>
      <w:tr w:rsidR="00330370" w:rsidRPr="005045BF" w14:paraId="56990059" w14:textId="77777777" w:rsidTr="00AA58AE">
        <w:trPr>
          <w:cantSplit/>
          <w:jc w:val="center"/>
        </w:trPr>
        <w:tc>
          <w:tcPr>
            <w:tcW w:w="885" w:type="dxa"/>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7990DF39" w14:textId="77777777" w:rsidR="00330370" w:rsidRPr="005045BF" w:rsidRDefault="00330370"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 xml:space="preserve">Periodo </w:t>
            </w:r>
          </w:p>
        </w:tc>
        <w:tc>
          <w:tcPr>
            <w:tcW w:w="1232" w:type="dxa"/>
            <w:tcBorders>
              <w:top w:val="single" w:sz="8" w:space="0" w:color="B8CCE4"/>
              <w:left w:val="nil"/>
              <w:bottom w:val="single" w:sz="12" w:space="0" w:color="95B3D7"/>
              <w:right w:val="single" w:sz="8" w:space="0" w:color="B8CCE4"/>
            </w:tcBorders>
            <w:shd w:val="clear" w:color="000000" w:fill="4F81BD"/>
            <w:vAlign w:val="center"/>
            <w:hideMark/>
          </w:tcPr>
          <w:p w14:paraId="45D0819F" w14:textId="77777777" w:rsidR="00330370" w:rsidRPr="005045BF" w:rsidRDefault="00330370"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Mes</w:t>
            </w:r>
          </w:p>
        </w:tc>
        <w:tc>
          <w:tcPr>
            <w:tcW w:w="2409" w:type="dxa"/>
            <w:tcBorders>
              <w:top w:val="single" w:sz="8" w:space="0" w:color="B8CCE4"/>
              <w:left w:val="nil"/>
              <w:bottom w:val="single" w:sz="12" w:space="0" w:color="95B3D7"/>
              <w:right w:val="single" w:sz="8" w:space="0" w:color="B8CCE4"/>
            </w:tcBorders>
            <w:shd w:val="clear" w:color="000000" w:fill="4F81BD"/>
            <w:vAlign w:val="center"/>
            <w:hideMark/>
          </w:tcPr>
          <w:p w14:paraId="6B098A99" w14:textId="77777777" w:rsidR="00330370" w:rsidRPr="005045BF" w:rsidRDefault="00330370"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 xml:space="preserve">Número de Resolución </w:t>
            </w:r>
          </w:p>
        </w:tc>
        <w:tc>
          <w:tcPr>
            <w:tcW w:w="1351" w:type="dxa"/>
            <w:tcBorders>
              <w:top w:val="single" w:sz="8" w:space="0" w:color="B8CCE4"/>
              <w:left w:val="nil"/>
              <w:bottom w:val="single" w:sz="12" w:space="0" w:color="95B3D7"/>
              <w:right w:val="single" w:sz="8" w:space="0" w:color="B8CCE4"/>
            </w:tcBorders>
            <w:shd w:val="clear" w:color="000000" w:fill="4F81BD"/>
            <w:vAlign w:val="center"/>
            <w:hideMark/>
          </w:tcPr>
          <w:p w14:paraId="6817079D" w14:textId="77777777" w:rsidR="00330370" w:rsidRPr="005045BF" w:rsidRDefault="00330370"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 xml:space="preserve">Fecha </w:t>
            </w:r>
          </w:p>
        </w:tc>
        <w:tc>
          <w:tcPr>
            <w:tcW w:w="1387" w:type="dxa"/>
            <w:tcBorders>
              <w:top w:val="single" w:sz="8" w:space="0" w:color="B8CCE4"/>
              <w:left w:val="nil"/>
              <w:bottom w:val="single" w:sz="12" w:space="0" w:color="95B3D7"/>
              <w:right w:val="single" w:sz="8" w:space="0" w:color="B8CCE4"/>
            </w:tcBorders>
            <w:shd w:val="clear" w:color="000000" w:fill="4F81BD"/>
            <w:vAlign w:val="center"/>
            <w:hideMark/>
          </w:tcPr>
          <w:p w14:paraId="568C11F0" w14:textId="77777777" w:rsidR="00330370" w:rsidRPr="005045BF" w:rsidRDefault="00330370"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Valor ($)</w:t>
            </w:r>
          </w:p>
        </w:tc>
      </w:tr>
      <w:tr w:rsidR="008C2096" w:rsidRPr="005045BF" w14:paraId="644FCBB7" w14:textId="77777777" w:rsidTr="00AA58AE">
        <w:trPr>
          <w:jc w:val="center"/>
        </w:trPr>
        <w:tc>
          <w:tcPr>
            <w:tcW w:w="885"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46AF4035" w14:textId="355DCF58" w:rsidR="008C2096" w:rsidRPr="005045BF" w:rsidRDefault="008C2096"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I Trimestre 2020</w:t>
            </w:r>
          </w:p>
        </w:tc>
        <w:tc>
          <w:tcPr>
            <w:tcW w:w="1232" w:type="dxa"/>
            <w:tcBorders>
              <w:top w:val="nil"/>
              <w:left w:val="nil"/>
              <w:bottom w:val="single" w:sz="8" w:space="0" w:color="B8CCE4"/>
              <w:right w:val="single" w:sz="8" w:space="0" w:color="B8CCE4"/>
            </w:tcBorders>
            <w:shd w:val="clear" w:color="auto" w:fill="auto"/>
            <w:noWrap/>
            <w:vAlign w:val="center"/>
            <w:hideMark/>
          </w:tcPr>
          <w:p w14:paraId="4C3EFDFB" w14:textId="03639A4C"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Enero</w:t>
            </w:r>
          </w:p>
        </w:tc>
        <w:tc>
          <w:tcPr>
            <w:tcW w:w="2409" w:type="dxa"/>
            <w:tcBorders>
              <w:top w:val="nil"/>
              <w:left w:val="nil"/>
              <w:bottom w:val="single" w:sz="8" w:space="0" w:color="B8CCE4"/>
              <w:right w:val="single" w:sz="8" w:space="0" w:color="B8CCE4"/>
            </w:tcBorders>
            <w:shd w:val="clear" w:color="auto" w:fill="auto"/>
            <w:noWrap/>
            <w:vAlign w:val="center"/>
            <w:hideMark/>
          </w:tcPr>
          <w:p w14:paraId="27A26006" w14:textId="20C10467"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373</w:t>
            </w:r>
          </w:p>
        </w:tc>
        <w:tc>
          <w:tcPr>
            <w:tcW w:w="1351" w:type="dxa"/>
            <w:tcBorders>
              <w:top w:val="nil"/>
              <w:left w:val="nil"/>
              <w:bottom w:val="single" w:sz="8" w:space="0" w:color="B8CCE4"/>
              <w:right w:val="single" w:sz="8" w:space="0" w:color="B8CCE4"/>
            </w:tcBorders>
            <w:shd w:val="clear" w:color="auto" w:fill="auto"/>
            <w:noWrap/>
            <w:vAlign w:val="center"/>
            <w:hideMark/>
          </w:tcPr>
          <w:p w14:paraId="1B4A97DB" w14:textId="59D8E87A"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03/02/2020</w:t>
            </w:r>
          </w:p>
        </w:tc>
        <w:tc>
          <w:tcPr>
            <w:tcW w:w="1387" w:type="dxa"/>
            <w:tcBorders>
              <w:top w:val="nil"/>
              <w:left w:val="nil"/>
              <w:bottom w:val="single" w:sz="8" w:space="0" w:color="B8CCE4"/>
              <w:right w:val="single" w:sz="8" w:space="0" w:color="B8CCE4"/>
            </w:tcBorders>
            <w:shd w:val="clear" w:color="auto" w:fill="auto"/>
            <w:noWrap/>
            <w:vAlign w:val="center"/>
            <w:hideMark/>
          </w:tcPr>
          <w:p w14:paraId="17B05F96" w14:textId="5BE4AE7A"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1.489.333</w:t>
            </w:r>
          </w:p>
        </w:tc>
      </w:tr>
      <w:tr w:rsidR="008C2096" w:rsidRPr="005045BF" w14:paraId="6C2CC79A" w14:textId="77777777" w:rsidTr="00AA58AE">
        <w:trPr>
          <w:jc w:val="center"/>
        </w:trPr>
        <w:tc>
          <w:tcPr>
            <w:tcW w:w="885" w:type="dxa"/>
            <w:vMerge/>
            <w:tcBorders>
              <w:top w:val="nil"/>
              <w:left w:val="single" w:sz="8" w:space="0" w:color="B8CCE4"/>
              <w:bottom w:val="single" w:sz="8" w:space="0" w:color="B8CCE4"/>
              <w:right w:val="single" w:sz="8" w:space="0" w:color="B8CCE4"/>
            </w:tcBorders>
            <w:vAlign w:val="center"/>
            <w:hideMark/>
          </w:tcPr>
          <w:p w14:paraId="64471D98" w14:textId="77777777" w:rsidR="008C2096" w:rsidRPr="005045BF" w:rsidRDefault="008C2096" w:rsidP="00AA58AE">
            <w:pPr>
              <w:spacing w:before="40" w:after="60"/>
              <w:rPr>
                <w:rFonts w:ascii="Arial" w:hAnsi="Arial" w:cs="Arial"/>
                <w:b/>
                <w:bCs/>
                <w:color w:val="FFFFFF"/>
                <w:sz w:val="20"/>
                <w:szCs w:val="20"/>
              </w:rPr>
            </w:pPr>
          </w:p>
        </w:tc>
        <w:tc>
          <w:tcPr>
            <w:tcW w:w="1232" w:type="dxa"/>
            <w:tcBorders>
              <w:top w:val="nil"/>
              <w:left w:val="nil"/>
              <w:bottom w:val="single" w:sz="8" w:space="0" w:color="B8CCE4"/>
              <w:right w:val="single" w:sz="8" w:space="0" w:color="B8CCE4"/>
            </w:tcBorders>
            <w:shd w:val="clear" w:color="auto" w:fill="auto"/>
            <w:noWrap/>
            <w:vAlign w:val="center"/>
            <w:hideMark/>
          </w:tcPr>
          <w:p w14:paraId="17474290" w14:textId="64F1C637"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Febrero</w:t>
            </w:r>
          </w:p>
        </w:tc>
        <w:tc>
          <w:tcPr>
            <w:tcW w:w="2409" w:type="dxa"/>
            <w:tcBorders>
              <w:top w:val="nil"/>
              <w:left w:val="nil"/>
              <w:bottom w:val="single" w:sz="8" w:space="0" w:color="B8CCE4"/>
              <w:right w:val="single" w:sz="8" w:space="0" w:color="B8CCE4"/>
            </w:tcBorders>
            <w:shd w:val="clear" w:color="auto" w:fill="auto"/>
            <w:noWrap/>
            <w:vAlign w:val="center"/>
            <w:hideMark/>
          </w:tcPr>
          <w:p w14:paraId="23D148D5" w14:textId="10FF7B69"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824</w:t>
            </w:r>
          </w:p>
        </w:tc>
        <w:tc>
          <w:tcPr>
            <w:tcW w:w="1351" w:type="dxa"/>
            <w:tcBorders>
              <w:top w:val="nil"/>
              <w:left w:val="nil"/>
              <w:bottom w:val="single" w:sz="8" w:space="0" w:color="B8CCE4"/>
              <w:right w:val="single" w:sz="8" w:space="0" w:color="B8CCE4"/>
            </w:tcBorders>
            <w:shd w:val="clear" w:color="auto" w:fill="auto"/>
            <w:noWrap/>
            <w:vAlign w:val="center"/>
            <w:hideMark/>
          </w:tcPr>
          <w:p w14:paraId="2EE3E7E6" w14:textId="6711DA2D"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12/03/2020</w:t>
            </w:r>
          </w:p>
        </w:tc>
        <w:tc>
          <w:tcPr>
            <w:tcW w:w="1387" w:type="dxa"/>
            <w:tcBorders>
              <w:top w:val="nil"/>
              <w:left w:val="nil"/>
              <w:bottom w:val="single" w:sz="8" w:space="0" w:color="B8CCE4"/>
              <w:right w:val="single" w:sz="8" w:space="0" w:color="B8CCE4"/>
            </w:tcBorders>
            <w:shd w:val="clear" w:color="auto" w:fill="auto"/>
            <w:noWrap/>
            <w:vAlign w:val="center"/>
            <w:hideMark/>
          </w:tcPr>
          <w:p w14:paraId="78443832" w14:textId="1C115598"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2.025.493</w:t>
            </w:r>
          </w:p>
        </w:tc>
      </w:tr>
      <w:tr w:rsidR="008C2096" w:rsidRPr="005045BF" w14:paraId="51ABD62E" w14:textId="77777777" w:rsidTr="00AA58AE">
        <w:trPr>
          <w:trHeight w:val="665"/>
          <w:jc w:val="center"/>
        </w:trPr>
        <w:tc>
          <w:tcPr>
            <w:tcW w:w="885" w:type="dxa"/>
            <w:vMerge/>
            <w:tcBorders>
              <w:top w:val="nil"/>
              <w:left w:val="single" w:sz="8" w:space="0" w:color="B8CCE4"/>
              <w:bottom w:val="single" w:sz="8" w:space="0" w:color="B8CCE4"/>
              <w:right w:val="single" w:sz="8" w:space="0" w:color="B8CCE4"/>
            </w:tcBorders>
            <w:vAlign w:val="center"/>
            <w:hideMark/>
          </w:tcPr>
          <w:p w14:paraId="0CF25F73" w14:textId="77777777" w:rsidR="008C2096" w:rsidRPr="005045BF" w:rsidRDefault="008C2096" w:rsidP="00AA58AE">
            <w:pPr>
              <w:spacing w:before="40" w:after="60"/>
              <w:rPr>
                <w:rFonts w:ascii="Arial" w:hAnsi="Arial" w:cs="Arial"/>
                <w:b/>
                <w:bCs/>
                <w:color w:val="FFFFFF"/>
                <w:sz w:val="20"/>
                <w:szCs w:val="20"/>
              </w:rPr>
            </w:pPr>
          </w:p>
        </w:tc>
        <w:tc>
          <w:tcPr>
            <w:tcW w:w="1232" w:type="dxa"/>
            <w:tcBorders>
              <w:top w:val="nil"/>
              <w:left w:val="nil"/>
              <w:bottom w:val="single" w:sz="8" w:space="0" w:color="B8CCE4"/>
              <w:right w:val="single" w:sz="8" w:space="0" w:color="B8CCE4"/>
            </w:tcBorders>
            <w:shd w:val="clear" w:color="auto" w:fill="auto"/>
            <w:noWrap/>
            <w:vAlign w:val="center"/>
            <w:hideMark/>
          </w:tcPr>
          <w:p w14:paraId="49448609" w14:textId="7C1346DE"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Marzo</w:t>
            </w:r>
          </w:p>
        </w:tc>
        <w:tc>
          <w:tcPr>
            <w:tcW w:w="2409" w:type="dxa"/>
            <w:tcBorders>
              <w:top w:val="nil"/>
              <w:left w:val="nil"/>
              <w:bottom w:val="single" w:sz="8" w:space="0" w:color="B8CCE4"/>
              <w:right w:val="single" w:sz="8" w:space="0" w:color="B8CCE4"/>
            </w:tcBorders>
            <w:shd w:val="clear" w:color="auto" w:fill="auto"/>
            <w:noWrap/>
            <w:vAlign w:val="center"/>
            <w:hideMark/>
          </w:tcPr>
          <w:p w14:paraId="64D6D724" w14:textId="36B0C04A"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1069</w:t>
            </w:r>
          </w:p>
        </w:tc>
        <w:tc>
          <w:tcPr>
            <w:tcW w:w="1351" w:type="dxa"/>
            <w:tcBorders>
              <w:top w:val="nil"/>
              <w:left w:val="nil"/>
              <w:bottom w:val="single" w:sz="8" w:space="0" w:color="B8CCE4"/>
              <w:right w:val="single" w:sz="8" w:space="0" w:color="B8CCE4"/>
            </w:tcBorders>
            <w:shd w:val="clear" w:color="auto" w:fill="auto"/>
            <w:noWrap/>
            <w:vAlign w:val="center"/>
            <w:hideMark/>
          </w:tcPr>
          <w:p w14:paraId="2108720C" w14:textId="304C0C02"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30/04/2020</w:t>
            </w:r>
          </w:p>
        </w:tc>
        <w:tc>
          <w:tcPr>
            <w:tcW w:w="1387" w:type="dxa"/>
            <w:tcBorders>
              <w:top w:val="nil"/>
              <w:left w:val="nil"/>
              <w:bottom w:val="single" w:sz="8" w:space="0" w:color="B8CCE4"/>
              <w:right w:val="single" w:sz="8" w:space="0" w:color="B8CCE4"/>
            </w:tcBorders>
            <w:shd w:val="clear" w:color="auto" w:fill="auto"/>
            <w:noWrap/>
            <w:vAlign w:val="center"/>
            <w:hideMark/>
          </w:tcPr>
          <w:p w14:paraId="5C0BF466" w14:textId="65053E88"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1.552.625</w:t>
            </w:r>
          </w:p>
        </w:tc>
      </w:tr>
      <w:tr w:rsidR="00C26B3C" w:rsidRPr="005045BF" w14:paraId="6D79EF6F" w14:textId="77777777" w:rsidTr="00AA58AE">
        <w:trPr>
          <w:trHeight w:val="585"/>
          <w:jc w:val="center"/>
        </w:trPr>
        <w:tc>
          <w:tcPr>
            <w:tcW w:w="5877" w:type="dxa"/>
            <w:gridSpan w:val="4"/>
            <w:tcBorders>
              <w:top w:val="single" w:sz="8" w:space="0" w:color="B8CCE4"/>
              <w:left w:val="single" w:sz="8" w:space="0" w:color="B8CCE4"/>
              <w:bottom w:val="single" w:sz="8" w:space="0" w:color="B8CCE4"/>
              <w:right w:val="single" w:sz="8" w:space="0" w:color="B8CCE4"/>
            </w:tcBorders>
            <w:shd w:val="clear" w:color="000000" w:fill="4F81BD"/>
            <w:noWrap/>
            <w:vAlign w:val="center"/>
            <w:hideMark/>
          </w:tcPr>
          <w:p w14:paraId="4844767B" w14:textId="72A3BAE4" w:rsidR="00C26B3C" w:rsidRPr="005045BF" w:rsidRDefault="00C26B3C"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Total  Pago de Garajes I Trimestre 20</w:t>
            </w:r>
            <w:r w:rsidR="008C2096" w:rsidRPr="005045BF">
              <w:rPr>
                <w:rFonts w:ascii="Arial" w:hAnsi="Arial" w:cs="Arial"/>
                <w:b/>
                <w:bCs/>
                <w:color w:val="FFFFFF"/>
                <w:sz w:val="20"/>
                <w:szCs w:val="20"/>
              </w:rPr>
              <w:t>20</w:t>
            </w:r>
          </w:p>
        </w:tc>
        <w:tc>
          <w:tcPr>
            <w:tcW w:w="1387" w:type="dxa"/>
            <w:tcBorders>
              <w:top w:val="nil"/>
              <w:left w:val="nil"/>
              <w:bottom w:val="single" w:sz="8" w:space="0" w:color="B8CCE4"/>
              <w:right w:val="single" w:sz="8" w:space="0" w:color="B8CCE4"/>
            </w:tcBorders>
            <w:shd w:val="clear" w:color="000000" w:fill="4F81BD"/>
            <w:noWrap/>
            <w:vAlign w:val="center"/>
            <w:hideMark/>
          </w:tcPr>
          <w:p w14:paraId="05822960" w14:textId="0C920D25" w:rsidR="00C26B3C" w:rsidRPr="005045BF" w:rsidRDefault="008C2096" w:rsidP="00AA58AE">
            <w:pPr>
              <w:spacing w:before="40" w:after="60"/>
              <w:jc w:val="right"/>
              <w:rPr>
                <w:rFonts w:ascii="Arial" w:hAnsi="Arial" w:cs="Arial"/>
                <w:b/>
                <w:bCs/>
                <w:color w:val="FFFFFF"/>
                <w:sz w:val="20"/>
                <w:szCs w:val="20"/>
              </w:rPr>
            </w:pPr>
            <w:r w:rsidRPr="005045BF">
              <w:rPr>
                <w:rFonts w:ascii="Arial" w:hAnsi="Arial" w:cs="Arial"/>
                <w:b/>
                <w:bCs/>
                <w:color w:val="FFFFFF"/>
                <w:sz w:val="20"/>
                <w:szCs w:val="20"/>
              </w:rPr>
              <w:t>5.067.452</w:t>
            </w:r>
          </w:p>
        </w:tc>
      </w:tr>
      <w:tr w:rsidR="008C2096" w:rsidRPr="005045BF" w14:paraId="5EC1831F" w14:textId="77777777" w:rsidTr="00AA58AE">
        <w:trPr>
          <w:jc w:val="center"/>
        </w:trPr>
        <w:tc>
          <w:tcPr>
            <w:tcW w:w="885" w:type="dxa"/>
            <w:vMerge w:val="restart"/>
            <w:tcBorders>
              <w:top w:val="nil"/>
              <w:left w:val="single" w:sz="8" w:space="0" w:color="B8CCE4"/>
              <w:bottom w:val="single" w:sz="8" w:space="0" w:color="B8CCE4"/>
              <w:right w:val="single" w:sz="8" w:space="0" w:color="B8CCE4"/>
            </w:tcBorders>
            <w:shd w:val="clear" w:color="000000" w:fill="4F81BD"/>
            <w:noWrap/>
            <w:textDirection w:val="btLr"/>
            <w:vAlign w:val="center"/>
            <w:hideMark/>
          </w:tcPr>
          <w:p w14:paraId="79E371ED" w14:textId="26F979D1" w:rsidR="008C2096" w:rsidRPr="005045BF" w:rsidRDefault="008C2096"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I Trimestre 2019</w:t>
            </w:r>
          </w:p>
        </w:tc>
        <w:tc>
          <w:tcPr>
            <w:tcW w:w="1232" w:type="dxa"/>
            <w:tcBorders>
              <w:top w:val="nil"/>
              <w:left w:val="nil"/>
              <w:bottom w:val="single" w:sz="8" w:space="0" w:color="B8CCE4"/>
              <w:right w:val="single" w:sz="8" w:space="0" w:color="B8CCE4"/>
            </w:tcBorders>
            <w:shd w:val="clear" w:color="auto" w:fill="auto"/>
            <w:noWrap/>
            <w:vAlign w:val="center"/>
          </w:tcPr>
          <w:p w14:paraId="25969400" w14:textId="11185022"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Enero</w:t>
            </w:r>
          </w:p>
        </w:tc>
        <w:tc>
          <w:tcPr>
            <w:tcW w:w="2409" w:type="dxa"/>
            <w:tcBorders>
              <w:top w:val="nil"/>
              <w:left w:val="nil"/>
              <w:bottom w:val="single" w:sz="8" w:space="0" w:color="B8CCE4"/>
              <w:right w:val="single" w:sz="8" w:space="0" w:color="B8CCE4"/>
            </w:tcBorders>
            <w:shd w:val="clear" w:color="auto" w:fill="auto"/>
            <w:noWrap/>
            <w:vAlign w:val="center"/>
          </w:tcPr>
          <w:p w14:paraId="1CB88411" w14:textId="6CC6D981"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651</w:t>
            </w:r>
          </w:p>
        </w:tc>
        <w:tc>
          <w:tcPr>
            <w:tcW w:w="1351" w:type="dxa"/>
            <w:tcBorders>
              <w:top w:val="nil"/>
              <w:left w:val="nil"/>
              <w:bottom w:val="single" w:sz="8" w:space="0" w:color="B8CCE4"/>
              <w:right w:val="single" w:sz="8" w:space="0" w:color="B8CCE4"/>
            </w:tcBorders>
            <w:shd w:val="clear" w:color="auto" w:fill="auto"/>
            <w:noWrap/>
            <w:vAlign w:val="center"/>
          </w:tcPr>
          <w:p w14:paraId="6DAF3F43" w14:textId="239309B3"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04/03/2019</w:t>
            </w:r>
          </w:p>
        </w:tc>
        <w:tc>
          <w:tcPr>
            <w:tcW w:w="1387" w:type="dxa"/>
            <w:tcBorders>
              <w:top w:val="nil"/>
              <w:left w:val="nil"/>
              <w:bottom w:val="single" w:sz="8" w:space="0" w:color="B8CCE4"/>
              <w:right w:val="single" w:sz="8" w:space="0" w:color="B8CCE4"/>
            </w:tcBorders>
            <w:shd w:val="clear" w:color="auto" w:fill="auto"/>
            <w:noWrap/>
            <w:vAlign w:val="center"/>
          </w:tcPr>
          <w:p w14:paraId="771AEB4B" w14:textId="5AE7D7CA"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1.947.303</w:t>
            </w:r>
          </w:p>
        </w:tc>
      </w:tr>
      <w:tr w:rsidR="008C2096" w:rsidRPr="005045BF" w14:paraId="6E984E2C" w14:textId="77777777" w:rsidTr="00AA58AE">
        <w:trPr>
          <w:jc w:val="center"/>
        </w:trPr>
        <w:tc>
          <w:tcPr>
            <w:tcW w:w="885" w:type="dxa"/>
            <w:vMerge/>
            <w:tcBorders>
              <w:top w:val="nil"/>
              <w:left w:val="single" w:sz="8" w:space="0" w:color="B8CCE4"/>
              <w:bottom w:val="single" w:sz="8" w:space="0" w:color="B8CCE4"/>
              <w:right w:val="single" w:sz="8" w:space="0" w:color="B8CCE4"/>
            </w:tcBorders>
            <w:vAlign w:val="center"/>
            <w:hideMark/>
          </w:tcPr>
          <w:p w14:paraId="40D0253D" w14:textId="77777777" w:rsidR="008C2096" w:rsidRPr="005045BF" w:rsidRDefault="008C2096" w:rsidP="00AA58AE">
            <w:pPr>
              <w:spacing w:before="40" w:after="60"/>
              <w:rPr>
                <w:rFonts w:ascii="Arial" w:hAnsi="Arial" w:cs="Arial"/>
                <w:b/>
                <w:bCs/>
                <w:color w:val="FFFFFF"/>
                <w:sz w:val="20"/>
                <w:szCs w:val="20"/>
              </w:rPr>
            </w:pPr>
          </w:p>
        </w:tc>
        <w:tc>
          <w:tcPr>
            <w:tcW w:w="1232" w:type="dxa"/>
            <w:tcBorders>
              <w:top w:val="nil"/>
              <w:left w:val="nil"/>
              <w:bottom w:val="single" w:sz="8" w:space="0" w:color="B8CCE4"/>
              <w:right w:val="single" w:sz="8" w:space="0" w:color="B8CCE4"/>
            </w:tcBorders>
            <w:shd w:val="clear" w:color="auto" w:fill="auto"/>
            <w:noWrap/>
            <w:vAlign w:val="center"/>
          </w:tcPr>
          <w:p w14:paraId="0C315AFF" w14:textId="0B4E5054"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Febrero</w:t>
            </w:r>
          </w:p>
        </w:tc>
        <w:tc>
          <w:tcPr>
            <w:tcW w:w="2409" w:type="dxa"/>
            <w:tcBorders>
              <w:top w:val="nil"/>
              <w:left w:val="nil"/>
              <w:bottom w:val="single" w:sz="8" w:space="0" w:color="B8CCE4"/>
              <w:right w:val="single" w:sz="8" w:space="0" w:color="B8CCE4"/>
            </w:tcBorders>
            <w:shd w:val="clear" w:color="auto" w:fill="auto"/>
            <w:noWrap/>
            <w:vAlign w:val="center"/>
          </w:tcPr>
          <w:p w14:paraId="5C7CA733" w14:textId="566C683A"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816</w:t>
            </w:r>
          </w:p>
        </w:tc>
        <w:tc>
          <w:tcPr>
            <w:tcW w:w="1351" w:type="dxa"/>
            <w:tcBorders>
              <w:top w:val="nil"/>
              <w:left w:val="nil"/>
              <w:bottom w:val="single" w:sz="8" w:space="0" w:color="B8CCE4"/>
              <w:right w:val="single" w:sz="8" w:space="0" w:color="B8CCE4"/>
            </w:tcBorders>
            <w:shd w:val="clear" w:color="auto" w:fill="auto"/>
            <w:noWrap/>
            <w:vAlign w:val="center"/>
          </w:tcPr>
          <w:p w14:paraId="35274311" w14:textId="17E75E60"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19/03/2019</w:t>
            </w:r>
          </w:p>
        </w:tc>
        <w:tc>
          <w:tcPr>
            <w:tcW w:w="1387" w:type="dxa"/>
            <w:tcBorders>
              <w:top w:val="nil"/>
              <w:left w:val="nil"/>
              <w:bottom w:val="single" w:sz="8" w:space="0" w:color="B8CCE4"/>
              <w:right w:val="single" w:sz="8" w:space="0" w:color="B8CCE4"/>
            </w:tcBorders>
            <w:shd w:val="clear" w:color="auto" w:fill="auto"/>
            <w:noWrap/>
            <w:vAlign w:val="center"/>
          </w:tcPr>
          <w:p w14:paraId="3E44C076" w14:textId="221C5288"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2.099.960</w:t>
            </w:r>
          </w:p>
        </w:tc>
      </w:tr>
      <w:tr w:rsidR="008C2096" w:rsidRPr="005045BF" w14:paraId="5559D491" w14:textId="77777777" w:rsidTr="00AA58AE">
        <w:trPr>
          <w:jc w:val="center"/>
        </w:trPr>
        <w:tc>
          <w:tcPr>
            <w:tcW w:w="885" w:type="dxa"/>
            <w:vMerge/>
            <w:tcBorders>
              <w:top w:val="nil"/>
              <w:left w:val="single" w:sz="8" w:space="0" w:color="B8CCE4"/>
              <w:bottom w:val="single" w:sz="8" w:space="0" w:color="B8CCE4"/>
              <w:right w:val="single" w:sz="8" w:space="0" w:color="B8CCE4"/>
            </w:tcBorders>
            <w:vAlign w:val="center"/>
            <w:hideMark/>
          </w:tcPr>
          <w:p w14:paraId="63FBEFFC" w14:textId="77777777" w:rsidR="008C2096" w:rsidRPr="005045BF" w:rsidRDefault="008C2096" w:rsidP="00AA58AE">
            <w:pPr>
              <w:spacing w:before="40" w:after="60"/>
              <w:rPr>
                <w:rFonts w:ascii="Arial" w:hAnsi="Arial" w:cs="Arial"/>
                <w:b/>
                <w:bCs/>
                <w:color w:val="FFFFFF"/>
                <w:sz w:val="20"/>
                <w:szCs w:val="20"/>
              </w:rPr>
            </w:pPr>
          </w:p>
        </w:tc>
        <w:tc>
          <w:tcPr>
            <w:tcW w:w="1232" w:type="dxa"/>
            <w:tcBorders>
              <w:top w:val="nil"/>
              <w:left w:val="nil"/>
              <w:bottom w:val="single" w:sz="8" w:space="0" w:color="B8CCE4"/>
              <w:right w:val="single" w:sz="8" w:space="0" w:color="B8CCE4"/>
            </w:tcBorders>
            <w:shd w:val="clear" w:color="auto" w:fill="auto"/>
            <w:noWrap/>
            <w:vAlign w:val="center"/>
          </w:tcPr>
          <w:p w14:paraId="53327614" w14:textId="3396F416" w:rsidR="008C2096" w:rsidRPr="005045BF" w:rsidRDefault="008C2096" w:rsidP="00AA58AE">
            <w:pPr>
              <w:spacing w:before="40" w:after="60"/>
              <w:rPr>
                <w:rFonts w:ascii="Arial" w:hAnsi="Arial" w:cs="Arial"/>
                <w:color w:val="0F243E"/>
                <w:sz w:val="20"/>
                <w:szCs w:val="20"/>
              </w:rPr>
            </w:pPr>
            <w:r w:rsidRPr="005045BF">
              <w:rPr>
                <w:rFonts w:ascii="Arial" w:hAnsi="Arial" w:cs="Arial"/>
                <w:color w:val="0F243E"/>
                <w:sz w:val="20"/>
                <w:szCs w:val="20"/>
              </w:rPr>
              <w:t>Marzo</w:t>
            </w:r>
          </w:p>
        </w:tc>
        <w:tc>
          <w:tcPr>
            <w:tcW w:w="2409" w:type="dxa"/>
            <w:tcBorders>
              <w:top w:val="nil"/>
              <w:left w:val="nil"/>
              <w:bottom w:val="single" w:sz="8" w:space="0" w:color="B8CCE4"/>
              <w:right w:val="single" w:sz="8" w:space="0" w:color="B8CCE4"/>
            </w:tcBorders>
            <w:shd w:val="clear" w:color="auto" w:fill="auto"/>
            <w:noWrap/>
            <w:vAlign w:val="center"/>
          </w:tcPr>
          <w:p w14:paraId="51E8CDCF" w14:textId="411ED12D" w:rsidR="008C2096" w:rsidRPr="005045BF" w:rsidRDefault="008C2096" w:rsidP="00AA58AE">
            <w:pPr>
              <w:spacing w:before="40" w:after="60"/>
              <w:jc w:val="center"/>
              <w:rPr>
                <w:rFonts w:ascii="Arial" w:hAnsi="Arial" w:cs="Arial"/>
                <w:color w:val="0F243E"/>
                <w:sz w:val="20"/>
                <w:szCs w:val="20"/>
              </w:rPr>
            </w:pPr>
            <w:r w:rsidRPr="005045BF">
              <w:rPr>
                <w:rFonts w:ascii="Arial" w:hAnsi="Arial" w:cs="Arial"/>
                <w:color w:val="0F243E"/>
                <w:sz w:val="20"/>
                <w:szCs w:val="20"/>
              </w:rPr>
              <w:t>1158</w:t>
            </w:r>
          </w:p>
        </w:tc>
        <w:tc>
          <w:tcPr>
            <w:tcW w:w="1351" w:type="dxa"/>
            <w:tcBorders>
              <w:top w:val="nil"/>
              <w:left w:val="nil"/>
              <w:bottom w:val="single" w:sz="8" w:space="0" w:color="B8CCE4"/>
              <w:right w:val="single" w:sz="8" w:space="0" w:color="B8CCE4"/>
            </w:tcBorders>
            <w:shd w:val="clear" w:color="auto" w:fill="auto"/>
            <w:noWrap/>
            <w:vAlign w:val="center"/>
          </w:tcPr>
          <w:p w14:paraId="6B2C514B" w14:textId="564B7560"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15/04/2019</w:t>
            </w:r>
          </w:p>
        </w:tc>
        <w:tc>
          <w:tcPr>
            <w:tcW w:w="1387" w:type="dxa"/>
            <w:tcBorders>
              <w:top w:val="nil"/>
              <w:left w:val="nil"/>
              <w:bottom w:val="single" w:sz="8" w:space="0" w:color="B8CCE4"/>
              <w:right w:val="single" w:sz="8" w:space="0" w:color="B8CCE4"/>
            </w:tcBorders>
            <w:shd w:val="clear" w:color="auto" w:fill="auto"/>
            <w:noWrap/>
            <w:vAlign w:val="center"/>
          </w:tcPr>
          <w:p w14:paraId="1E3794F2" w14:textId="27E2CF66" w:rsidR="008C2096" w:rsidRPr="005045BF" w:rsidRDefault="008C2096" w:rsidP="00AA58AE">
            <w:pPr>
              <w:spacing w:before="40" w:after="60"/>
              <w:jc w:val="right"/>
              <w:rPr>
                <w:rFonts w:ascii="Arial" w:hAnsi="Arial" w:cs="Arial"/>
                <w:color w:val="0F243E"/>
                <w:sz w:val="20"/>
                <w:szCs w:val="20"/>
              </w:rPr>
            </w:pPr>
            <w:r w:rsidRPr="005045BF">
              <w:rPr>
                <w:rFonts w:ascii="Arial" w:hAnsi="Arial" w:cs="Arial"/>
                <w:color w:val="0F243E"/>
                <w:sz w:val="20"/>
                <w:szCs w:val="20"/>
              </w:rPr>
              <w:t>1.969.643</w:t>
            </w:r>
          </w:p>
        </w:tc>
      </w:tr>
      <w:tr w:rsidR="00C26B3C" w:rsidRPr="005045BF" w14:paraId="12E948C3" w14:textId="77777777" w:rsidTr="00AA58AE">
        <w:trPr>
          <w:jc w:val="center"/>
        </w:trPr>
        <w:tc>
          <w:tcPr>
            <w:tcW w:w="5877" w:type="dxa"/>
            <w:gridSpan w:val="4"/>
            <w:tcBorders>
              <w:top w:val="single" w:sz="8" w:space="0" w:color="B8CCE4"/>
              <w:left w:val="single" w:sz="8" w:space="0" w:color="B8CCE4"/>
              <w:bottom w:val="double" w:sz="6" w:space="0" w:color="4F81BD"/>
              <w:right w:val="single" w:sz="8" w:space="0" w:color="B8CCE4"/>
            </w:tcBorders>
            <w:shd w:val="clear" w:color="000000" w:fill="4F81BD"/>
            <w:noWrap/>
            <w:vAlign w:val="center"/>
            <w:hideMark/>
          </w:tcPr>
          <w:p w14:paraId="723C918B" w14:textId="02E18C51" w:rsidR="00C26B3C" w:rsidRPr="005045BF" w:rsidRDefault="00BA2679" w:rsidP="00AA58AE">
            <w:pPr>
              <w:spacing w:before="40" w:after="60"/>
              <w:jc w:val="center"/>
              <w:rPr>
                <w:rFonts w:ascii="Arial" w:hAnsi="Arial" w:cs="Arial"/>
                <w:b/>
                <w:bCs/>
                <w:color w:val="FFFFFF"/>
                <w:sz w:val="20"/>
                <w:szCs w:val="20"/>
              </w:rPr>
            </w:pPr>
            <w:r w:rsidRPr="005045BF">
              <w:rPr>
                <w:rFonts w:ascii="Arial" w:hAnsi="Arial" w:cs="Arial"/>
                <w:b/>
                <w:bCs/>
                <w:color w:val="FFFFFF"/>
                <w:sz w:val="20"/>
                <w:szCs w:val="20"/>
              </w:rPr>
              <w:t>Total Pago</w:t>
            </w:r>
            <w:r w:rsidR="00C26B3C" w:rsidRPr="005045BF">
              <w:rPr>
                <w:rFonts w:ascii="Arial" w:hAnsi="Arial" w:cs="Arial"/>
                <w:b/>
                <w:bCs/>
                <w:color w:val="FFFFFF"/>
                <w:sz w:val="20"/>
                <w:szCs w:val="20"/>
              </w:rPr>
              <w:t xml:space="preserve"> de Garajes I Trimestre 201</w:t>
            </w:r>
            <w:r w:rsidR="008C2096" w:rsidRPr="005045BF">
              <w:rPr>
                <w:rFonts w:ascii="Arial" w:hAnsi="Arial" w:cs="Arial"/>
                <w:b/>
                <w:bCs/>
                <w:color w:val="FFFFFF"/>
                <w:sz w:val="20"/>
                <w:szCs w:val="20"/>
              </w:rPr>
              <w:t>9</w:t>
            </w:r>
          </w:p>
        </w:tc>
        <w:tc>
          <w:tcPr>
            <w:tcW w:w="1387" w:type="dxa"/>
            <w:tcBorders>
              <w:top w:val="nil"/>
              <w:left w:val="nil"/>
              <w:bottom w:val="double" w:sz="6" w:space="0" w:color="4F81BD"/>
              <w:right w:val="single" w:sz="8" w:space="0" w:color="B8CCE4"/>
            </w:tcBorders>
            <w:shd w:val="clear" w:color="000000" w:fill="4F81BD"/>
            <w:noWrap/>
            <w:vAlign w:val="center"/>
            <w:hideMark/>
          </w:tcPr>
          <w:p w14:paraId="18A87DA8" w14:textId="7D773AC5" w:rsidR="00C26B3C" w:rsidRPr="005045BF" w:rsidRDefault="008C2096" w:rsidP="00AA58AE">
            <w:pPr>
              <w:spacing w:before="40" w:after="60"/>
              <w:jc w:val="right"/>
              <w:rPr>
                <w:rFonts w:ascii="Arial" w:hAnsi="Arial" w:cs="Arial"/>
                <w:b/>
                <w:bCs/>
                <w:color w:val="FFFFFF"/>
                <w:sz w:val="20"/>
                <w:szCs w:val="20"/>
              </w:rPr>
            </w:pPr>
            <w:r w:rsidRPr="005045BF">
              <w:rPr>
                <w:rFonts w:ascii="Arial" w:hAnsi="Arial" w:cs="Arial"/>
                <w:b/>
                <w:bCs/>
                <w:color w:val="FFFFFF"/>
                <w:sz w:val="20"/>
                <w:szCs w:val="20"/>
              </w:rPr>
              <w:t>6.016.907</w:t>
            </w:r>
          </w:p>
        </w:tc>
      </w:tr>
      <w:tr w:rsidR="008C2096" w:rsidRPr="005045BF" w14:paraId="0354191E" w14:textId="77777777" w:rsidTr="00AA58AE">
        <w:trPr>
          <w:jc w:val="center"/>
        </w:trPr>
        <w:tc>
          <w:tcPr>
            <w:tcW w:w="5877" w:type="dxa"/>
            <w:gridSpan w:val="4"/>
            <w:tcBorders>
              <w:top w:val="double" w:sz="6" w:space="0" w:color="4F81BD"/>
              <w:left w:val="nil"/>
              <w:bottom w:val="nil"/>
              <w:right w:val="nil"/>
            </w:tcBorders>
            <w:shd w:val="clear" w:color="auto" w:fill="auto"/>
            <w:noWrap/>
            <w:vAlign w:val="center"/>
            <w:hideMark/>
          </w:tcPr>
          <w:p w14:paraId="1A991332" w14:textId="77777777" w:rsidR="008C2096" w:rsidRPr="005045BF" w:rsidRDefault="008C2096" w:rsidP="00AA58AE">
            <w:pPr>
              <w:spacing w:before="40" w:after="6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387" w:type="dxa"/>
            <w:tcBorders>
              <w:top w:val="nil"/>
              <w:left w:val="nil"/>
              <w:bottom w:val="nil"/>
              <w:right w:val="nil"/>
            </w:tcBorders>
            <w:shd w:val="clear" w:color="auto" w:fill="auto"/>
            <w:noWrap/>
            <w:vAlign w:val="center"/>
            <w:hideMark/>
          </w:tcPr>
          <w:p w14:paraId="7D821B09" w14:textId="43AE94E8" w:rsidR="008C2096" w:rsidRPr="005045BF" w:rsidRDefault="008C2096" w:rsidP="00AA58AE">
            <w:pPr>
              <w:spacing w:before="40" w:after="60"/>
              <w:jc w:val="center"/>
              <w:rPr>
                <w:rFonts w:ascii="Arial" w:hAnsi="Arial" w:cs="Arial"/>
                <w:b/>
                <w:bCs/>
                <w:color w:val="0F243E"/>
                <w:sz w:val="20"/>
                <w:szCs w:val="20"/>
              </w:rPr>
            </w:pPr>
            <w:r w:rsidRPr="005045BF">
              <w:rPr>
                <w:rFonts w:ascii="Arial" w:hAnsi="Arial" w:cs="Arial"/>
                <w:b/>
                <w:bCs/>
                <w:color w:val="0F243E"/>
                <w:sz w:val="20"/>
                <w:szCs w:val="20"/>
              </w:rPr>
              <w:t>(949.455)</w:t>
            </w:r>
          </w:p>
        </w:tc>
      </w:tr>
      <w:tr w:rsidR="008C2096" w:rsidRPr="005045BF" w14:paraId="669C3F2E" w14:textId="77777777" w:rsidTr="00AA58AE">
        <w:trPr>
          <w:jc w:val="center"/>
        </w:trPr>
        <w:tc>
          <w:tcPr>
            <w:tcW w:w="5877" w:type="dxa"/>
            <w:gridSpan w:val="4"/>
            <w:tcBorders>
              <w:top w:val="nil"/>
              <w:left w:val="nil"/>
              <w:bottom w:val="double" w:sz="6" w:space="0" w:color="4F81BD"/>
              <w:right w:val="nil"/>
            </w:tcBorders>
            <w:shd w:val="clear" w:color="auto" w:fill="auto"/>
            <w:noWrap/>
            <w:vAlign w:val="center"/>
            <w:hideMark/>
          </w:tcPr>
          <w:p w14:paraId="4C54364A" w14:textId="77777777" w:rsidR="008C2096" w:rsidRPr="005045BF" w:rsidRDefault="008C2096" w:rsidP="00AA58AE">
            <w:pPr>
              <w:spacing w:before="40" w:after="6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1387" w:type="dxa"/>
            <w:tcBorders>
              <w:top w:val="nil"/>
              <w:left w:val="nil"/>
              <w:bottom w:val="double" w:sz="6" w:space="0" w:color="4F81BD"/>
              <w:right w:val="nil"/>
            </w:tcBorders>
            <w:shd w:val="clear" w:color="auto" w:fill="auto"/>
            <w:noWrap/>
            <w:vAlign w:val="center"/>
            <w:hideMark/>
          </w:tcPr>
          <w:p w14:paraId="55B39D09" w14:textId="65682B24" w:rsidR="008C2096" w:rsidRPr="005045BF" w:rsidRDefault="008C2096" w:rsidP="00AA58AE">
            <w:pPr>
              <w:spacing w:before="40" w:after="60"/>
              <w:jc w:val="center"/>
              <w:rPr>
                <w:rFonts w:ascii="Arial" w:hAnsi="Arial" w:cs="Arial"/>
                <w:b/>
                <w:bCs/>
                <w:color w:val="0F243E"/>
                <w:sz w:val="20"/>
                <w:szCs w:val="20"/>
              </w:rPr>
            </w:pPr>
            <w:r w:rsidRPr="005045BF">
              <w:rPr>
                <w:rFonts w:ascii="Arial" w:hAnsi="Arial" w:cs="Arial"/>
                <w:b/>
                <w:bCs/>
                <w:color w:val="0F243E"/>
                <w:sz w:val="20"/>
                <w:szCs w:val="20"/>
              </w:rPr>
              <w:t>(16%)</w:t>
            </w:r>
          </w:p>
        </w:tc>
      </w:tr>
    </w:tbl>
    <w:p w14:paraId="0E4D4FAB" w14:textId="77777777" w:rsidR="00916467" w:rsidRPr="005045BF" w:rsidRDefault="00916467" w:rsidP="00155645">
      <w:pPr>
        <w:spacing w:after="200" w:line="276" w:lineRule="auto"/>
        <w:rPr>
          <w:rFonts w:ascii="Arial" w:hAnsi="Arial" w:cs="Arial"/>
          <w:color w:val="000000"/>
          <w:sz w:val="22"/>
          <w:szCs w:val="22"/>
          <w:highlight w:val="yellow"/>
        </w:rPr>
      </w:pPr>
    </w:p>
    <w:p w14:paraId="487D2076" w14:textId="7DD65470" w:rsidR="0099195F" w:rsidRPr="005045BF" w:rsidRDefault="0084202A" w:rsidP="0084202A">
      <w:pPr>
        <w:pStyle w:val="Prrafodelista"/>
        <w:numPr>
          <w:ilvl w:val="0"/>
          <w:numId w:val="8"/>
        </w:numPr>
        <w:spacing w:after="200" w:line="276" w:lineRule="auto"/>
        <w:ind w:left="284" w:hanging="284"/>
        <w:rPr>
          <w:rFonts w:ascii="Arial" w:hAnsi="Arial" w:cs="Arial"/>
          <w:b/>
          <w:sz w:val="22"/>
          <w:szCs w:val="22"/>
        </w:rPr>
      </w:pPr>
      <w:r w:rsidRPr="005045BF">
        <w:rPr>
          <w:rFonts w:ascii="Arial" w:hAnsi="Arial" w:cs="Arial"/>
          <w:b/>
          <w:sz w:val="22"/>
          <w:szCs w:val="22"/>
        </w:rPr>
        <w:t xml:space="preserve">AHORRO EN </w:t>
      </w:r>
      <w:r w:rsidR="0099195F" w:rsidRPr="005045BF">
        <w:rPr>
          <w:rFonts w:ascii="Arial" w:hAnsi="Arial" w:cs="Arial"/>
          <w:b/>
          <w:sz w:val="22"/>
          <w:szCs w:val="22"/>
        </w:rPr>
        <w:t xml:space="preserve">PUBLICIDAD </w:t>
      </w:r>
      <w:r w:rsidRPr="005045BF">
        <w:rPr>
          <w:rFonts w:ascii="Arial" w:hAnsi="Arial" w:cs="Arial"/>
          <w:b/>
          <w:sz w:val="22"/>
          <w:szCs w:val="22"/>
        </w:rPr>
        <w:t xml:space="preserve">ESTATAL </w:t>
      </w:r>
    </w:p>
    <w:p w14:paraId="278CE218" w14:textId="77777777" w:rsidR="0099195F" w:rsidRPr="005045BF" w:rsidRDefault="007E321E" w:rsidP="008E70E2">
      <w:pPr>
        <w:tabs>
          <w:tab w:val="left" w:pos="426"/>
        </w:tabs>
        <w:jc w:val="both"/>
        <w:rPr>
          <w:rFonts w:ascii="Arial" w:hAnsi="Arial" w:cs="Arial"/>
          <w:sz w:val="22"/>
          <w:szCs w:val="22"/>
        </w:rPr>
      </w:pPr>
      <w:r w:rsidRPr="005045BF">
        <w:rPr>
          <w:rFonts w:ascii="Arial" w:hAnsi="Arial" w:cs="Arial"/>
          <w:sz w:val="22"/>
          <w:szCs w:val="22"/>
        </w:rPr>
        <w:t>Según la Directiva 09 de 2018, en el numeral 5 imparte directrices que se deben contemplar en el marco de la austeridad del gasto</w:t>
      </w:r>
      <w:r w:rsidR="001A37B8" w:rsidRPr="005045BF">
        <w:rPr>
          <w:rFonts w:ascii="Arial" w:hAnsi="Arial" w:cs="Arial"/>
          <w:sz w:val="22"/>
          <w:szCs w:val="22"/>
        </w:rPr>
        <w:t xml:space="preserve"> frente a la publicidad y publicaciones</w:t>
      </w:r>
      <w:r w:rsidRPr="005045BF">
        <w:rPr>
          <w:rFonts w:ascii="Arial" w:hAnsi="Arial" w:cs="Arial"/>
          <w:sz w:val="22"/>
          <w:szCs w:val="22"/>
        </w:rPr>
        <w:t xml:space="preserve">. Esta verificación se enfocó en el numeral 5.2 así: </w:t>
      </w:r>
      <w:r w:rsidRPr="005045BF">
        <w:rPr>
          <w:rFonts w:ascii="Arial" w:hAnsi="Arial" w:cs="Arial"/>
          <w:i/>
          <w:sz w:val="20"/>
          <w:szCs w:val="20"/>
        </w:rPr>
        <w:t>Todo gasto de publicidad estatal, de todas las entidades de la rama ejecutiva del orden nacional, deberá enmarcarse en el uso adecuado y eficiente de los recursos públicos destinados a la contratación, con el fin de evitar su uso excesivo, controlar el gasto público y garantizar la austeridad.</w:t>
      </w:r>
      <w:r w:rsidRPr="005045BF">
        <w:rPr>
          <w:rFonts w:ascii="Arial" w:hAnsi="Arial" w:cs="Arial"/>
          <w:sz w:val="22"/>
          <w:szCs w:val="22"/>
        </w:rPr>
        <w:t xml:space="preserve"> </w:t>
      </w:r>
    </w:p>
    <w:p w14:paraId="62CA6D50" w14:textId="77777777" w:rsidR="007E321E" w:rsidRPr="005045BF" w:rsidRDefault="007E321E" w:rsidP="00AA58AE">
      <w:pPr>
        <w:widowControl w:val="0"/>
        <w:tabs>
          <w:tab w:val="left" w:pos="426"/>
        </w:tabs>
        <w:spacing w:line="168" w:lineRule="auto"/>
        <w:jc w:val="both"/>
        <w:rPr>
          <w:rFonts w:ascii="Arial" w:hAnsi="Arial" w:cs="Arial"/>
          <w:sz w:val="22"/>
          <w:szCs w:val="22"/>
        </w:rPr>
      </w:pPr>
    </w:p>
    <w:p w14:paraId="0AD0888E" w14:textId="06CC1E47" w:rsidR="0099195F" w:rsidRPr="005045BF" w:rsidRDefault="007E321E" w:rsidP="008E70E2">
      <w:pPr>
        <w:tabs>
          <w:tab w:val="left" w:pos="426"/>
        </w:tabs>
        <w:jc w:val="both"/>
        <w:rPr>
          <w:rFonts w:ascii="Arial" w:hAnsi="Arial" w:cs="Arial"/>
          <w:sz w:val="22"/>
          <w:szCs w:val="22"/>
        </w:rPr>
      </w:pPr>
      <w:r w:rsidRPr="005045BF">
        <w:rPr>
          <w:rFonts w:ascii="Arial" w:hAnsi="Arial" w:cs="Arial"/>
          <w:sz w:val="22"/>
          <w:szCs w:val="22"/>
        </w:rPr>
        <w:t>Por lo anterior, se verific</w:t>
      </w:r>
      <w:r w:rsidR="00780508" w:rsidRPr="005045BF">
        <w:rPr>
          <w:rFonts w:ascii="Arial" w:hAnsi="Arial" w:cs="Arial"/>
          <w:sz w:val="22"/>
          <w:szCs w:val="22"/>
        </w:rPr>
        <w:t xml:space="preserve">ó en el Plan </w:t>
      </w:r>
      <w:r w:rsidR="001F2190" w:rsidRPr="005045BF">
        <w:rPr>
          <w:rFonts w:ascii="Arial" w:hAnsi="Arial" w:cs="Arial"/>
          <w:sz w:val="22"/>
          <w:szCs w:val="22"/>
        </w:rPr>
        <w:t>Anual de Adquisiciones para</w:t>
      </w:r>
      <w:r w:rsidR="00780508" w:rsidRPr="005045BF">
        <w:rPr>
          <w:rFonts w:ascii="Arial" w:hAnsi="Arial" w:cs="Arial"/>
          <w:sz w:val="22"/>
          <w:szCs w:val="22"/>
        </w:rPr>
        <w:t xml:space="preserve"> la vigencia 20</w:t>
      </w:r>
      <w:r w:rsidR="00D60C3B" w:rsidRPr="005045BF">
        <w:rPr>
          <w:rFonts w:ascii="Arial" w:hAnsi="Arial" w:cs="Arial"/>
          <w:sz w:val="22"/>
          <w:szCs w:val="22"/>
        </w:rPr>
        <w:t>20</w:t>
      </w:r>
      <w:r w:rsidR="00780508" w:rsidRPr="005045BF">
        <w:rPr>
          <w:rFonts w:ascii="Arial" w:hAnsi="Arial" w:cs="Arial"/>
          <w:sz w:val="22"/>
          <w:szCs w:val="22"/>
        </w:rPr>
        <w:t xml:space="preserve"> y </w:t>
      </w:r>
      <w:r w:rsidR="001573AA" w:rsidRPr="005045BF">
        <w:rPr>
          <w:rFonts w:ascii="Arial" w:hAnsi="Arial" w:cs="Arial"/>
          <w:sz w:val="22"/>
          <w:szCs w:val="22"/>
        </w:rPr>
        <w:t xml:space="preserve">se consultó </w:t>
      </w:r>
      <w:r w:rsidR="00780508" w:rsidRPr="005045BF">
        <w:rPr>
          <w:rFonts w:ascii="Arial" w:hAnsi="Arial" w:cs="Arial"/>
          <w:sz w:val="22"/>
          <w:szCs w:val="22"/>
        </w:rPr>
        <w:t xml:space="preserve">las obligaciones </w:t>
      </w:r>
      <w:r w:rsidR="001573AA" w:rsidRPr="005045BF">
        <w:rPr>
          <w:rFonts w:ascii="Arial" w:hAnsi="Arial" w:cs="Arial"/>
          <w:sz w:val="22"/>
          <w:szCs w:val="22"/>
        </w:rPr>
        <w:t>registradas en el</w:t>
      </w:r>
      <w:r w:rsidR="00780508" w:rsidRPr="005045BF">
        <w:rPr>
          <w:rFonts w:ascii="Arial" w:hAnsi="Arial" w:cs="Arial"/>
          <w:sz w:val="22"/>
          <w:szCs w:val="22"/>
        </w:rPr>
        <w:t xml:space="preserve"> SIIF Nación para el trimestre objeto de análisis</w:t>
      </w:r>
      <w:r w:rsidR="001573AA" w:rsidRPr="005045BF">
        <w:rPr>
          <w:rFonts w:ascii="Arial" w:hAnsi="Arial" w:cs="Arial"/>
          <w:sz w:val="22"/>
          <w:szCs w:val="22"/>
        </w:rPr>
        <w:t>. Como resultado se</w:t>
      </w:r>
      <w:r w:rsidR="00F11030" w:rsidRPr="005045BF">
        <w:rPr>
          <w:rFonts w:ascii="Arial" w:hAnsi="Arial" w:cs="Arial"/>
          <w:sz w:val="22"/>
          <w:szCs w:val="22"/>
        </w:rPr>
        <w:t xml:space="preserve"> </w:t>
      </w:r>
      <w:r w:rsidR="0099195F" w:rsidRPr="005045BF">
        <w:rPr>
          <w:rFonts w:ascii="Arial" w:hAnsi="Arial" w:cs="Arial"/>
          <w:sz w:val="22"/>
          <w:szCs w:val="22"/>
        </w:rPr>
        <w:t xml:space="preserve">evidenció que no se </w:t>
      </w:r>
      <w:r w:rsidR="00F11030" w:rsidRPr="005045BF">
        <w:rPr>
          <w:rFonts w:ascii="Arial" w:hAnsi="Arial" w:cs="Arial"/>
          <w:sz w:val="22"/>
          <w:szCs w:val="22"/>
        </w:rPr>
        <w:t xml:space="preserve">efectuaron contrataciones </w:t>
      </w:r>
      <w:r w:rsidR="001573AA" w:rsidRPr="005045BF">
        <w:rPr>
          <w:rFonts w:ascii="Arial" w:hAnsi="Arial" w:cs="Arial"/>
          <w:sz w:val="22"/>
          <w:szCs w:val="22"/>
        </w:rPr>
        <w:t xml:space="preserve">por los conceptos de edición de </w:t>
      </w:r>
      <w:r w:rsidR="0099195F" w:rsidRPr="005045BF">
        <w:rPr>
          <w:rFonts w:ascii="Arial" w:hAnsi="Arial" w:cs="Arial"/>
          <w:sz w:val="22"/>
          <w:szCs w:val="22"/>
        </w:rPr>
        <w:t>libros, revistas, escritos y trabajos tipográficos.</w:t>
      </w:r>
    </w:p>
    <w:p w14:paraId="7D13780A" w14:textId="77777777" w:rsidR="0099195F" w:rsidRPr="005045BF" w:rsidRDefault="0099195F" w:rsidP="008E70E2">
      <w:pPr>
        <w:tabs>
          <w:tab w:val="left" w:pos="426"/>
        </w:tabs>
        <w:jc w:val="both"/>
        <w:rPr>
          <w:rFonts w:ascii="Arial" w:hAnsi="Arial" w:cs="Arial"/>
          <w:sz w:val="18"/>
          <w:szCs w:val="22"/>
        </w:rPr>
      </w:pPr>
    </w:p>
    <w:p w14:paraId="6EF10A45" w14:textId="79AAFEF8" w:rsidR="00F11030" w:rsidRPr="005045BF" w:rsidRDefault="00FA6775" w:rsidP="00FF1131">
      <w:pPr>
        <w:jc w:val="both"/>
        <w:rPr>
          <w:rFonts w:ascii="Arial" w:hAnsi="Arial" w:cs="Arial"/>
          <w:sz w:val="22"/>
          <w:szCs w:val="22"/>
        </w:rPr>
      </w:pPr>
      <w:r w:rsidRPr="005045BF">
        <w:rPr>
          <w:rFonts w:ascii="Arial" w:hAnsi="Arial" w:cs="Arial"/>
          <w:sz w:val="22"/>
          <w:szCs w:val="22"/>
        </w:rPr>
        <w:t xml:space="preserve">Para el caso de otros gastos por </w:t>
      </w:r>
      <w:r w:rsidR="00CB5600" w:rsidRPr="005045BF">
        <w:rPr>
          <w:rFonts w:ascii="Arial" w:hAnsi="Arial" w:cs="Arial"/>
          <w:sz w:val="22"/>
          <w:szCs w:val="22"/>
        </w:rPr>
        <w:t xml:space="preserve">otros </w:t>
      </w:r>
      <w:r w:rsidRPr="005045BF">
        <w:rPr>
          <w:rFonts w:ascii="Arial" w:hAnsi="Arial" w:cs="Arial"/>
          <w:sz w:val="22"/>
          <w:szCs w:val="22"/>
        </w:rPr>
        <w:t xml:space="preserve">impresos y publicaciones, se observó que para </w:t>
      </w:r>
      <w:r w:rsidR="00094E51" w:rsidRPr="005045BF">
        <w:rPr>
          <w:rFonts w:ascii="Arial" w:hAnsi="Arial" w:cs="Arial"/>
          <w:sz w:val="22"/>
          <w:szCs w:val="22"/>
        </w:rPr>
        <w:t>a 31 de marzo de 2020</w:t>
      </w:r>
      <w:r w:rsidRPr="005045BF">
        <w:rPr>
          <w:rFonts w:ascii="Arial" w:hAnsi="Arial" w:cs="Arial"/>
          <w:sz w:val="22"/>
          <w:szCs w:val="22"/>
        </w:rPr>
        <w:t xml:space="preserve">, </w:t>
      </w:r>
      <w:r w:rsidR="00107936" w:rsidRPr="005045BF">
        <w:rPr>
          <w:rFonts w:ascii="Arial" w:hAnsi="Arial" w:cs="Arial"/>
          <w:sz w:val="22"/>
          <w:szCs w:val="22"/>
        </w:rPr>
        <w:t xml:space="preserve">se encuentran vigentes las siguientes contracciones: </w:t>
      </w:r>
    </w:p>
    <w:p w14:paraId="18A6D4D7" w14:textId="77777777" w:rsidR="00211616" w:rsidRPr="005045BF" w:rsidRDefault="00211616" w:rsidP="00FF1131">
      <w:pPr>
        <w:jc w:val="both"/>
        <w:rPr>
          <w:rFonts w:ascii="Arial" w:hAnsi="Arial" w:cs="Arial"/>
          <w:sz w:val="22"/>
          <w:szCs w:val="22"/>
        </w:rPr>
      </w:pPr>
    </w:p>
    <w:p w14:paraId="6EA02380" w14:textId="77777777" w:rsidR="00FA6775" w:rsidRPr="005045BF" w:rsidRDefault="00FA6775" w:rsidP="00FF1131">
      <w:pPr>
        <w:spacing w:line="168" w:lineRule="auto"/>
        <w:jc w:val="both"/>
        <w:rPr>
          <w:rFonts w:ascii="Arial" w:hAnsi="Arial" w:cs="Arial"/>
          <w:sz w:val="18"/>
          <w:szCs w:val="22"/>
          <w:highlight w:val="yellow"/>
        </w:rPr>
      </w:pPr>
    </w:p>
    <w:tbl>
      <w:tblPr>
        <w:tblStyle w:val="Tabladelista7concolores-nfasis5"/>
        <w:tblW w:w="0" w:type="auto"/>
        <w:tblLook w:val="04A0" w:firstRow="1" w:lastRow="0" w:firstColumn="1" w:lastColumn="0" w:noHBand="0" w:noVBand="1"/>
      </w:tblPr>
      <w:tblGrid>
        <w:gridCol w:w="1276"/>
        <w:gridCol w:w="1701"/>
        <w:gridCol w:w="4116"/>
        <w:gridCol w:w="1329"/>
        <w:gridCol w:w="1217"/>
      </w:tblGrid>
      <w:tr w:rsidR="00E709C5" w:rsidRPr="005045BF" w14:paraId="14817520" w14:textId="77777777" w:rsidTr="00AA58AE">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276" w:type="dxa"/>
            <w:tcBorders>
              <w:top w:val="double" w:sz="4" w:space="0" w:color="4F81BD" w:themeColor="accent1"/>
              <w:bottom w:val="single" w:sz="4" w:space="0" w:color="4F81BD" w:themeColor="accent1"/>
            </w:tcBorders>
            <w:vAlign w:val="center"/>
            <w:hideMark/>
          </w:tcPr>
          <w:p w14:paraId="107EE1BC" w14:textId="77777777" w:rsidR="00CB5600" w:rsidRPr="005045BF" w:rsidRDefault="00CB5600" w:rsidP="00AA58AE">
            <w:pPr>
              <w:widowControl w:val="0"/>
              <w:spacing w:before="20" w:after="20"/>
              <w:jc w:val="center"/>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Número</w:t>
            </w:r>
          </w:p>
        </w:tc>
        <w:tc>
          <w:tcPr>
            <w:tcW w:w="1701" w:type="dxa"/>
            <w:tcBorders>
              <w:top w:val="double" w:sz="4" w:space="0" w:color="4F81BD" w:themeColor="accent1"/>
              <w:bottom w:val="single" w:sz="4" w:space="0" w:color="4F81BD" w:themeColor="accent1"/>
            </w:tcBorders>
            <w:vAlign w:val="center"/>
            <w:hideMark/>
          </w:tcPr>
          <w:p w14:paraId="6EA6A310" w14:textId="77777777" w:rsidR="00CB5600" w:rsidRPr="005045BF" w:rsidRDefault="00CB5600" w:rsidP="00AA58AE">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Contratistas</w:t>
            </w:r>
          </w:p>
        </w:tc>
        <w:tc>
          <w:tcPr>
            <w:tcW w:w="4116" w:type="dxa"/>
            <w:tcBorders>
              <w:top w:val="double" w:sz="4" w:space="0" w:color="4F81BD" w:themeColor="accent1"/>
              <w:bottom w:val="single" w:sz="4" w:space="0" w:color="4F81BD" w:themeColor="accent1"/>
            </w:tcBorders>
            <w:vAlign w:val="center"/>
            <w:hideMark/>
          </w:tcPr>
          <w:p w14:paraId="09CA9EBE" w14:textId="77777777" w:rsidR="00CB5600" w:rsidRPr="005045BF" w:rsidRDefault="00CB5600" w:rsidP="00AA58AE">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Objeto</w:t>
            </w:r>
          </w:p>
        </w:tc>
        <w:tc>
          <w:tcPr>
            <w:tcW w:w="1329" w:type="dxa"/>
            <w:tcBorders>
              <w:top w:val="double" w:sz="4" w:space="0" w:color="4F81BD" w:themeColor="accent1"/>
              <w:bottom w:val="single" w:sz="4" w:space="0" w:color="4F81BD" w:themeColor="accent1"/>
            </w:tcBorders>
            <w:vAlign w:val="center"/>
            <w:hideMark/>
          </w:tcPr>
          <w:p w14:paraId="3D38914D" w14:textId="77777777" w:rsidR="00CB5600" w:rsidRPr="005045BF" w:rsidRDefault="00CB5600" w:rsidP="00AA58AE">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 xml:space="preserve">Valor </w:t>
            </w:r>
            <w:r w:rsidR="00C7615B" w:rsidRPr="005045BF">
              <w:rPr>
                <w:rFonts w:ascii="Arial" w:hAnsi="Arial" w:cs="Arial"/>
                <w:b/>
                <w:color w:val="0F243E" w:themeColor="text2" w:themeShade="80"/>
                <w:sz w:val="20"/>
                <w:szCs w:val="20"/>
              </w:rPr>
              <w:t>($)</w:t>
            </w:r>
          </w:p>
        </w:tc>
        <w:tc>
          <w:tcPr>
            <w:tcW w:w="0" w:type="auto"/>
            <w:tcBorders>
              <w:top w:val="double" w:sz="4" w:space="0" w:color="4F81BD" w:themeColor="accent1"/>
              <w:bottom w:val="single" w:sz="4" w:space="0" w:color="4F81BD" w:themeColor="accent1"/>
            </w:tcBorders>
            <w:vAlign w:val="center"/>
            <w:hideMark/>
          </w:tcPr>
          <w:p w14:paraId="3E2B0C3E" w14:textId="77777777" w:rsidR="00CB5600" w:rsidRPr="005045BF" w:rsidRDefault="00CB5600" w:rsidP="00AA58AE">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Plazo</w:t>
            </w:r>
          </w:p>
        </w:tc>
      </w:tr>
      <w:tr w:rsidR="00E709C5" w:rsidRPr="005045BF" w14:paraId="12EC8A29" w14:textId="77777777" w:rsidTr="00AA58AE">
        <w:trPr>
          <w:cnfStyle w:val="000000100000" w:firstRow="0" w:lastRow="0" w:firstColumn="0" w:lastColumn="0" w:oddVBand="0" w:evenVBand="0" w:oddHBand="1" w:evenHBand="0" w:firstRowFirstColumn="0" w:firstRowLastColumn="0" w:lastRowFirstColumn="0" w:lastRowLastColumn="0"/>
          <w:cantSplit/>
          <w:trHeight w:val="1126"/>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bottom w:val="single" w:sz="4" w:space="0" w:color="4F81BD" w:themeColor="accent1"/>
              <w:right w:val="single" w:sz="4" w:space="0" w:color="4F81BD" w:themeColor="accent1"/>
            </w:tcBorders>
            <w:vAlign w:val="center"/>
            <w:hideMark/>
          </w:tcPr>
          <w:p w14:paraId="457714DB" w14:textId="53C241F8" w:rsidR="00CB5600" w:rsidRPr="005045BF" w:rsidRDefault="00CB5600" w:rsidP="00AA58AE">
            <w:pPr>
              <w:widowControl w:val="0"/>
              <w:spacing w:before="20" w:after="20"/>
              <w:jc w:val="center"/>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7.0</w:t>
            </w:r>
            <w:r w:rsidR="00465FF9" w:rsidRPr="005045BF">
              <w:rPr>
                <w:rFonts w:ascii="Arial" w:hAnsi="Arial" w:cs="Arial"/>
                <w:b/>
                <w:color w:val="0F243E" w:themeColor="text2" w:themeShade="80"/>
                <w:sz w:val="20"/>
                <w:szCs w:val="20"/>
              </w:rPr>
              <w:t>01.2020</w:t>
            </w:r>
            <w:r w:rsidRPr="005045BF">
              <w:rPr>
                <w:rFonts w:ascii="Arial" w:hAnsi="Arial" w:cs="Arial"/>
                <w:b/>
                <w:color w:val="0F243E" w:themeColor="text2" w:themeShade="80"/>
                <w:sz w:val="20"/>
                <w:szCs w:val="20"/>
              </w:rPr>
              <w:t xml:space="preserve"> </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467F34C" w14:textId="77777777" w:rsidR="00CB5600" w:rsidRPr="005045BF" w:rsidRDefault="00CB5600" w:rsidP="00AA58AE">
            <w:pPr>
              <w:widowControl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Imprenta Nacional de Colombia</w:t>
            </w:r>
          </w:p>
        </w:tc>
        <w:tc>
          <w:tcPr>
            <w:tcW w:w="4116"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22ED6701" w14:textId="77777777" w:rsidR="00CB5600" w:rsidRPr="005045BF" w:rsidRDefault="00CB5600" w:rsidP="00AA58AE">
            <w:pPr>
              <w:widowControl w:val="0"/>
              <w:spacing w:before="20" w:after="20"/>
              <w:jc w:val="both"/>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Prestar los servicios de publicación y difusión en el Diario Oficial de los diferentes actos administrativos expedidos por el Ministerio de Hacienda y Crédito Público</w:t>
            </w:r>
          </w:p>
        </w:tc>
        <w:tc>
          <w:tcPr>
            <w:tcW w:w="132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hideMark/>
          </w:tcPr>
          <w:p w14:paraId="08955447" w14:textId="2BEA06EE" w:rsidR="00CB5600" w:rsidRPr="005045BF" w:rsidRDefault="00415082" w:rsidP="00AA58AE">
            <w:pPr>
              <w:widowControl w:val="0"/>
              <w:spacing w:before="20" w:after="20"/>
              <w:jc w:val="right"/>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Narrow" w:hAnsi="Arial Narrow" w:cs="Calibri"/>
                <w:color w:val="0F243E" w:themeColor="text2" w:themeShade="80"/>
                <w:sz w:val="20"/>
                <w:szCs w:val="20"/>
              </w:rPr>
              <w:t xml:space="preserve">         </w:t>
            </w:r>
            <w:r w:rsidR="00465FF9" w:rsidRPr="005045BF">
              <w:rPr>
                <w:rFonts w:ascii="Arial" w:hAnsi="Arial" w:cs="Arial"/>
                <w:color w:val="0F243E" w:themeColor="text2" w:themeShade="80"/>
                <w:sz w:val="20"/>
                <w:szCs w:val="20"/>
              </w:rPr>
              <w:t>375.000.000</w:t>
            </w:r>
            <w:r w:rsidRPr="005045BF">
              <w:rPr>
                <w:rFonts w:ascii="Arial" w:hAnsi="Arial" w:cs="Arial"/>
                <w:color w:val="0F243E" w:themeColor="text2" w:themeShade="80"/>
                <w:sz w:val="20"/>
                <w:szCs w:val="20"/>
              </w:rPr>
              <w:t xml:space="preserve"> </w:t>
            </w:r>
          </w:p>
        </w:tc>
        <w:tc>
          <w:tcPr>
            <w:tcW w:w="0" w:type="auto"/>
            <w:tcBorders>
              <w:top w:val="single" w:sz="4" w:space="0" w:color="4F81BD" w:themeColor="accent1"/>
              <w:left w:val="single" w:sz="4" w:space="0" w:color="4F81BD" w:themeColor="accent1"/>
              <w:bottom w:val="single" w:sz="4" w:space="0" w:color="4F81BD" w:themeColor="accent1"/>
            </w:tcBorders>
            <w:shd w:val="clear" w:color="auto" w:fill="auto"/>
            <w:vAlign w:val="center"/>
            <w:hideMark/>
          </w:tcPr>
          <w:p w14:paraId="63CEE322" w14:textId="0DDB3A73" w:rsidR="00CB5600" w:rsidRPr="005045BF" w:rsidRDefault="00465FF9" w:rsidP="00AA58AE">
            <w:pPr>
              <w:widowControl w:val="0"/>
              <w:spacing w:before="20" w:after="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02/03/2020</w:t>
            </w:r>
            <w:r w:rsidR="00CB5600" w:rsidRPr="005045BF">
              <w:rPr>
                <w:rFonts w:ascii="Arial" w:hAnsi="Arial" w:cs="Arial"/>
                <w:color w:val="0F243E" w:themeColor="text2" w:themeShade="80"/>
                <w:sz w:val="20"/>
                <w:szCs w:val="20"/>
              </w:rPr>
              <w:t xml:space="preserve"> al </w:t>
            </w:r>
            <w:r w:rsidRPr="005045BF">
              <w:rPr>
                <w:rFonts w:ascii="Arial" w:hAnsi="Arial" w:cs="Arial"/>
                <w:color w:val="0F243E" w:themeColor="text2" w:themeShade="80"/>
                <w:sz w:val="20"/>
                <w:szCs w:val="20"/>
              </w:rPr>
              <w:t>31/07/2022</w:t>
            </w:r>
          </w:p>
        </w:tc>
      </w:tr>
      <w:tr w:rsidR="00E709C5" w:rsidRPr="005045BF" w14:paraId="58806224" w14:textId="77777777" w:rsidTr="00AA58AE">
        <w:trPr>
          <w:cantSplit/>
          <w:trHeight w:val="1543"/>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4F81BD" w:themeColor="accent1"/>
              <w:bottom w:val="double" w:sz="4" w:space="0" w:color="4F81BD" w:themeColor="accent1"/>
              <w:right w:val="single" w:sz="4" w:space="0" w:color="4F81BD" w:themeColor="accent1"/>
            </w:tcBorders>
            <w:vAlign w:val="center"/>
            <w:hideMark/>
          </w:tcPr>
          <w:p w14:paraId="177D1592" w14:textId="77777777" w:rsidR="00CB5600" w:rsidRPr="005045BF" w:rsidRDefault="00CB5600" w:rsidP="00AA58AE">
            <w:pPr>
              <w:widowControl w:val="0"/>
              <w:spacing w:before="20" w:after="20"/>
              <w:jc w:val="center"/>
              <w:rPr>
                <w:rFonts w:ascii="Arial" w:hAnsi="Arial" w:cs="Arial"/>
                <w:b/>
                <w:color w:val="0F243E" w:themeColor="text2" w:themeShade="80"/>
                <w:sz w:val="20"/>
                <w:szCs w:val="20"/>
              </w:rPr>
            </w:pPr>
            <w:r w:rsidRPr="005045BF">
              <w:rPr>
                <w:rFonts w:ascii="Arial" w:hAnsi="Arial" w:cs="Arial"/>
                <w:b/>
                <w:color w:val="0F243E" w:themeColor="text2" w:themeShade="80"/>
                <w:sz w:val="20"/>
                <w:szCs w:val="20"/>
              </w:rPr>
              <w:t>3.245-2019</w:t>
            </w:r>
          </w:p>
        </w:tc>
        <w:tc>
          <w:tcPr>
            <w:tcW w:w="1701"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34B1513D" w14:textId="77777777" w:rsidR="00CB5600" w:rsidRPr="005045BF" w:rsidRDefault="00CB5600" w:rsidP="00AA58AE">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Big Media Publicidad SAS</w:t>
            </w:r>
          </w:p>
        </w:tc>
        <w:tc>
          <w:tcPr>
            <w:tcW w:w="4116"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11866AC7" w14:textId="77777777" w:rsidR="00CB5600" w:rsidRPr="005045BF" w:rsidRDefault="00CB5600" w:rsidP="00AA58AE">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Servicio de publicación de avisos de ley, resoluciones, convocatorias, autos, prestaciones sociales, avisos informativos, y otros que requiera publicar en medio impreso de circulación nacional</w:t>
            </w:r>
          </w:p>
        </w:tc>
        <w:tc>
          <w:tcPr>
            <w:tcW w:w="1329" w:type="dxa"/>
            <w:tcBorders>
              <w:top w:val="single" w:sz="4" w:space="0" w:color="4F81BD" w:themeColor="accent1"/>
              <w:left w:val="single" w:sz="4" w:space="0" w:color="4F81BD" w:themeColor="accent1"/>
              <w:bottom w:val="double" w:sz="4" w:space="0" w:color="4F81BD" w:themeColor="accent1"/>
              <w:right w:val="single" w:sz="4" w:space="0" w:color="4F81BD" w:themeColor="accent1"/>
            </w:tcBorders>
            <w:vAlign w:val="center"/>
            <w:hideMark/>
          </w:tcPr>
          <w:p w14:paraId="6CBB110F" w14:textId="77777777" w:rsidR="00CB5600" w:rsidRPr="005045BF" w:rsidRDefault="00CB5600" w:rsidP="00AA58AE">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42.333.440 </w:t>
            </w:r>
          </w:p>
        </w:tc>
        <w:tc>
          <w:tcPr>
            <w:tcW w:w="0" w:type="auto"/>
            <w:tcBorders>
              <w:top w:val="single" w:sz="4" w:space="0" w:color="4F81BD" w:themeColor="accent1"/>
              <w:left w:val="single" w:sz="4" w:space="0" w:color="4F81BD" w:themeColor="accent1"/>
              <w:bottom w:val="double" w:sz="4" w:space="0" w:color="4F81BD" w:themeColor="accent1"/>
            </w:tcBorders>
            <w:vAlign w:val="center"/>
            <w:hideMark/>
          </w:tcPr>
          <w:p w14:paraId="5F8A5233" w14:textId="763051DB" w:rsidR="00CB5600" w:rsidRPr="005045BF" w:rsidRDefault="00CB5600" w:rsidP="00AA58AE">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08/05/2019 al 30/</w:t>
            </w:r>
            <w:r w:rsidR="00415082" w:rsidRPr="005045BF">
              <w:rPr>
                <w:rFonts w:ascii="Arial" w:hAnsi="Arial" w:cs="Arial"/>
                <w:color w:val="0F243E" w:themeColor="text2" w:themeShade="80"/>
                <w:sz w:val="20"/>
                <w:szCs w:val="20"/>
              </w:rPr>
              <w:t>06/2020</w:t>
            </w:r>
          </w:p>
        </w:tc>
      </w:tr>
    </w:tbl>
    <w:p w14:paraId="31F0D25A" w14:textId="2251A59D" w:rsidR="00B0463C" w:rsidRPr="005045BF" w:rsidRDefault="0026607A" w:rsidP="00A336F2">
      <w:pPr>
        <w:jc w:val="both"/>
        <w:rPr>
          <w:rFonts w:ascii="Arial" w:hAnsi="Arial" w:cs="Arial"/>
          <w:sz w:val="22"/>
          <w:szCs w:val="22"/>
        </w:rPr>
      </w:pPr>
      <w:r w:rsidRPr="005045BF">
        <w:rPr>
          <w:rFonts w:ascii="Arial" w:hAnsi="Arial" w:cs="Arial"/>
          <w:sz w:val="22"/>
          <w:szCs w:val="22"/>
        </w:rPr>
        <w:lastRenderedPageBreak/>
        <w:t xml:space="preserve">De acuerdo con la información </w:t>
      </w:r>
      <w:r w:rsidR="00A336F2" w:rsidRPr="005045BF">
        <w:rPr>
          <w:rFonts w:ascii="Arial" w:hAnsi="Arial" w:cs="Arial"/>
          <w:sz w:val="22"/>
          <w:szCs w:val="22"/>
        </w:rPr>
        <w:t xml:space="preserve">consultada </w:t>
      </w:r>
      <w:r w:rsidR="00005276" w:rsidRPr="005045BF">
        <w:rPr>
          <w:rFonts w:ascii="Arial" w:hAnsi="Arial" w:cs="Arial"/>
          <w:sz w:val="22"/>
          <w:szCs w:val="22"/>
        </w:rPr>
        <w:t>en e</w:t>
      </w:r>
      <w:r w:rsidRPr="005045BF">
        <w:rPr>
          <w:rFonts w:ascii="Arial" w:hAnsi="Arial" w:cs="Arial"/>
          <w:sz w:val="22"/>
          <w:szCs w:val="22"/>
        </w:rPr>
        <w:t>l SIIF Naci</w:t>
      </w:r>
      <w:r w:rsidR="00005276" w:rsidRPr="005045BF">
        <w:rPr>
          <w:rFonts w:ascii="Arial" w:hAnsi="Arial" w:cs="Arial"/>
          <w:sz w:val="22"/>
          <w:szCs w:val="22"/>
        </w:rPr>
        <w:t>ón</w:t>
      </w:r>
      <w:r w:rsidR="00852BCF" w:rsidRPr="005045BF">
        <w:rPr>
          <w:rFonts w:ascii="Arial" w:hAnsi="Arial" w:cs="Arial"/>
          <w:sz w:val="22"/>
          <w:szCs w:val="22"/>
        </w:rPr>
        <w:t>,</w:t>
      </w:r>
      <w:r w:rsidR="00005276" w:rsidRPr="005045BF">
        <w:rPr>
          <w:rFonts w:ascii="Arial" w:hAnsi="Arial" w:cs="Arial"/>
          <w:sz w:val="22"/>
          <w:szCs w:val="22"/>
        </w:rPr>
        <w:t xml:space="preserve"> referente a las ob</w:t>
      </w:r>
      <w:r w:rsidR="00BB5B94" w:rsidRPr="005045BF">
        <w:rPr>
          <w:rFonts w:ascii="Arial" w:hAnsi="Arial" w:cs="Arial"/>
          <w:sz w:val="22"/>
          <w:szCs w:val="22"/>
        </w:rPr>
        <w:t>ligaciones registradas por servicios de publicación</w:t>
      </w:r>
      <w:r w:rsidR="007D1DD3" w:rsidRPr="005045BF">
        <w:rPr>
          <w:rFonts w:ascii="Arial" w:hAnsi="Arial" w:cs="Arial"/>
          <w:sz w:val="22"/>
          <w:szCs w:val="22"/>
        </w:rPr>
        <w:t xml:space="preserve">, </w:t>
      </w:r>
      <w:r w:rsidR="00C977FD" w:rsidRPr="005045BF">
        <w:rPr>
          <w:rFonts w:ascii="Arial" w:hAnsi="Arial" w:cs="Arial"/>
          <w:sz w:val="22"/>
          <w:szCs w:val="22"/>
        </w:rPr>
        <w:t xml:space="preserve">se </w:t>
      </w:r>
      <w:r w:rsidR="00005276" w:rsidRPr="005045BF">
        <w:rPr>
          <w:rFonts w:ascii="Arial" w:hAnsi="Arial" w:cs="Arial"/>
          <w:sz w:val="22"/>
          <w:szCs w:val="22"/>
        </w:rPr>
        <w:t>determin</w:t>
      </w:r>
      <w:r w:rsidR="00C977FD" w:rsidRPr="005045BF">
        <w:rPr>
          <w:rFonts w:ascii="Arial" w:hAnsi="Arial" w:cs="Arial"/>
          <w:sz w:val="22"/>
          <w:szCs w:val="22"/>
        </w:rPr>
        <w:t xml:space="preserve">ó el valor del gasto </w:t>
      </w:r>
      <w:r w:rsidR="00233D31" w:rsidRPr="005045BF">
        <w:rPr>
          <w:rFonts w:ascii="Arial" w:hAnsi="Arial" w:cs="Arial"/>
          <w:sz w:val="22"/>
          <w:szCs w:val="22"/>
        </w:rPr>
        <w:t xml:space="preserve">para el </w:t>
      </w:r>
      <w:r w:rsidR="000C7583" w:rsidRPr="005045BF">
        <w:rPr>
          <w:rFonts w:ascii="Arial" w:hAnsi="Arial" w:cs="Arial"/>
          <w:sz w:val="22"/>
          <w:szCs w:val="22"/>
        </w:rPr>
        <w:t xml:space="preserve">primer </w:t>
      </w:r>
      <w:r w:rsidR="00233D31" w:rsidRPr="005045BF">
        <w:rPr>
          <w:rFonts w:ascii="Arial" w:hAnsi="Arial" w:cs="Arial"/>
          <w:sz w:val="22"/>
          <w:szCs w:val="22"/>
        </w:rPr>
        <w:t>trimestre de 20</w:t>
      </w:r>
      <w:r w:rsidR="000C7583" w:rsidRPr="005045BF">
        <w:rPr>
          <w:rFonts w:ascii="Arial" w:hAnsi="Arial" w:cs="Arial"/>
          <w:sz w:val="22"/>
          <w:szCs w:val="22"/>
        </w:rPr>
        <w:t>20</w:t>
      </w:r>
      <w:r w:rsidR="00233D31" w:rsidRPr="005045BF">
        <w:rPr>
          <w:rFonts w:ascii="Arial" w:hAnsi="Arial" w:cs="Arial"/>
          <w:sz w:val="22"/>
          <w:szCs w:val="22"/>
        </w:rPr>
        <w:t xml:space="preserve"> y 201</w:t>
      </w:r>
      <w:r w:rsidR="000C7583" w:rsidRPr="005045BF">
        <w:rPr>
          <w:rFonts w:ascii="Arial" w:hAnsi="Arial" w:cs="Arial"/>
          <w:sz w:val="22"/>
          <w:szCs w:val="22"/>
        </w:rPr>
        <w:t>9</w:t>
      </w:r>
      <w:r w:rsidR="00C977FD" w:rsidRPr="005045BF">
        <w:rPr>
          <w:rFonts w:ascii="Arial" w:hAnsi="Arial" w:cs="Arial"/>
          <w:sz w:val="22"/>
          <w:szCs w:val="22"/>
        </w:rPr>
        <w:t>.</w:t>
      </w:r>
      <w:r w:rsidR="002739CA" w:rsidRPr="005045BF">
        <w:rPr>
          <w:rFonts w:ascii="Arial" w:hAnsi="Arial" w:cs="Arial"/>
          <w:sz w:val="22"/>
          <w:szCs w:val="22"/>
        </w:rPr>
        <w:t xml:space="preserve"> </w:t>
      </w:r>
      <w:r w:rsidR="007D1DD3" w:rsidRPr="005045BF">
        <w:rPr>
          <w:rFonts w:ascii="Arial" w:hAnsi="Arial" w:cs="Arial"/>
          <w:sz w:val="22"/>
          <w:szCs w:val="22"/>
        </w:rPr>
        <w:t xml:space="preserve">Frente a </w:t>
      </w:r>
      <w:r w:rsidR="002739CA" w:rsidRPr="005045BF">
        <w:rPr>
          <w:rFonts w:ascii="Arial" w:hAnsi="Arial" w:cs="Arial"/>
          <w:sz w:val="22"/>
          <w:szCs w:val="22"/>
        </w:rPr>
        <w:t xml:space="preserve">lo </w:t>
      </w:r>
      <w:r w:rsidR="00574EC6" w:rsidRPr="005045BF">
        <w:rPr>
          <w:rFonts w:ascii="Arial" w:hAnsi="Arial" w:cs="Arial"/>
          <w:sz w:val="22"/>
          <w:szCs w:val="22"/>
        </w:rPr>
        <w:t xml:space="preserve">anterior, </w:t>
      </w:r>
      <w:r w:rsidR="00C977FD" w:rsidRPr="005045BF">
        <w:rPr>
          <w:rFonts w:ascii="Arial" w:hAnsi="Arial" w:cs="Arial"/>
          <w:sz w:val="22"/>
          <w:szCs w:val="22"/>
        </w:rPr>
        <w:t>se estableci</w:t>
      </w:r>
      <w:r w:rsidR="00574EC6" w:rsidRPr="005045BF">
        <w:rPr>
          <w:rFonts w:ascii="Arial" w:hAnsi="Arial" w:cs="Arial"/>
          <w:sz w:val="22"/>
          <w:szCs w:val="22"/>
        </w:rPr>
        <w:t>eron</w:t>
      </w:r>
      <w:r w:rsidR="00C977FD" w:rsidRPr="005045BF">
        <w:rPr>
          <w:rFonts w:ascii="Arial" w:hAnsi="Arial" w:cs="Arial"/>
          <w:sz w:val="22"/>
          <w:szCs w:val="22"/>
        </w:rPr>
        <w:t xml:space="preserve"> la</w:t>
      </w:r>
      <w:r w:rsidR="00574EC6" w:rsidRPr="005045BF">
        <w:rPr>
          <w:rFonts w:ascii="Arial" w:hAnsi="Arial" w:cs="Arial"/>
          <w:sz w:val="22"/>
          <w:szCs w:val="22"/>
        </w:rPr>
        <w:t>s</w:t>
      </w:r>
      <w:r w:rsidR="00C977FD" w:rsidRPr="005045BF">
        <w:rPr>
          <w:rFonts w:ascii="Arial" w:hAnsi="Arial" w:cs="Arial"/>
          <w:sz w:val="22"/>
          <w:szCs w:val="22"/>
        </w:rPr>
        <w:t xml:space="preserve"> </w:t>
      </w:r>
      <w:r w:rsidR="00BB5B94" w:rsidRPr="005045BF">
        <w:rPr>
          <w:rFonts w:ascii="Arial" w:hAnsi="Arial" w:cs="Arial"/>
          <w:sz w:val="22"/>
          <w:szCs w:val="22"/>
        </w:rPr>
        <w:t xml:space="preserve">respectivas variaciones, así: </w:t>
      </w:r>
    </w:p>
    <w:p w14:paraId="314B34A7" w14:textId="77777777" w:rsidR="005E0428" w:rsidRPr="005045BF" w:rsidRDefault="005E0428" w:rsidP="00A336F2">
      <w:pPr>
        <w:jc w:val="both"/>
        <w:rPr>
          <w:rFonts w:ascii="Arial" w:hAnsi="Arial" w:cs="Arial"/>
          <w:sz w:val="22"/>
          <w:szCs w:val="22"/>
        </w:rPr>
      </w:pPr>
    </w:p>
    <w:p w14:paraId="3523503B" w14:textId="77777777" w:rsidR="00602A65" w:rsidRPr="005045BF" w:rsidRDefault="00602A65" w:rsidP="00D96663">
      <w:pPr>
        <w:spacing w:line="168" w:lineRule="auto"/>
        <w:jc w:val="both"/>
        <w:rPr>
          <w:rFonts w:ascii="Arial" w:hAnsi="Arial" w:cs="Arial"/>
          <w:sz w:val="22"/>
          <w:szCs w:val="22"/>
          <w:highlight w:val="yellow"/>
        </w:rPr>
      </w:pPr>
    </w:p>
    <w:tbl>
      <w:tblPr>
        <w:tblStyle w:val="Tablaconcuadrcula1clara-nfasis1"/>
        <w:tblW w:w="0" w:type="auto"/>
        <w:jc w:val="center"/>
        <w:tblLook w:val="04A0" w:firstRow="1" w:lastRow="0" w:firstColumn="1" w:lastColumn="0" w:noHBand="0" w:noVBand="1"/>
      </w:tblPr>
      <w:tblGrid>
        <w:gridCol w:w="3389"/>
        <w:gridCol w:w="2329"/>
        <w:gridCol w:w="2329"/>
      </w:tblGrid>
      <w:tr w:rsidR="00AA60B7" w:rsidRPr="005045BF" w14:paraId="40FA27AA" w14:textId="77777777" w:rsidTr="00E2251A">
        <w:trPr>
          <w:cnfStyle w:val="100000000000" w:firstRow="1" w:lastRow="0" w:firstColumn="0" w:lastColumn="0" w:oddVBand="0" w:evenVBand="0" w:oddHBand="0" w:evenHBand="0" w:firstRowFirstColumn="0" w:firstRowLastColumn="0" w:lastRowFirstColumn="0" w:lastRowLastColumn="0"/>
          <w:cantSplit/>
          <w:trHeight w:val="533"/>
          <w:jc w:val="center"/>
        </w:trPr>
        <w:tc>
          <w:tcPr>
            <w:cnfStyle w:val="001000000000" w:firstRow="0" w:lastRow="0" w:firstColumn="1" w:lastColumn="0" w:oddVBand="0" w:evenVBand="0" w:oddHBand="0" w:evenHBand="0" w:firstRowFirstColumn="0" w:firstRowLastColumn="0" w:lastRowFirstColumn="0" w:lastRowLastColumn="0"/>
            <w:tcW w:w="3389" w:type="dxa"/>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7DA2CC16" w14:textId="1FCFF8B8" w:rsidR="00AA60B7" w:rsidRPr="005045BF" w:rsidRDefault="00AA60B7" w:rsidP="00AA60B7">
            <w:pPr>
              <w:widowControl w:val="0"/>
              <w:spacing w:before="60" w:after="80"/>
              <w:jc w:val="center"/>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Contratista</w:t>
            </w:r>
          </w:p>
        </w:tc>
        <w:tc>
          <w:tcPr>
            <w:tcW w:w="0" w:type="auto"/>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97C5AA1" w14:textId="31CED075" w:rsidR="00AA60B7" w:rsidRPr="005045BF" w:rsidRDefault="00AA60B7" w:rsidP="00AA60B7">
            <w:pPr>
              <w:widowControl w:val="0"/>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I Trimestre de 2020 ($)</w:t>
            </w:r>
          </w:p>
        </w:tc>
        <w:tc>
          <w:tcPr>
            <w:tcW w:w="0" w:type="auto"/>
            <w:tcBorders>
              <w:top w:val="double" w:sz="4" w:space="0" w:color="4F81BD" w:themeColor="accent1"/>
              <w:left w:val="double" w:sz="4" w:space="0" w:color="4F81BD" w:themeColor="accent1"/>
              <w:right w:val="double" w:sz="4" w:space="0" w:color="4F81BD" w:themeColor="accent1"/>
            </w:tcBorders>
            <w:shd w:val="clear" w:color="auto" w:fill="4F81BD" w:themeFill="accent1"/>
            <w:vAlign w:val="center"/>
            <w:hideMark/>
          </w:tcPr>
          <w:p w14:paraId="62ADCF64" w14:textId="462E3266" w:rsidR="00AA60B7" w:rsidRPr="005045BF" w:rsidRDefault="00AA60B7" w:rsidP="00AA60B7">
            <w:pPr>
              <w:widowControl w:val="0"/>
              <w:spacing w:before="6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I Trimestre de 2019 ($)</w:t>
            </w:r>
          </w:p>
        </w:tc>
      </w:tr>
      <w:tr w:rsidR="008063B0" w:rsidRPr="005045BF" w14:paraId="6A4BFF8D" w14:textId="77777777" w:rsidTr="005E0428">
        <w:trPr>
          <w:cantSplit/>
          <w:trHeight w:val="487"/>
          <w:jc w:val="center"/>
        </w:trPr>
        <w:tc>
          <w:tcPr>
            <w:cnfStyle w:val="001000000000" w:firstRow="0" w:lastRow="0" w:firstColumn="1" w:lastColumn="0" w:oddVBand="0" w:evenVBand="0" w:oddHBand="0" w:evenHBand="0" w:firstRowFirstColumn="0" w:firstRowLastColumn="0" w:lastRowFirstColumn="0" w:lastRowLastColumn="0"/>
            <w:tcW w:w="3389" w:type="dxa"/>
            <w:tcBorders>
              <w:left w:val="double" w:sz="4" w:space="0" w:color="4F81BD" w:themeColor="accent1"/>
              <w:right w:val="double" w:sz="4" w:space="0" w:color="4F81BD" w:themeColor="accent1"/>
            </w:tcBorders>
            <w:vAlign w:val="center"/>
            <w:hideMark/>
          </w:tcPr>
          <w:p w14:paraId="6463449A" w14:textId="77777777" w:rsidR="008063B0" w:rsidRPr="005045BF" w:rsidRDefault="008063B0" w:rsidP="00AA60B7">
            <w:pPr>
              <w:widowControl w:val="0"/>
              <w:spacing w:before="60" w:after="80"/>
              <w:jc w:val="center"/>
              <w:rPr>
                <w:rFonts w:ascii="Arial" w:hAnsi="Arial" w:cs="Arial"/>
                <w:b w:val="0"/>
                <w:color w:val="0F243E" w:themeColor="text2" w:themeShade="80"/>
                <w:sz w:val="20"/>
                <w:szCs w:val="20"/>
                <w:lang w:eastAsia="en-US"/>
              </w:rPr>
            </w:pPr>
            <w:r w:rsidRPr="005045BF">
              <w:rPr>
                <w:rFonts w:ascii="Arial" w:hAnsi="Arial" w:cs="Arial"/>
                <w:b w:val="0"/>
                <w:color w:val="0F243E" w:themeColor="text2" w:themeShade="80"/>
                <w:sz w:val="20"/>
                <w:szCs w:val="20"/>
                <w:lang w:eastAsia="en-US"/>
              </w:rPr>
              <w:t>Imprenta Nacional de Colombia</w:t>
            </w:r>
          </w:p>
        </w:tc>
        <w:tc>
          <w:tcPr>
            <w:tcW w:w="0" w:type="auto"/>
            <w:tcBorders>
              <w:left w:val="double" w:sz="4" w:space="0" w:color="4F81BD" w:themeColor="accent1"/>
              <w:right w:val="double" w:sz="4" w:space="0" w:color="4F81BD" w:themeColor="accent1"/>
            </w:tcBorders>
            <w:vAlign w:val="center"/>
            <w:hideMark/>
          </w:tcPr>
          <w:p w14:paraId="4F4BC633" w14:textId="004CE8F4" w:rsidR="008063B0" w:rsidRPr="005045BF" w:rsidRDefault="008063B0" w:rsidP="00AA60B7">
            <w:pPr>
              <w:widowControl w:val="0"/>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sz w:val="20"/>
                <w:szCs w:val="20"/>
              </w:rPr>
              <w:t>24.965.400</w:t>
            </w:r>
          </w:p>
        </w:tc>
        <w:tc>
          <w:tcPr>
            <w:tcW w:w="0" w:type="auto"/>
            <w:tcBorders>
              <w:left w:val="double" w:sz="4" w:space="0" w:color="4F81BD" w:themeColor="accent1"/>
              <w:right w:val="double" w:sz="4" w:space="0" w:color="4F81BD" w:themeColor="accent1"/>
            </w:tcBorders>
            <w:vAlign w:val="center"/>
            <w:hideMark/>
          </w:tcPr>
          <w:p w14:paraId="28FF6ED7" w14:textId="68B06173" w:rsidR="008063B0" w:rsidRPr="005045BF" w:rsidRDefault="008063B0" w:rsidP="00AA60B7">
            <w:pPr>
              <w:widowControl w:val="0"/>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lang w:eastAsia="en-US"/>
              </w:rPr>
            </w:pPr>
            <w:r w:rsidRPr="005045BF">
              <w:rPr>
                <w:rFonts w:ascii="Arial" w:hAnsi="Arial" w:cs="Arial"/>
                <w:color w:val="0F243E"/>
                <w:sz w:val="20"/>
                <w:szCs w:val="20"/>
              </w:rPr>
              <w:t>19.811.800</w:t>
            </w:r>
          </w:p>
        </w:tc>
      </w:tr>
      <w:tr w:rsidR="008063B0" w:rsidRPr="005045BF" w14:paraId="0B61CD7F"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7DD06D47" w14:textId="77777777" w:rsidR="008063B0" w:rsidRPr="005045BF" w:rsidRDefault="008063B0" w:rsidP="00AA60B7">
            <w:pPr>
              <w:widowControl w:val="0"/>
              <w:spacing w:before="60" w:after="80"/>
              <w:jc w:val="center"/>
              <w:rPr>
                <w:rFonts w:ascii="Arial" w:hAnsi="Arial" w:cs="Arial"/>
                <w:color w:val="FFFFFF" w:themeColor="background1"/>
                <w:sz w:val="20"/>
                <w:szCs w:val="20"/>
                <w:lang w:eastAsia="en-US"/>
              </w:rPr>
            </w:pPr>
            <w:r w:rsidRPr="005045BF">
              <w:rPr>
                <w:rFonts w:ascii="Arial" w:hAnsi="Arial" w:cs="Arial"/>
                <w:color w:val="FFFFFF" w:themeColor="background1"/>
                <w:sz w:val="20"/>
                <w:szCs w:val="20"/>
                <w:lang w:eastAsia="en-US"/>
              </w:rPr>
              <w:t xml:space="preserve">Total </w:t>
            </w:r>
          </w:p>
        </w:tc>
        <w:tc>
          <w:tcPr>
            <w:tcW w:w="0" w:type="auto"/>
            <w:tcBorders>
              <w:left w:val="double" w:sz="4" w:space="0" w:color="4F81BD" w:themeColor="accent1"/>
              <w:bottom w:val="double" w:sz="4" w:space="0" w:color="4F81BD" w:themeColor="accent1"/>
              <w:right w:val="double" w:sz="4" w:space="0" w:color="4F81BD" w:themeColor="accent1"/>
            </w:tcBorders>
            <w:shd w:val="clear" w:color="auto" w:fill="4F81BD" w:themeFill="accent1"/>
            <w:vAlign w:val="center"/>
            <w:hideMark/>
          </w:tcPr>
          <w:p w14:paraId="3FFD2A0A" w14:textId="5875B63B" w:rsidR="008063B0" w:rsidRPr="005045BF" w:rsidRDefault="008063B0" w:rsidP="00AA60B7">
            <w:pPr>
              <w:widowControl w:val="0"/>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5045BF">
              <w:rPr>
                <w:rFonts w:ascii="Arial" w:hAnsi="Arial" w:cs="Arial"/>
                <w:b/>
                <w:bCs/>
                <w:color w:val="FFFFFF"/>
                <w:sz w:val="20"/>
                <w:szCs w:val="20"/>
              </w:rPr>
              <w:t>24.965.400</w:t>
            </w:r>
          </w:p>
        </w:tc>
        <w:tc>
          <w:tcPr>
            <w:tcW w:w="0" w:type="auto"/>
            <w:tcBorders>
              <w:left w:val="double" w:sz="4" w:space="0" w:color="4F81BD" w:themeColor="accent1"/>
              <w:right w:val="double" w:sz="4" w:space="0" w:color="4F81BD" w:themeColor="accent1"/>
            </w:tcBorders>
            <w:shd w:val="clear" w:color="auto" w:fill="4F81BD" w:themeFill="accent1"/>
            <w:vAlign w:val="center"/>
            <w:hideMark/>
          </w:tcPr>
          <w:p w14:paraId="6E42952D" w14:textId="4EFD2E21" w:rsidR="008063B0" w:rsidRPr="005045BF" w:rsidRDefault="008063B0" w:rsidP="00AA60B7">
            <w:pPr>
              <w:widowControl w:val="0"/>
              <w:spacing w:before="6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sz w:val="20"/>
                <w:szCs w:val="20"/>
                <w:lang w:eastAsia="en-US"/>
              </w:rPr>
            </w:pPr>
            <w:r w:rsidRPr="005045BF">
              <w:rPr>
                <w:rFonts w:ascii="Arial" w:hAnsi="Arial" w:cs="Arial"/>
                <w:b/>
                <w:bCs/>
                <w:color w:val="FFFFFF"/>
                <w:sz w:val="20"/>
                <w:szCs w:val="20"/>
              </w:rPr>
              <w:t>19.811.800</w:t>
            </w:r>
          </w:p>
        </w:tc>
      </w:tr>
      <w:tr w:rsidR="002C0744" w:rsidRPr="005045BF" w14:paraId="24A91445"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vMerge w:val="restart"/>
            <w:tcBorders>
              <w:top w:val="double" w:sz="4" w:space="0" w:color="4F81BD" w:themeColor="accent1"/>
              <w:left w:val="double" w:sz="4" w:space="0" w:color="4F81BD" w:themeColor="accent1"/>
              <w:right w:val="double" w:sz="4" w:space="0" w:color="4F81BD" w:themeColor="accent1"/>
            </w:tcBorders>
            <w:vAlign w:val="center"/>
            <w:hideMark/>
          </w:tcPr>
          <w:p w14:paraId="42153536" w14:textId="77777777" w:rsidR="002C0744" w:rsidRPr="005045BF" w:rsidRDefault="002C0744" w:rsidP="00AA60B7">
            <w:pPr>
              <w:widowControl w:val="0"/>
              <w:spacing w:before="60" w:after="80"/>
              <w:jc w:val="center"/>
              <w:rPr>
                <w:rFonts w:ascii="Arial" w:hAnsi="Arial" w:cs="Arial"/>
                <w:color w:val="0F243E" w:themeColor="text2" w:themeShade="80"/>
                <w:sz w:val="20"/>
                <w:szCs w:val="20"/>
                <w:lang w:eastAsia="en-US"/>
              </w:rPr>
            </w:pPr>
            <w:r w:rsidRPr="005045BF">
              <w:rPr>
                <w:rFonts w:ascii="Arial" w:hAnsi="Arial" w:cs="Arial"/>
                <w:color w:val="0F243E" w:themeColor="text2" w:themeShade="80"/>
                <w:sz w:val="20"/>
                <w:szCs w:val="20"/>
                <w:lang w:eastAsia="en-US"/>
              </w:rPr>
              <w:t xml:space="preserve">Variaciones </w:t>
            </w: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42A73BAC" w14:textId="3FBB2CAA" w:rsidR="002C0744" w:rsidRPr="005045BF" w:rsidRDefault="005E0428" w:rsidP="00AA60B7">
            <w:pPr>
              <w:widowControl w:val="0"/>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sz w:val="20"/>
                <w:szCs w:val="20"/>
              </w:rPr>
            </w:pPr>
            <w:r w:rsidRPr="005045BF">
              <w:rPr>
                <w:rFonts w:ascii="Arial" w:hAnsi="Arial" w:cs="Arial"/>
                <w:b/>
                <w:bCs/>
                <w:color w:val="0F243E"/>
                <w:sz w:val="20"/>
                <w:szCs w:val="20"/>
              </w:rPr>
              <w:t xml:space="preserve">$ </w:t>
            </w:r>
            <w:r w:rsidR="008063B0" w:rsidRPr="005045BF">
              <w:rPr>
                <w:rFonts w:ascii="Arial" w:hAnsi="Arial" w:cs="Arial"/>
                <w:b/>
                <w:bCs/>
                <w:color w:val="0F243E"/>
                <w:sz w:val="20"/>
                <w:szCs w:val="20"/>
              </w:rPr>
              <w:t>5.153.600</w:t>
            </w:r>
          </w:p>
        </w:tc>
      </w:tr>
      <w:tr w:rsidR="002C0744" w:rsidRPr="005045BF" w14:paraId="00890D9C" w14:textId="77777777" w:rsidTr="00AA60B7">
        <w:trPr>
          <w:cantSplit/>
          <w:jc w:val="center"/>
        </w:trPr>
        <w:tc>
          <w:tcPr>
            <w:cnfStyle w:val="001000000000" w:firstRow="0" w:lastRow="0" w:firstColumn="1" w:lastColumn="0" w:oddVBand="0" w:evenVBand="0" w:oddHBand="0" w:evenHBand="0" w:firstRowFirstColumn="0" w:firstRowLastColumn="0" w:lastRowFirstColumn="0" w:lastRowLastColumn="0"/>
            <w:tcW w:w="3389" w:type="dxa"/>
            <w:vMerge/>
            <w:tcBorders>
              <w:left w:val="double" w:sz="4" w:space="0" w:color="4F81BD" w:themeColor="accent1"/>
              <w:bottom w:val="double" w:sz="4" w:space="0" w:color="4F81BD" w:themeColor="accent1"/>
              <w:right w:val="double" w:sz="4" w:space="0" w:color="4F81BD" w:themeColor="accent1"/>
            </w:tcBorders>
            <w:vAlign w:val="center"/>
            <w:hideMark/>
          </w:tcPr>
          <w:p w14:paraId="057B6C4B" w14:textId="77777777" w:rsidR="002C0744" w:rsidRPr="005045BF" w:rsidRDefault="002C0744" w:rsidP="00AA60B7">
            <w:pPr>
              <w:widowControl w:val="0"/>
              <w:spacing w:before="60" w:after="80"/>
              <w:rPr>
                <w:rFonts w:ascii="Arial" w:hAnsi="Arial" w:cs="Arial"/>
                <w:color w:val="0F243E" w:themeColor="text2" w:themeShade="80"/>
                <w:sz w:val="20"/>
                <w:szCs w:val="20"/>
                <w:lang w:eastAsia="en-US"/>
              </w:rPr>
            </w:pPr>
          </w:p>
        </w:tc>
        <w:tc>
          <w:tcPr>
            <w:tcW w:w="0" w:type="auto"/>
            <w:gridSpan w:val="2"/>
            <w:tcBorders>
              <w:top w:val="double" w:sz="4" w:space="0" w:color="4F81BD" w:themeColor="accent1"/>
              <w:left w:val="double" w:sz="4" w:space="0" w:color="4F81BD" w:themeColor="accent1"/>
              <w:bottom w:val="double" w:sz="4" w:space="0" w:color="4F81BD" w:themeColor="accent1"/>
              <w:right w:val="double" w:sz="4" w:space="0" w:color="4F81BD" w:themeColor="accent1"/>
            </w:tcBorders>
            <w:noWrap/>
            <w:vAlign w:val="center"/>
            <w:hideMark/>
          </w:tcPr>
          <w:p w14:paraId="6AF628D3" w14:textId="5AF51E47" w:rsidR="002C0744" w:rsidRPr="005045BF" w:rsidRDefault="008063B0" w:rsidP="00AA60B7">
            <w:pPr>
              <w:widowControl w:val="0"/>
              <w:spacing w:before="6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0F243E" w:themeColor="text2" w:themeShade="80"/>
                <w:sz w:val="20"/>
                <w:szCs w:val="20"/>
                <w:lang w:eastAsia="en-US"/>
              </w:rPr>
            </w:pPr>
            <w:r w:rsidRPr="005045BF">
              <w:rPr>
                <w:rFonts w:ascii="Arial" w:hAnsi="Arial" w:cs="Arial"/>
                <w:b/>
                <w:color w:val="0F243E" w:themeColor="text2" w:themeShade="80"/>
                <w:sz w:val="20"/>
                <w:szCs w:val="20"/>
                <w:lang w:eastAsia="en-US"/>
              </w:rPr>
              <w:t>26%</w:t>
            </w:r>
          </w:p>
        </w:tc>
      </w:tr>
    </w:tbl>
    <w:p w14:paraId="586D69CA" w14:textId="02FF1BA9" w:rsidR="00291925" w:rsidRPr="005045BF" w:rsidRDefault="00291925" w:rsidP="00D96663">
      <w:pPr>
        <w:pStyle w:val="Default"/>
        <w:spacing w:line="168" w:lineRule="auto"/>
        <w:jc w:val="both"/>
        <w:rPr>
          <w:sz w:val="22"/>
          <w:szCs w:val="22"/>
          <w:highlight w:val="yellow"/>
        </w:rPr>
      </w:pPr>
    </w:p>
    <w:p w14:paraId="0FD4DC9E" w14:textId="77777777" w:rsidR="00D96663" w:rsidRPr="005045BF" w:rsidRDefault="00D96663" w:rsidP="00D96663">
      <w:pPr>
        <w:pStyle w:val="Default"/>
        <w:spacing w:line="168" w:lineRule="auto"/>
        <w:jc w:val="both"/>
        <w:rPr>
          <w:sz w:val="22"/>
          <w:szCs w:val="22"/>
          <w:highlight w:val="yellow"/>
        </w:rPr>
      </w:pPr>
    </w:p>
    <w:p w14:paraId="7BC73E85" w14:textId="1A951F94" w:rsidR="0026607A" w:rsidRPr="005045BF" w:rsidRDefault="005376A1" w:rsidP="00407B9E">
      <w:pPr>
        <w:jc w:val="both"/>
        <w:rPr>
          <w:rFonts w:ascii="Arial" w:hAnsi="Arial" w:cs="Arial"/>
          <w:sz w:val="22"/>
          <w:szCs w:val="22"/>
        </w:rPr>
      </w:pPr>
      <w:r w:rsidRPr="005045BF">
        <w:rPr>
          <w:rFonts w:ascii="Arial" w:hAnsi="Arial" w:cs="Arial"/>
          <w:sz w:val="22"/>
          <w:szCs w:val="22"/>
        </w:rPr>
        <w:t>Sobre</w:t>
      </w:r>
      <w:r w:rsidR="005F37DB" w:rsidRPr="005045BF">
        <w:rPr>
          <w:rFonts w:ascii="Arial" w:hAnsi="Arial" w:cs="Arial"/>
          <w:sz w:val="22"/>
          <w:szCs w:val="22"/>
        </w:rPr>
        <w:t xml:space="preserve"> el particular, se evidenció un </w:t>
      </w:r>
      <w:r w:rsidR="005F37DB" w:rsidRPr="005045BF">
        <w:rPr>
          <w:rFonts w:ascii="Arial" w:hAnsi="Arial" w:cs="Arial"/>
          <w:b/>
          <w:bCs/>
          <w:sz w:val="22"/>
          <w:szCs w:val="22"/>
        </w:rPr>
        <w:t>incremento</w:t>
      </w:r>
      <w:r w:rsidR="005F37DB" w:rsidRPr="005045BF">
        <w:rPr>
          <w:rFonts w:ascii="Arial" w:hAnsi="Arial" w:cs="Arial"/>
          <w:sz w:val="22"/>
          <w:szCs w:val="22"/>
        </w:rPr>
        <w:t xml:space="preserve"> de $ </w:t>
      </w:r>
      <w:r w:rsidR="001A6F12" w:rsidRPr="005045BF">
        <w:rPr>
          <w:rFonts w:ascii="Arial" w:hAnsi="Arial" w:cs="Arial"/>
          <w:sz w:val="22"/>
          <w:szCs w:val="22"/>
        </w:rPr>
        <w:t>5.153.600</w:t>
      </w:r>
      <w:r w:rsidR="005F37DB" w:rsidRPr="005045BF">
        <w:rPr>
          <w:rFonts w:ascii="Arial" w:hAnsi="Arial" w:cs="Arial"/>
          <w:sz w:val="22"/>
          <w:szCs w:val="22"/>
        </w:rPr>
        <w:t xml:space="preserve"> representando </w:t>
      </w:r>
      <w:r w:rsidR="001A6F12" w:rsidRPr="005045BF">
        <w:rPr>
          <w:rFonts w:ascii="Arial" w:hAnsi="Arial" w:cs="Arial"/>
          <w:sz w:val="22"/>
          <w:szCs w:val="22"/>
        </w:rPr>
        <w:t>un 26</w:t>
      </w:r>
      <w:r w:rsidR="005F37DB" w:rsidRPr="005045BF">
        <w:rPr>
          <w:rFonts w:ascii="Arial" w:hAnsi="Arial" w:cs="Arial"/>
          <w:sz w:val="22"/>
          <w:szCs w:val="22"/>
        </w:rPr>
        <w:t xml:space="preserve">% </w:t>
      </w:r>
      <w:r w:rsidRPr="005045BF">
        <w:rPr>
          <w:rFonts w:ascii="Arial" w:hAnsi="Arial" w:cs="Arial"/>
          <w:sz w:val="22"/>
          <w:szCs w:val="22"/>
        </w:rPr>
        <w:t>en el valor facturado</w:t>
      </w:r>
      <w:r w:rsidR="00911402" w:rsidRPr="005045BF">
        <w:rPr>
          <w:rFonts w:ascii="Arial" w:hAnsi="Arial" w:cs="Arial"/>
          <w:sz w:val="22"/>
          <w:szCs w:val="22"/>
        </w:rPr>
        <w:t xml:space="preserve"> por</w:t>
      </w:r>
      <w:r w:rsidR="005F37DB" w:rsidRPr="005045BF">
        <w:rPr>
          <w:rFonts w:ascii="Arial" w:hAnsi="Arial" w:cs="Arial"/>
          <w:sz w:val="22"/>
          <w:szCs w:val="22"/>
        </w:rPr>
        <w:t xml:space="preserve"> los servicios de publicación de actos administrativos expedidos por este Ministerio, durante el </w:t>
      </w:r>
      <w:r w:rsidR="001A6F12" w:rsidRPr="005045BF">
        <w:rPr>
          <w:rFonts w:ascii="Arial" w:hAnsi="Arial" w:cs="Arial"/>
          <w:sz w:val="22"/>
          <w:szCs w:val="22"/>
        </w:rPr>
        <w:t xml:space="preserve">primer </w:t>
      </w:r>
      <w:r w:rsidR="005F37DB" w:rsidRPr="005045BF">
        <w:rPr>
          <w:rFonts w:ascii="Arial" w:hAnsi="Arial" w:cs="Arial"/>
          <w:sz w:val="22"/>
          <w:szCs w:val="22"/>
        </w:rPr>
        <w:t>trimestre de 20</w:t>
      </w:r>
      <w:r w:rsidR="001A6F12" w:rsidRPr="005045BF">
        <w:rPr>
          <w:rFonts w:ascii="Arial" w:hAnsi="Arial" w:cs="Arial"/>
          <w:sz w:val="22"/>
          <w:szCs w:val="22"/>
        </w:rPr>
        <w:t>20</w:t>
      </w:r>
      <w:r w:rsidR="005F37DB" w:rsidRPr="005045BF">
        <w:rPr>
          <w:rFonts w:ascii="Arial" w:hAnsi="Arial" w:cs="Arial"/>
          <w:sz w:val="22"/>
          <w:szCs w:val="22"/>
        </w:rPr>
        <w:t xml:space="preserve"> comparado con el mismo periodo de 201</w:t>
      </w:r>
      <w:r w:rsidR="001A6F12" w:rsidRPr="005045BF">
        <w:rPr>
          <w:rFonts w:ascii="Arial" w:hAnsi="Arial" w:cs="Arial"/>
          <w:sz w:val="22"/>
          <w:szCs w:val="22"/>
        </w:rPr>
        <w:t>9</w:t>
      </w:r>
      <w:r w:rsidR="005F37DB" w:rsidRPr="005045BF">
        <w:rPr>
          <w:rFonts w:ascii="Arial" w:hAnsi="Arial" w:cs="Arial"/>
          <w:sz w:val="22"/>
          <w:szCs w:val="22"/>
        </w:rPr>
        <w:t>.</w:t>
      </w:r>
      <w:r w:rsidR="00DF086E" w:rsidRPr="005045BF">
        <w:rPr>
          <w:rFonts w:ascii="Arial" w:hAnsi="Arial" w:cs="Arial"/>
          <w:sz w:val="22"/>
          <w:szCs w:val="22"/>
        </w:rPr>
        <w:t xml:space="preserve"> </w:t>
      </w:r>
      <w:r w:rsidR="002E3534" w:rsidRPr="005045BF">
        <w:rPr>
          <w:rFonts w:ascii="Arial" w:hAnsi="Arial" w:cs="Arial"/>
          <w:sz w:val="22"/>
          <w:szCs w:val="22"/>
        </w:rPr>
        <w:t xml:space="preserve">Al respecto, </w:t>
      </w:r>
      <w:r w:rsidR="008F157F" w:rsidRPr="005045BF">
        <w:rPr>
          <w:rFonts w:ascii="Arial" w:hAnsi="Arial" w:cs="Arial"/>
          <w:sz w:val="22"/>
          <w:szCs w:val="22"/>
        </w:rPr>
        <w:t xml:space="preserve">el </w:t>
      </w:r>
      <w:r w:rsidR="00721B33" w:rsidRPr="005045BF">
        <w:rPr>
          <w:rFonts w:ascii="Arial" w:hAnsi="Arial" w:cs="Arial"/>
          <w:sz w:val="22"/>
          <w:szCs w:val="22"/>
        </w:rPr>
        <w:t xml:space="preserve">Coordinador del </w:t>
      </w:r>
      <w:r w:rsidR="00DF086E" w:rsidRPr="005045BF">
        <w:rPr>
          <w:rFonts w:ascii="Arial" w:hAnsi="Arial" w:cs="Arial"/>
          <w:sz w:val="22"/>
          <w:szCs w:val="22"/>
        </w:rPr>
        <w:t>Grupo de Gestión de Información</w:t>
      </w:r>
      <w:r w:rsidR="008F157F" w:rsidRPr="005045BF">
        <w:rPr>
          <w:rFonts w:ascii="Arial" w:hAnsi="Arial" w:cs="Arial"/>
          <w:sz w:val="22"/>
          <w:szCs w:val="22"/>
        </w:rPr>
        <w:t xml:space="preserve"> </w:t>
      </w:r>
      <w:r w:rsidR="00115B0A" w:rsidRPr="005045BF">
        <w:rPr>
          <w:rFonts w:ascii="Arial" w:hAnsi="Arial" w:cs="Arial"/>
          <w:sz w:val="22"/>
          <w:szCs w:val="22"/>
        </w:rPr>
        <w:t xml:space="preserve">manifestó que </w:t>
      </w:r>
      <w:r w:rsidRPr="005045BF">
        <w:rPr>
          <w:rFonts w:ascii="Arial" w:hAnsi="Arial" w:cs="Arial"/>
          <w:sz w:val="22"/>
          <w:szCs w:val="22"/>
        </w:rPr>
        <w:t xml:space="preserve">las publicaciones se realizan </w:t>
      </w:r>
      <w:r w:rsidR="008F157F" w:rsidRPr="005045BF">
        <w:rPr>
          <w:rFonts w:ascii="Arial" w:hAnsi="Arial" w:cs="Arial"/>
          <w:sz w:val="22"/>
          <w:szCs w:val="22"/>
        </w:rPr>
        <w:t xml:space="preserve">según </w:t>
      </w:r>
      <w:r w:rsidRPr="005045BF">
        <w:rPr>
          <w:rFonts w:ascii="Arial" w:hAnsi="Arial" w:cs="Arial"/>
          <w:sz w:val="22"/>
          <w:szCs w:val="22"/>
        </w:rPr>
        <w:t>las necesidades del servic</w:t>
      </w:r>
      <w:r w:rsidR="00DF086E" w:rsidRPr="005045BF">
        <w:rPr>
          <w:rFonts w:ascii="Arial" w:hAnsi="Arial" w:cs="Arial"/>
          <w:sz w:val="22"/>
          <w:szCs w:val="22"/>
        </w:rPr>
        <w:t xml:space="preserve">io requeridas por la Entidad, </w:t>
      </w:r>
      <w:r w:rsidR="00911402" w:rsidRPr="005045BF">
        <w:rPr>
          <w:rFonts w:ascii="Arial" w:hAnsi="Arial" w:cs="Arial"/>
          <w:sz w:val="22"/>
          <w:szCs w:val="22"/>
        </w:rPr>
        <w:t>teniendo en cuent</w:t>
      </w:r>
      <w:r w:rsidR="00157EFE" w:rsidRPr="005045BF">
        <w:rPr>
          <w:rFonts w:ascii="Arial" w:hAnsi="Arial" w:cs="Arial"/>
          <w:sz w:val="22"/>
          <w:szCs w:val="22"/>
        </w:rPr>
        <w:t xml:space="preserve">a la obligatoriedad de publicar </w:t>
      </w:r>
      <w:r w:rsidR="00DF086E" w:rsidRPr="005045BF">
        <w:rPr>
          <w:rFonts w:ascii="Arial" w:hAnsi="Arial" w:cs="Arial"/>
          <w:sz w:val="22"/>
          <w:szCs w:val="22"/>
        </w:rPr>
        <w:t>los actos administrativos</w:t>
      </w:r>
      <w:r w:rsidR="00B43924" w:rsidRPr="005045BF">
        <w:rPr>
          <w:rFonts w:ascii="Arial" w:hAnsi="Arial" w:cs="Arial"/>
          <w:sz w:val="22"/>
          <w:szCs w:val="22"/>
        </w:rPr>
        <w:t xml:space="preserve">, propendiendo por la transparencia institucional. </w:t>
      </w:r>
    </w:p>
    <w:p w14:paraId="5AB13496" w14:textId="6C1F215A" w:rsidR="009B15DD" w:rsidRPr="005045BF" w:rsidRDefault="009B15DD" w:rsidP="00D96663">
      <w:pPr>
        <w:pStyle w:val="Default"/>
        <w:spacing w:line="168" w:lineRule="auto"/>
        <w:jc w:val="both"/>
        <w:rPr>
          <w:sz w:val="22"/>
          <w:szCs w:val="22"/>
          <w:highlight w:val="yellow"/>
        </w:rPr>
      </w:pPr>
    </w:p>
    <w:p w14:paraId="73D3BEFE" w14:textId="5C24447C" w:rsidR="002529EA" w:rsidRPr="005045BF" w:rsidRDefault="001621C8" w:rsidP="002529EA">
      <w:pPr>
        <w:pStyle w:val="Default"/>
        <w:jc w:val="both"/>
        <w:rPr>
          <w:color w:val="000000" w:themeColor="text1"/>
          <w:sz w:val="22"/>
          <w:szCs w:val="22"/>
        </w:rPr>
      </w:pPr>
      <w:r w:rsidRPr="005045BF">
        <w:rPr>
          <w:color w:val="000000" w:themeColor="text1"/>
          <w:sz w:val="22"/>
          <w:szCs w:val="22"/>
        </w:rPr>
        <w:t>Es de mencionar que, d</w:t>
      </w:r>
      <w:r w:rsidR="002529EA" w:rsidRPr="005045BF">
        <w:rPr>
          <w:color w:val="000000" w:themeColor="text1"/>
          <w:sz w:val="22"/>
          <w:szCs w:val="22"/>
        </w:rPr>
        <w:t>urante el primer trimestre de 2020 no se registraron obligaciones a favor del contratista Big Media Publicidad S.A.S</w:t>
      </w:r>
      <w:r w:rsidR="00D25053" w:rsidRPr="005045BF">
        <w:rPr>
          <w:color w:val="000000" w:themeColor="text1"/>
          <w:sz w:val="22"/>
          <w:szCs w:val="22"/>
        </w:rPr>
        <w:t>. D</w:t>
      </w:r>
      <w:r w:rsidR="000F3EF9" w:rsidRPr="005045BF">
        <w:rPr>
          <w:color w:val="000000" w:themeColor="text1"/>
          <w:sz w:val="22"/>
          <w:szCs w:val="22"/>
        </w:rPr>
        <w:t xml:space="preserve">e igual forma, el contrato suscrito con dicha empresa fue a partir del 08 de mayo de 2019. En consecuencia, durante el periodo analizado [Primer trimestre de 2020-2019], </w:t>
      </w:r>
      <w:r w:rsidR="00D25053" w:rsidRPr="005045BF">
        <w:rPr>
          <w:color w:val="000000" w:themeColor="text1"/>
          <w:sz w:val="22"/>
          <w:szCs w:val="22"/>
        </w:rPr>
        <w:t>no se present</w:t>
      </w:r>
      <w:r w:rsidR="00C01D39" w:rsidRPr="005045BF">
        <w:rPr>
          <w:color w:val="000000" w:themeColor="text1"/>
          <w:sz w:val="22"/>
          <w:szCs w:val="22"/>
        </w:rPr>
        <w:t xml:space="preserve">aron gastos de publicación </w:t>
      </w:r>
      <w:r w:rsidR="00D25053" w:rsidRPr="005045BF">
        <w:rPr>
          <w:color w:val="000000" w:themeColor="text1"/>
          <w:sz w:val="22"/>
          <w:szCs w:val="22"/>
        </w:rPr>
        <w:t>que permitieran establecer las respectivas variaciones</w:t>
      </w:r>
      <w:r w:rsidRPr="005045BF">
        <w:rPr>
          <w:color w:val="000000" w:themeColor="text1"/>
          <w:sz w:val="22"/>
          <w:szCs w:val="22"/>
        </w:rPr>
        <w:t xml:space="preserve">. </w:t>
      </w:r>
    </w:p>
    <w:p w14:paraId="3EA6E25D" w14:textId="2346EB92" w:rsidR="000F3EF9" w:rsidRPr="005045BF" w:rsidRDefault="000F3EF9" w:rsidP="005E0428">
      <w:pPr>
        <w:pStyle w:val="Default"/>
        <w:spacing w:line="168" w:lineRule="auto"/>
        <w:jc w:val="both"/>
        <w:rPr>
          <w:color w:val="000000" w:themeColor="text1"/>
          <w:sz w:val="22"/>
          <w:szCs w:val="22"/>
        </w:rPr>
      </w:pPr>
    </w:p>
    <w:p w14:paraId="72C7F516" w14:textId="77777777" w:rsidR="000F3EF9" w:rsidRPr="005045BF" w:rsidRDefault="000F3EF9" w:rsidP="005E0428">
      <w:pPr>
        <w:pStyle w:val="Default"/>
        <w:spacing w:line="168" w:lineRule="auto"/>
        <w:jc w:val="both"/>
        <w:rPr>
          <w:color w:val="000000" w:themeColor="text1"/>
          <w:sz w:val="22"/>
          <w:szCs w:val="22"/>
        </w:rPr>
      </w:pPr>
    </w:p>
    <w:p w14:paraId="51AF6DD6" w14:textId="1FE70731" w:rsidR="00FF425E" w:rsidRPr="005045BF" w:rsidRDefault="00FF425E" w:rsidP="002C1532">
      <w:pPr>
        <w:pStyle w:val="Prrafodelista"/>
        <w:numPr>
          <w:ilvl w:val="0"/>
          <w:numId w:val="8"/>
        </w:numPr>
        <w:ind w:left="284" w:hanging="284"/>
        <w:contextualSpacing w:val="0"/>
        <w:rPr>
          <w:rFonts w:ascii="Arial" w:hAnsi="Arial" w:cs="Arial"/>
          <w:b/>
          <w:sz w:val="22"/>
          <w:szCs w:val="22"/>
        </w:rPr>
      </w:pPr>
      <w:r w:rsidRPr="005045BF">
        <w:rPr>
          <w:rFonts w:ascii="Arial" w:hAnsi="Arial" w:cs="Arial"/>
          <w:b/>
          <w:sz w:val="22"/>
          <w:szCs w:val="22"/>
        </w:rPr>
        <w:t xml:space="preserve">PAPELERÍA Y TELEFONÍA </w:t>
      </w:r>
    </w:p>
    <w:p w14:paraId="12CD425B" w14:textId="77777777" w:rsidR="00646A4E" w:rsidRPr="005045BF" w:rsidRDefault="00646A4E" w:rsidP="002C1532">
      <w:pPr>
        <w:rPr>
          <w:rFonts w:ascii="Arial" w:hAnsi="Arial" w:cs="Arial"/>
          <w:sz w:val="22"/>
          <w:szCs w:val="22"/>
        </w:rPr>
      </w:pPr>
    </w:p>
    <w:p w14:paraId="1E91D98B" w14:textId="486982D7" w:rsidR="00FF425E" w:rsidRPr="005045BF" w:rsidRDefault="00FF425E" w:rsidP="00AA60B7">
      <w:pPr>
        <w:jc w:val="both"/>
        <w:rPr>
          <w:rFonts w:ascii="Arial" w:hAnsi="Arial" w:cs="Arial"/>
          <w:sz w:val="22"/>
          <w:szCs w:val="22"/>
        </w:rPr>
      </w:pPr>
      <w:r w:rsidRPr="005045BF">
        <w:rPr>
          <w:rFonts w:ascii="Arial" w:hAnsi="Arial" w:cs="Arial"/>
          <w:sz w:val="22"/>
          <w:szCs w:val="22"/>
        </w:rPr>
        <w:t xml:space="preserve">La Directiva Presidencial 09 de 2018, en el numeral 6 estableció los siguientes lineamientos de austeridad </w:t>
      </w:r>
      <w:r w:rsidR="000F2A04" w:rsidRPr="005045BF">
        <w:rPr>
          <w:rFonts w:ascii="Arial" w:hAnsi="Arial" w:cs="Arial"/>
          <w:sz w:val="22"/>
          <w:szCs w:val="22"/>
        </w:rPr>
        <w:t xml:space="preserve">relacionados con los gastos de papelería y telefonía, así:  </w:t>
      </w:r>
    </w:p>
    <w:p w14:paraId="5C537AA4" w14:textId="77777777" w:rsidR="000F2A04" w:rsidRPr="005045BF" w:rsidRDefault="000F2A04" w:rsidP="00AA60B7">
      <w:pPr>
        <w:spacing w:line="168" w:lineRule="auto"/>
        <w:jc w:val="both"/>
        <w:rPr>
          <w:rFonts w:ascii="Arial" w:hAnsi="Arial" w:cs="Arial"/>
          <w:sz w:val="22"/>
          <w:szCs w:val="22"/>
        </w:rPr>
      </w:pPr>
    </w:p>
    <w:p w14:paraId="0994DAEB" w14:textId="77777777" w:rsidR="000F2A04" w:rsidRPr="005045BF" w:rsidRDefault="000F2A04" w:rsidP="00AA60B7">
      <w:pPr>
        <w:pStyle w:val="Prrafodelista"/>
        <w:numPr>
          <w:ilvl w:val="0"/>
          <w:numId w:val="9"/>
        </w:numPr>
        <w:spacing w:after="120"/>
        <w:ind w:left="284" w:hanging="281"/>
        <w:contextualSpacing w:val="0"/>
        <w:rPr>
          <w:rFonts w:ascii="Arial" w:hAnsi="Arial" w:cs="Arial"/>
          <w:color w:val="000000"/>
          <w:sz w:val="22"/>
          <w:szCs w:val="22"/>
        </w:rPr>
      </w:pPr>
      <w:r w:rsidRPr="005045BF">
        <w:rPr>
          <w:rFonts w:ascii="Arial" w:hAnsi="Arial" w:cs="Arial"/>
          <w:color w:val="000000"/>
          <w:sz w:val="22"/>
          <w:szCs w:val="22"/>
        </w:rPr>
        <w:t>Utilizar medios digitales, de manera preferente, y evitar impresiones. En caso de realizar impresiones, racionalizar el uso de papel y de tinta.</w:t>
      </w:r>
    </w:p>
    <w:p w14:paraId="2E9F2E15" w14:textId="77777777" w:rsidR="000F2A04" w:rsidRPr="005045BF" w:rsidRDefault="000F2A04" w:rsidP="00AA60B7">
      <w:pPr>
        <w:pStyle w:val="Prrafodelista"/>
        <w:numPr>
          <w:ilvl w:val="0"/>
          <w:numId w:val="9"/>
        </w:numPr>
        <w:spacing w:after="120"/>
        <w:ind w:left="284" w:hanging="284"/>
        <w:contextualSpacing w:val="0"/>
        <w:rPr>
          <w:rFonts w:ascii="Arial" w:hAnsi="Arial" w:cs="Arial"/>
          <w:color w:val="000000"/>
          <w:sz w:val="22"/>
          <w:szCs w:val="22"/>
        </w:rPr>
      </w:pPr>
      <w:r w:rsidRPr="005045BF">
        <w:rPr>
          <w:rFonts w:ascii="Arial" w:hAnsi="Arial" w:cs="Arial"/>
          <w:color w:val="000000"/>
          <w:sz w:val="22"/>
          <w:szCs w:val="22"/>
        </w:rPr>
        <w:t>Racionalizar llamadas telefónicas internacionales, nacionales y a celulares y privilegiar sistemas basados en protocolo de internet.</w:t>
      </w:r>
    </w:p>
    <w:p w14:paraId="2BB7A4C3" w14:textId="762A90ED" w:rsidR="000F2A04" w:rsidRPr="005045BF" w:rsidRDefault="000F2A04" w:rsidP="00AA60B7">
      <w:pPr>
        <w:pStyle w:val="Prrafodelista"/>
        <w:numPr>
          <w:ilvl w:val="0"/>
          <w:numId w:val="9"/>
        </w:numPr>
        <w:ind w:left="284" w:hanging="284"/>
        <w:contextualSpacing w:val="0"/>
        <w:rPr>
          <w:rFonts w:ascii="Arial" w:hAnsi="Arial" w:cs="Arial"/>
          <w:sz w:val="22"/>
          <w:szCs w:val="22"/>
        </w:rPr>
      </w:pPr>
      <w:r w:rsidRPr="005045BF">
        <w:rPr>
          <w:rFonts w:ascii="Arial" w:hAnsi="Arial" w:cs="Arial"/>
          <w:color w:val="000000"/>
          <w:sz w:val="22"/>
          <w:szCs w:val="22"/>
        </w:rPr>
        <w:t>Reducir el consumo, reutilizar y reciclar implementos de oficina</w:t>
      </w:r>
    </w:p>
    <w:p w14:paraId="773D6279" w14:textId="77777777" w:rsidR="00855434" w:rsidRPr="005045BF" w:rsidRDefault="00855434" w:rsidP="005E0428">
      <w:pPr>
        <w:pStyle w:val="Default"/>
        <w:spacing w:line="168" w:lineRule="auto"/>
        <w:jc w:val="both"/>
        <w:rPr>
          <w:b/>
          <w:sz w:val="22"/>
          <w:szCs w:val="22"/>
        </w:rPr>
      </w:pPr>
    </w:p>
    <w:p w14:paraId="08F7A9BB" w14:textId="24607AF6" w:rsidR="009C4E81" w:rsidRPr="005045BF" w:rsidRDefault="009C4E81" w:rsidP="00AA60B7">
      <w:pPr>
        <w:jc w:val="both"/>
        <w:rPr>
          <w:rFonts w:ascii="Arial" w:hAnsi="Arial" w:cs="Arial"/>
          <w:sz w:val="22"/>
          <w:szCs w:val="22"/>
        </w:rPr>
      </w:pPr>
      <w:r w:rsidRPr="005045BF">
        <w:rPr>
          <w:rFonts w:ascii="Arial" w:hAnsi="Arial" w:cs="Arial"/>
          <w:sz w:val="22"/>
          <w:szCs w:val="22"/>
        </w:rPr>
        <w:t xml:space="preserve">Teniendo en cuenta lo antes mencionado, se presenta el análisis realizado </w:t>
      </w:r>
      <w:r w:rsidR="00730F44" w:rsidRPr="005045BF">
        <w:rPr>
          <w:rFonts w:ascii="Arial" w:hAnsi="Arial" w:cs="Arial"/>
          <w:sz w:val="22"/>
          <w:szCs w:val="22"/>
        </w:rPr>
        <w:t>para los conceptos concernientes a</w:t>
      </w:r>
      <w:r w:rsidR="003C5F98" w:rsidRPr="005045BF">
        <w:rPr>
          <w:rFonts w:ascii="Arial" w:hAnsi="Arial" w:cs="Arial"/>
          <w:sz w:val="22"/>
          <w:szCs w:val="22"/>
        </w:rPr>
        <w:t xml:space="preserve"> </w:t>
      </w:r>
      <w:r w:rsidR="007D1BCB" w:rsidRPr="005045BF">
        <w:rPr>
          <w:rFonts w:ascii="Arial" w:hAnsi="Arial" w:cs="Arial"/>
          <w:sz w:val="22"/>
          <w:szCs w:val="22"/>
        </w:rPr>
        <w:t xml:space="preserve">consumo de </w:t>
      </w:r>
      <w:r w:rsidR="00E426BD" w:rsidRPr="005045BF">
        <w:rPr>
          <w:rFonts w:ascii="Arial" w:hAnsi="Arial" w:cs="Arial"/>
          <w:sz w:val="22"/>
          <w:szCs w:val="22"/>
        </w:rPr>
        <w:t>papel y</w:t>
      </w:r>
      <w:r w:rsidR="003C5F98" w:rsidRPr="005045BF">
        <w:rPr>
          <w:rFonts w:ascii="Arial" w:hAnsi="Arial" w:cs="Arial"/>
          <w:sz w:val="22"/>
          <w:szCs w:val="22"/>
        </w:rPr>
        <w:t xml:space="preserve"> telefonía, bajo el marco de </w:t>
      </w:r>
      <w:r w:rsidR="00730F44" w:rsidRPr="005045BF">
        <w:rPr>
          <w:rFonts w:ascii="Arial" w:hAnsi="Arial" w:cs="Arial"/>
          <w:sz w:val="22"/>
          <w:szCs w:val="22"/>
        </w:rPr>
        <w:t xml:space="preserve">medidas de austeridad fijadas por el Gobierno Nacional. </w:t>
      </w:r>
    </w:p>
    <w:p w14:paraId="20372275" w14:textId="77777777" w:rsidR="00FF425E" w:rsidRPr="005045BF" w:rsidRDefault="00FF425E" w:rsidP="00AA60B7">
      <w:pPr>
        <w:rPr>
          <w:rFonts w:ascii="Arial" w:hAnsi="Arial" w:cs="Arial"/>
          <w:b/>
          <w:sz w:val="22"/>
          <w:szCs w:val="22"/>
        </w:rPr>
      </w:pPr>
    </w:p>
    <w:p w14:paraId="1F0F2E99" w14:textId="77777777" w:rsidR="007D1BCB" w:rsidRPr="005045BF" w:rsidRDefault="007D1BCB" w:rsidP="005E0428">
      <w:pPr>
        <w:pStyle w:val="Default"/>
        <w:spacing w:line="168" w:lineRule="auto"/>
        <w:jc w:val="both"/>
        <w:rPr>
          <w:b/>
          <w:sz w:val="22"/>
          <w:szCs w:val="22"/>
        </w:rPr>
      </w:pPr>
    </w:p>
    <w:p w14:paraId="32EEBF0D" w14:textId="3097A5BD" w:rsidR="00527C13" w:rsidRPr="005045BF" w:rsidRDefault="00F02B89" w:rsidP="00AA60B7">
      <w:pPr>
        <w:pStyle w:val="Prrafodelista"/>
        <w:numPr>
          <w:ilvl w:val="1"/>
          <w:numId w:val="43"/>
        </w:numPr>
        <w:tabs>
          <w:tab w:val="left" w:pos="426"/>
        </w:tabs>
        <w:ind w:hanging="3981"/>
        <w:contextualSpacing w:val="0"/>
        <w:rPr>
          <w:rFonts w:ascii="Arial" w:hAnsi="Arial" w:cs="Arial"/>
          <w:b/>
          <w:sz w:val="22"/>
          <w:szCs w:val="22"/>
        </w:rPr>
      </w:pPr>
      <w:r w:rsidRPr="005045BF">
        <w:rPr>
          <w:rFonts w:ascii="Arial" w:hAnsi="Arial" w:cs="Arial"/>
          <w:b/>
          <w:sz w:val="22"/>
          <w:szCs w:val="22"/>
        </w:rPr>
        <w:t>CONSUMO DE PAPEL</w:t>
      </w:r>
    </w:p>
    <w:p w14:paraId="0C24290C" w14:textId="77777777" w:rsidR="00B83072" w:rsidRPr="005045BF" w:rsidRDefault="00B83072" w:rsidP="00AA60B7">
      <w:pPr>
        <w:pStyle w:val="Prrafodelista"/>
        <w:ind w:left="426"/>
        <w:contextualSpacing w:val="0"/>
        <w:jc w:val="left"/>
        <w:rPr>
          <w:rFonts w:ascii="Arial" w:hAnsi="Arial" w:cs="Arial"/>
          <w:b/>
          <w:sz w:val="22"/>
          <w:szCs w:val="22"/>
        </w:rPr>
      </w:pPr>
    </w:p>
    <w:p w14:paraId="6247643C" w14:textId="3F154B83" w:rsidR="000D6841" w:rsidRPr="005045BF" w:rsidRDefault="005E78C1" w:rsidP="00AA60B7">
      <w:pPr>
        <w:widowControl w:val="0"/>
        <w:jc w:val="both"/>
        <w:rPr>
          <w:rFonts w:ascii="Arial" w:hAnsi="Arial" w:cs="Arial"/>
          <w:sz w:val="22"/>
          <w:szCs w:val="22"/>
        </w:rPr>
      </w:pPr>
      <w:r w:rsidRPr="005045BF">
        <w:rPr>
          <w:rFonts w:ascii="Arial" w:hAnsi="Arial" w:cs="Arial"/>
          <w:sz w:val="22"/>
          <w:szCs w:val="22"/>
        </w:rPr>
        <w:t>A 3</w:t>
      </w:r>
      <w:r w:rsidR="00C9513F" w:rsidRPr="005045BF">
        <w:rPr>
          <w:rFonts w:ascii="Arial" w:hAnsi="Arial" w:cs="Arial"/>
          <w:sz w:val="22"/>
          <w:szCs w:val="22"/>
        </w:rPr>
        <w:t>1</w:t>
      </w:r>
      <w:r w:rsidRPr="005045BF">
        <w:rPr>
          <w:rFonts w:ascii="Arial" w:hAnsi="Arial" w:cs="Arial"/>
          <w:sz w:val="22"/>
          <w:szCs w:val="22"/>
        </w:rPr>
        <w:t xml:space="preserve"> de </w:t>
      </w:r>
      <w:r w:rsidR="00F96E9A" w:rsidRPr="005045BF">
        <w:rPr>
          <w:rFonts w:ascii="Arial" w:hAnsi="Arial" w:cs="Arial"/>
          <w:sz w:val="22"/>
          <w:szCs w:val="22"/>
        </w:rPr>
        <w:t xml:space="preserve">marzo </w:t>
      </w:r>
      <w:r w:rsidR="00C9513F" w:rsidRPr="005045BF">
        <w:rPr>
          <w:rFonts w:ascii="Arial" w:hAnsi="Arial" w:cs="Arial"/>
          <w:sz w:val="22"/>
          <w:szCs w:val="22"/>
        </w:rPr>
        <w:t>d</w:t>
      </w:r>
      <w:r w:rsidRPr="005045BF">
        <w:rPr>
          <w:rFonts w:ascii="Arial" w:hAnsi="Arial" w:cs="Arial"/>
          <w:sz w:val="22"/>
          <w:szCs w:val="22"/>
        </w:rPr>
        <w:t>e 20</w:t>
      </w:r>
      <w:r w:rsidR="00F96E9A" w:rsidRPr="005045BF">
        <w:rPr>
          <w:rFonts w:ascii="Arial" w:hAnsi="Arial" w:cs="Arial"/>
          <w:sz w:val="22"/>
          <w:szCs w:val="22"/>
        </w:rPr>
        <w:t>20</w:t>
      </w:r>
      <w:r w:rsidRPr="005045BF">
        <w:rPr>
          <w:rFonts w:ascii="Arial" w:hAnsi="Arial" w:cs="Arial"/>
          <w:sz w:val="22"/>
          <w:szCs w:val="22"/>
        </w:rPr>
        <w:t>, s</w:t>
      </w:r>
      <w:r w:rsidR="00934EC6" w:rsidRPr="005045BF">
        <w:rPr>
          <w:rFonts w:ascii="Arial" w:hAnsi="Arial" w:cs="Arial"/>
          <w:sz w:val="22"/>
          <w:szCs w:val="22"/>
        </w:rPr>
        <w:t xml:space="preserve">e encontraba </w:t>
      </w:r>
      <w:r w:rsidR="00D24DC0" w:rsidRPr="005045BF">
        <w:rPr>
          <w:rFonts w:ascii="Arial" w:hAnsi="Arial" w:cs="Arial"/>
          <w:sz w:val="22"/>
          <w:szCs w:val="22"/>
        </w:rPr>
        <w:t>vigente el contrato 3.</w:t>
      </w:r>
      <w:r w:rsidR="00C9513F" w:rsidRPr="005045BF">
        <w:rPr>
          <w:rFonts w:ascii="Arial" w:hAnsi="Arial" w:cs="Arial"/>
          <w:sz w:val="22"/>
          <w:szCs w:val="22"/>
        </w:rPr>
        <w:t>312</w:t>
      </w:r>
      <w:r w:rsidR="00D24DC0" w:rsidRPr="005045BF">
        <w:rPr>
          <w:rFonts w:ascii="Arial" w:hAnsi="Arial" w:cs="Arial"/>
          <w:sz w:val="22"/>
          <w:szCs w:val="22"/>
        </w:rPr>
        <w:t xml:space="preserve"> – 201</w:t>
      </w:r>
      <w:r w:rsidR="00C9513F" w:rsidRPr="005045BF">
        <w:rPr>
          <w:rFonts w:ascii="Arial" w:hAnsi="Arial" w:cs="Arial"/>
          <w:sz w:val="22"/>
          <w:szCs w:val="22"/>
        </w:rPr>
        <w:t>9</w:t>
      </w:r>
      <w:r w:rsidRPr="005045BF">
        <w:rPr>
          <w:rFonts w:ascii="Arial" w:hAnsi="Arial" w:cs="Arial"/>
          <w:sz w:val="22"/>
          <w:szCs w:val="22"/>
        </w:rPr>
        <w:t xml:space="preserve"> [fecha de terminación </w:t>
      </w:r>
      <w:r w:rsidR="00C9513F" w:rsidRPr="005045BF">
        <w:rPr>
          <w:rFonts w:ascii="Arial" w:hAnsi="Arial" w:cs="Arial"/>
          <w:sz w:val="22"/>
          <w:szCs w:val="22"/>
        </w:rPr>
        <w:t>hasta el 31/07/2022</w:t>
      </w:r>
      <w:r w:rsidRPr="005045BF">
        <w:rPr>
          <w:rFonts w:ascii="Arial" w:hAnsi="Arial" w:cs="Arial"/>
          <w:sz w:val="22"/>
          <w:szCs w:val="22"/>
        </w:rPr>
        <w:t xml:space="preserve">] </w:t>
      </w:r>
      <w:r w:rsidR="00D24DC0" w:rsidRPr="005045BF">
        <w:rPr>
          <w:rFonts w:ascii="Arial" w:hAnsi="Arial" w:cs="Arial"/>
          <w:sz w:val="22"/>
          <w:szCs w:val="22"/>
        </w:rPr>
        <w:t>suscrito con</w:t>
      </w:r>
      <w:r w:rsidR="00F110C7" w:rsidRPr="005045BF">
        <w:rPr>
          <w:rFonts w:ascii="Arial" w:hAnsi="Arial" w:cs="Arial"/>
          <w:sz w:val="22"/>
          <w:szCs w:val="22"/>
        </w:rPr>
        <w:t xml:space="preserve"> U</w:t>
      </w:r>
      <w:r w:rsidR="001209AC" w:rsidRPr="005045BF">
        <w:rPr>
          <w:rFonts w:ascii="Arial" w:hAnsi="Arial" w:cs="Arial"/>
          <w:sz w:val="22"/>
          <w:szCs w:val="22"/>
        </w:rPr>
        <w:t xml:space="preserve">nión Temporal </w:t>
      </w:r>
      <w:r w:rsidR="00C9513F" w:rsidRPr="005045BF">
        <w:rPr>
          <w:rFonts w:ascii="Arial" w:hAnsi="Arial" w:cs="Arial"/>
          <w:color w:val="000000"/>
          <w:sz w:val="22"/>
          <w:szCs w:val="22"/>
        </w:rPr>
        <w:t>COMBPCAM</w:t>
      </w:r>
      <w:r w:rsidR="00C9513F" w:rsidRPr="005045BF">
        <w:rPr>
          <w:rFonts w:ascii="Arial" w:hAnsi="Arial" w:cs="Arial"/>
          <w:sz w:val="22"/>
          <w:szCs w:val="22"/>
        </w:rPr>
        <w:t xml:space="preserve"> </w:t>
      </w:r>
      <w:r w:rsidR="001209AC" w:rsidRPr="005045BF">
        <w:rPr>
          <w:rFonts w:ascii="Arial" w:hAnsi="Arial" w:cs="Arial"/>
          <w:sz w:val="22"/>
          <w:szCs w:val="22"/>
        </w:rPr>
        <w:t>con el objetivo de</w:t>
      </w:r>
      <w:r w:rsidR="002B19F9" w:rsidRPr="005045BF">
        <w:rPr>
          <w:rFonts w:ascii="Arial" w:hAnsi="Arial" w:cs="Arial"/>
          <w:sz w:val="22"/>
          <w:szCs w:val="22"/>
        </w:rPr>
        <w:t xml:space="preserve"> «</w:t>
      </w:r>
      <w:r w:rsidR="00676829" w:rsidRPr="005045BF">
        <w:rPr>
          <w:rFonts w:ascii="Arial" w:hAnsi="Arial" w:cs="Arial"/>
          <w:i/>
          <w:sz w:val="22"/>
          <w:szCs w:val="22"/>
        </w:rPr>
        <w:t>Prestar el servicio tercerizado de operación, gestión y modernización de los servicios tecnológicos del Ministerio de Hacienda y Crédito Público</w:t>
      </w:r>
      <m:oMath>
        <m:r>
          <w:rPr>
            <w:rFonts w:ascii="Cambria Math" w:hAnsi="Cambria Math" w:cs="Arial"/>
            <w:sz w:val="22"/>
            <w:szCs w:val="22"/>
          </w:rPr>
          <m:t>»</m:t>
        </m:r>
      </m:oMath>
      <w:r w:rsidR="001209AC" w:rsidRPr="005045BF">
        <w:rPr>
          <w:rFonts w:ascii="Arial" w:hAnsi="Arial" w:cs="Arial"/>
          <w:sz w:val="22"/>
          <w:szCs w:val="22"/>
        </w:rPr>
        <w:t>,</w:t>
      </w:r>
      <w:r w:rsidR="00676829" w:rsidRPr="005045BF">
        <w:rPr>
          <w:rFonts w:ascii="Arial" w:hAnsi="Arial" w:cs="Arial"/>
          <w:sz w:val="22"/>
          <w:szCs w:val="22"/>
        </w:rPr>
        <w:t xml:space="preserve"> </w:t>
      </w:r>
      <w:r w:rsidR="001209AC" w:rsidRPr="005045BF">
        <w:rPr>
          <w:rFonts w:ascii="Arial" w:hAnsi="Arial" w:cs="Arial"/>
          <w:sz w:val="22"/>
          <w:szCs w:val="22"/>
        </w:rPr>
        <w:t>el cual incluye los servicios digitales compuestos por las multifuncionales que permiten imprimir a color, blanco y negro, copiar,</w:t>
      </w:r>
      <w:r w:rsidR="002861A5" w:rsidRPr="005045BF">
        <w:rPr>
          <w:rFonts w:ascii="Arial" w:hAnsi="Arial" w:cs="Arial"/>
          <w:sz w:val="22"/>
          <w:szCs w:val="22"/>
        </w:rPr>
        <w:t xml:space="preserve"> y fax;</w:t>
      </w:r>
      <w:r w:rsidR="001209AC" w:rsidRPr="005045BF">
        <w:rPr>
          <w:rFonts w:ascii="Arial" w:hAnsi="Arial" w:cs="Arial"/>
          <w:sz w:val="22"/>
          <w:szCs w:val="22"/>
        </w:rPr>
        <w:t xml:space="preserve"> y </w:t>
      </w:r>
      <w:r w:rsidR="007F0CA9" w:rsidRPr="005045BF">
        <w:rPr>
          <w:rFonts w:ascii="Arial" w:hAnsi="Arial" w:cs="Arial"/>
          <w:sz w:val="22"/>
          <w:szCs w:val="22"/>
        </w:rPr>
        <w:t>un centro de fotocopiado masivo.</w:t>
      </w:r>
    </w:p>
    <w:p w14:paraId="76E90074" w14:textId="1B391864" w:rsidR="00BD7AD1" w:rsidRPr="005045BF" w:rsidRDefault="000D6841" w:rsidP="00BD7AD1">
      <w:pPr>
        <w:widowControl w:val="0"/>
        <w:jc w:val="both"/>
        <w:rPr>
          <w:rFonts w:ascii="Arial" w:hAnsi="Arial" w:cs="Arial"/>
          <w:sz w:val="22"/>
          <w:szCs w:val="22"/>
        </w:rPr>
      </w:pPr>
      <w:r w:rsidRPr="005045BF">
        <w:rPr>
          <w:rFonts w:ascii="Arial" w:hAnsi="Arial" w:cs="Arial"/>
          <w:sz w:val="22"/>
          <w:szCs w:val="22"/>
        </w:rPr>
        <w:lastRenderedPageBreak/>
        <w:t>Con</w:t>
      </w:r>
      <w:r w:rsidR="00F96E9A" w:rsidRPr="005045BF">
        <w:rPr>
          <w:rFonts w:ascii="Arial" w:hAnsi="Arial" w:cs="Arial"/>
          <w:sz w:val="22"/>
          <w:szCs w:val="22"/>
        </w:rPr>
        <w:t xml:space="preserve"> </w:t>
      </w:r>
      <w:r w:rsidRPr="005045BF">
        <w:rPr>
          <w:rFonts w:ascii="Arial" w:hAnsi="Arial" w:cs="Arial"/>
          <w:sz w:val="22"/>
          <w:szCs w:val="22"/>
        </w:rPr>
        <w:t>el propósito de revisar el comportamiento del consumo de papel</w:t>
      </w:r>
      <w:r w:rsidR="00924996" w:rsidRPr="005045BF">
        <w:rPr>
          <w:rFonts w:ascii="Arial" w:hAnsi="Arial" w:cs="Arial"/>
          <w:sz w:val="22"/>
          <w:szCs w:val="22"/>
        </w:rPr>
        <w:t xml:space="preserve"> para el periodo </w:t>
      </w:r>
      <w:r w:rsidR="00777389" w:rsidRPr="005045BF">
        <w:rPr>
          <w:rFonts w:ascii="Arial" w:hAnsi="Arial" w:cs="Arial"/>
          <w:sz w:val="22"/>
          <w:szCs w:val="22"/>
        </w:rPr>
        <w:t xml:space="preserve">correspondiente al </w:t>
      </w:r>
      <w:r w:rsidR="00C47E18" w:rsidRPr="005045BF">
        <w:rPr>
          <w:rFonts w:ascii="Arial" w:hAnsi="Arial" w:cs="Arial"/>
          <w:sz w:val="22"/>
          <w:szCs w:val="22"/>
        </w:rPr>
        <w:t xml:space="preserve">primer </w:t>
      </w:r>
      <w:r w:rsidR="00980FB0" w:rsidRPr="005045BF">
        <w:rPr>
          <w:rFonts w:ascii="Arial" w:hAnsi="Arial" w:cs="Arial"/>
          <w:sz w:val="22"/>
          <w:szCs w:val="22"/>
        </w:rPr>
        <w:t xml:space="preserve">trimestre </w:t>
      </w:r>
      <w:r w:rsidR="00777389" w:rsidRPr="005045BF">
        <w:rPr>
          <w:rFonts w:ascii="Arial" w:hAnsi="Arial" w:cs="Arial"/>
          <w:sz w:val="22"/>
          <w:szCs w:val="22"/>
        </w:rPr>
        <w:t>de 20</w:t>
      </w:r>
      <w:r w:rsidR="00C47E18" w:rsidRPr="005045BF">
        <w:rPr>
          <w:rFonts w:ascii="Arial" w:hAnsi="Arial" w:cs="Arial"/>
          <w:sz w:val="22"/>
          <w:szCs w:val="22"/>
        </w:rPr>
        <w:t>20</w:t>
      </w:r>
      <w:r w:rsidR="00777389" w:rsidRPr="005045BF">
        <w:rPr>
          <w:rFonts w:ascii="Arial" w:hAnsi="Arial" w:cs="Arial"/>
          <w:sz w:val="22"/>
          <w:szCs w:val="22"/>
        </w:rPr>
        <w:t xml:space="preserve"> comparad</w:t>
      </w:r>
      <w:r w:rsidR="00980FB0" w:rsidRPr="005045BF">
        <w:rPr>
          <w:rFonts w:ascii="Arial" w:hAnsi="Arial" w:cs="Arial"/>
          <w:sz w:val="22"/>
          <w:szCs w:val="22"/>
        </w:rPr>
        <w:t>o</w:t>
      </w:r>
      <w:r w:rsidR="00777389" w:rsidRPr="005045BF">
        <w:rPr>
          <w:rFonts w:ascii="Arial" w:hAnsi="Arial" w:cs="Arial"/>
          <w:sz w:val="22"/>
          <w:szCs w:val="22"/>
        </w:rPr>
        <w:t xml:space="preserve"> con la vigencia 201</w:t>
      </w:r>
      <w:r w:rsidR="00C47E18" w:rsidRPr="005045BF">
        <w:rPr>
          <w:rFonts w:ascii="Arial" w:hAnsi="Arial" w:cs="Arial"/>
          <w:sz w:val="22"/>
          <w:szCs w:val="22"/>
        </w:rPr>
        <w:t>9</w:t>
      </w:r>
      <w:r w:rsidR="00777389" w:rsidRPr="005045BF">
        <w:rPr>
          <w:rFonts w:ascii="Arial" w:hAnsi="Arial" w:cs="Arial"/>
          <w:sz w:val="22"/>
          <w:szCs w:val="22"/>
        </w:rPr>
        <w:t xml:space="preserve">, </w:t>
      </w:r>
      <w:r w:rsidR="00924996" w:rsidRPr="005045BF">
        <w:rPr>
          <w:rFonts w:ascii="Arial" w:hAnsi="Arial" w:cs="Arial"/>
          <w:sz w:val="22"/>
          <w:szCs w:val="22"/>
        </w:rPr>
        <w:t xml:space="preserve">se consultó la información en el aplicativo de </w:t>
      </w:r>
      <w:r w:rsidR="00924996" w:rsidRPr="005045BF">
        <w:rPr>
          <w:rFonts w:ascii="Arial" w:hAnsi="Arial" w:cs="Arial"/>
          <w:i/>
          <w:iCs/>
          <w:sz w:val="22"/>
          <w:szCs w:val="22"/>
        </w:rPr>
        <w:t>Estadísticas de Consumo de Papel – MHCP</w:t>
      </w:r>
      <w:r w:rsidR="00924996" w:rsidRPr="005045BF">
        <w:rPr>
          <w:rFonts w:ascii="Arial" w:hAnsi="Arial" w:cs="Arial"/>
          <w:sz w:val="22"/>
          <w:szCs w:val="22"/>
        </w:rPr>
        <w:t xml:space="preserve"> diseñado por la Dirección de Tecnología para tal fin, el cual se encuentra publicado en la intranet de este Ministerio</w:t>
      </w:r>
      <w:r w:rsidR="00405A4C">
        <w:rPr>
          <w:rFonts w:ascii="Arial" w:hAnsi="Arial" w:cs="Arial"/>
          <w:sz w:val="22"/>
          <w:szCs w:val="22"/>
        </w:rPr>
        <w:t>. C</w:t>
      </w:r>
      <w:r w:rsidR="00BD7AD1" w:rsidRPr="005045BF">
        <w:rPr>
          <w:rFonts w:ascii="Arial" w:hAnsi="Arial" w:cs="Arial"/>
          <w:sz w:val="22"/>
          <w:szCs w:val="22"/>
        </w:rPr>
        <w:t xml:space="preserve">on base en </w:t>
      </w:r>
      <w:r w:rsidR="00174B0D" w:rsidRPr="005045BF">
        <w:rPr>
          <w:rFonts w:ascii="Arial" w:hAnsi="Arial" w:cs="Arial"/>
          <w:sz w:val="22"/>
          <w:szCs w:val="22"/>
        </w:rPr>
        <w:t xml:space="preserve">dicha información, </w:t>
      </w:r>
      <w:r w:rsidR="00D265BB" w:rsidRPr="005045BF">
        <w:rPr>
          <w:rFonts w:ascii="Arial" w:hAnsi="Arial" w:cs="Arial"/>
          <w:sz w:val="22"/>
          <w:szCs w:val="22"/>
        </w:rPr>
        <w:t xml:space="preserve">se establecieron las respectivas variaciones, así: </w:t>
      </w:r>
    </w:p>
    <w:p w14:paraId="20816DCD" w14:textId="77777777" w:rsidR="003B4876" w:rsidRPr="005045BF" w:rsidRDefault="003B4876" w:rsidP="00BD7AD1">
      <w:pPr>
        <w:widowControl w:val="0"/>
        <w:jc w:val="both"/>
        <w:rPr>
          <w:rFonts w:ascii="Arial" w:hAnsi="Arial" w:cs="Arial"/>
          <w:sz w:val="22"/>
          <w:szCs w:val="22"/>
        </w:rPr>
      </w:pPr>
    </w:p>
    <w:p w14:paraId="1AAB10C1" w14:textId="2FAE8C23" w:rsidR="00C47E18" w:rsidRPr="005045BF" w:rsidRDefault="00C47E18" w:rsidP="00BD7AD1">
      <w:pPr>
        <w:widowControl w:val="0"/>
        <w:jc w:val="both"/>
        <w:rPr>
          <w:rFonts w:ascii="Arial" w:hAnsi="Arial" w:cs="Arial"/>
          <w:sz w:val="22"/>
          <w:szCs w:val="22"/>
        </w:rPr>
      </w:pPr>
    </w:p>
    <w:tbl>
      <w:tblPr>
        <w:tblW w:w="0" w:type="auto"/>
        <w:tblCellMar>
          <w:left w:w="70" w:type="dxa"/>
          <w:right w:w="70" w:type="dxa"/>
        </w:tblCellMar>
        <w:tblLook w:val="04A0" w:firstRow="1" w:lastRow="0" w:firstColumn="1" w:lastColumn="0" w:noHBand="0" w:noVBand="1"/>
      </w:tblPr>
      <w:tblGrid>
        <w:gridCol w:w="983"/>
        <w:gridCol w:w="992"/>
        <w:gridCol w:w="992"/>
        <w:gridCol w:w="992"/>
        <w:gridCol w:w="621"/>
        <w:gridCol w:w="3430"/>
        <w:gridCol w:w="146"/>
        <w:gridCol w:w="146"/>
        <w:gridCol w:w="146"/>
        <w:gridCol w:w="146"/>
        <w:gridCol w:w="146"/>
        <w:gridCol w:w="146"/>
      </w:tblGrid>
      <w:tr w:rsidR="00D417B2" w:rsidRPr="005045BF" w14:paraId="2B3A22DC" w14:textId="77777777" w:rsidTr="003B4876">
        <w:trPr>
          <w:trHeight w:val="735"/>
        </w:trPr>
        <w:tc>
          <w:tcPr>
            <w:tcW w:w="983" w:type="dxa"/>
            <w:vMerge w:val="restart"/>
            <w:tcBorders>
              <w:top w:val="single" w:sz="8" w:space="0" w:color="B8CCE4"/>
              <w:left w:val="single" w:sz="8" w:space="0" w:color="B8CCE4"/>
              <w:bottom w:val="single" w:sz="8" w:space="0" w:color="B8CCE4"/>
              <w:right w:val="single" w:sz="8" w:space="0" w:color="B8CCE4"/>
            </w:tcBorders>
            <w:shd w:val="clear" w:color="000000" w:fill="4F81BD"/>
            <w:vAlign w:val="center"/>
            <w:hideMark/>
          </w:tcPr>
          <w:p w14:paraId="39C9C4E9"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Concepto</w:t>
            </w:r>
          </w:p>
        </w:tc>
        <w:tc>
          <w:tcPr>
            <w:tcW w:w="1984"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0C93F4D1"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Consumo total de papel (hojas)</w:t>
            </w:r>
          </w:p>
        </w:tc>
        <w:tc>
          <w:tcPr>
            <w:tcW w:w="1559" w:type="dxa"/>
            <w:gridSpan w:val="2"/>
            <w:tcBorders>
              <w:top w:val="single" w:sz="8" w:space="0" w:color="B8CCE4"/>
              <w:left w:val="nil"/>
              <w:bottom w:val="single" w:sz="12" w:space="0" w:color="95B3D7"/>
              <w:right w:val="single" w:sz="8" w:space="0" w:color="B8CCE4"/>
            </w:tcBorders>
            <w:shd w:val="clear" w:color="000000" w:fill="4F81BD"/>
            <w:vAlign w:val="center"/>
            <w:hideMark/>
          </w:tcPr>
          <w:p w14:paraId="2323A50F"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Variaciones</w:t>
            </w:r>
          </w:p>
        </w:tc>
        <w:tc>
          <w:tcPr>
            <w:tcW w:w="3430" w:type="dxa"/>
            <w:tcBorders>
              <w:top w:val="nil"/>
              <w:left w:val="nil"/>
              <w:bottom w:val="nil"/>
              <w:right w:val="nil"/>
            </w:tcBorders>
            <w:shd w:val="clear" w:color="auto" w:fill="auto"/>
            <w:noWrap/>
            <w:vAlign w:val="bottom"/>
            <w:hideMark/>
          </w:tcPr>
          <w:p w14:paraId="297FED98" w14:textId="1C4D324D" w:rsidR="00D417B2" w:rsidRPr="005045BF" w:rsidRDefault="00D417B2" w:rsidP="007D70DD">
            <w:pPr>
              <w:widowControl w:val="0"/>
              <w:spacing w:before="100" w:after="120"/>
              <w:rPr>
                <w:rFonts w:ascii="Calibri" w:hAnsi="Calibri" w:cs="Calibri"/>
                <w:color w:val="000000"/>
                <w:sz w:val="22"/>
                <w:szCs w:val="22"/>
              </w:rPr>
            </w:pPr>
            <w:r w:rsidRPr="005045BF">
              <w:rPr>
                <w:rFonts w:ascii="Calibri" w:hAnsi="Calibri" w:cs="Calibri"/>
                <w:noProof/>
                <w:color w:val="000000"/>
                <w:sz w:val="22"/>
                <w:szCs w:val="22"/>
              </w:rPr>
              <w:drawing>
                <wp:anchor distT="0" distB="0" distL="114300" distR="114300" simplePos="0" relativeHeight="252229632" behindDoc="0" locked="0" layoutInCell="1" allowOverlap="1" wp14:anchorId="3061FA3D" wp14:editId="671E9D47">
                  <wp:simplePos x="0" y="0"/>
                  <wp:positionH relativeFrom="column">
                    <wp:posOffset>74295</wp:posOffset>
                  </wp:positionH>
                  <wp:positionV relativeFrom="paragraph">
                    <wp:posOffset>-26035</wp:posOffset>
                  </wp:positionV>
                  <wp:extent cx="3143250" cy="2324100"/>
                  <wp:effectExtent l="0" t="0" r="0" b="0"/>
                  <wp:wrapNone/>
                  <wp:docPr id="4" name="Gráfico 4">
                    <a:extLst xmlns:a="http://schemas.openxmlformats.org/drawingml/2006/main">
                      <a:ext uri="{FF2B5EF4-FFF2-40B4-BE49-F238E27FC236}">
                        <a16:creationId xmlns:a16="http://schemas.microsoft.com/office/drawing/2014/main" id="{7DB4B913-9C95-4F67-BA48-5DA851C28CBA}"/>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D417B2" w:rsidRPr="005045BF" w14:paraId="16D2D6DB" w14:textId="77777777">
              <w:trPr>
                <w:trHeight w:val="300"/>
                <w:tblCellSpacing w:w="0" w:type="dxa"/>
              </w:trPr>
              <w:tc>
                <w:tcPr>
                  <w:tcW w:w="1200" w:type="dxa"/>
                  <w:tcBorders>
                    <w:top w:val="nil"/>
                    <w:left w:val="nil"/>
                    <w:bottom w:val="nil"/>
                    <w:right w:val="nil"/>
                  </w:tcBorders>
                  <w:shd w:val="clear" w:color="auto" w:fill="auto"/>
                  <w:noWrap/>
                  <w:vAlign w:val="bottom"/>
                  <w:hideMark/>
                </w:tcPr>
                <w:p w14:paraId="2BCA9C17" w14:textId="77777777" w:rsidR="00D417B2" w:rsidRPr="005045BF" w:rsidRDefault="00D417B2" w:rsidP="007D70DD">
                  <w:pPr>
                    <w:widowControl w:val="0"/>
                    <w:spacing w:before="100" w:after="120"/>
                    <w:rPr>
                      <w:rFonts w:ascii="Calibri" w:hAnsi="Calibri" w:cs="Calibri"/>
                      <w:color w:val="000000"/>
                      <w:sz w:val="22"/>
                      <w:szCs w:val="22"/>
                    </w:rPr>
                  </w:pPr>
                </w:p>
              </w:tc>
            </w:tr>
          </w:tbl>
          <w:p w14:paraId="31894163" w14:textId="77777777" w:rsidR="00D417B2" w:rsidRPr="005045BF" w:rsidRDefault="00D417B2" w:rsidP="007D70DD">
            <w:pPr>
              <w:widowControl w:val="0"/>
              <w:spacing w:before="100" w:after="120"/>
              <w:rPr>
                <w:rFonts w:ascii="Calibri" w:hAnsi="Calibri" w:cs="Calibri"/>
                <w:color w:val="000000"/>
                <w:sz w:val="22"/>
                <w:szCs w:val="22"/>
              </w:rPr>
            </w:pPr>
          </w:p>
        </w:tc>
        <w:tc>
          <w:tcPr>
            <w:tcW w:w="0" w:type="auto"/>
            <w:tcBorders>
              <w:top w:val="nil"/>
              <w:left w:val="nil"/>
              <w:bottom w:val="nil"/>
              <w:right w:val="nil"/>
            </w:tcBorders>
            <w:shd w:val="clear" w:color="auto" w:fill="auto"/>
            <w:noWrap/>
            <w:vAlign w:val="bottom"/>
            <w:hideMark/>
          </w:tcPr>
          <w:p w14:paraId="799E44C9"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47C1BA58"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6E16AE63"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772D05CC"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15444A70"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77E870BE" w14:textId="77777777" w:rsidR="00D417B2" w:rsidRPr="005045BF" w:rsidRDefault="00D417B2" w:rsidP="007D70DD">
            <w:pPr>
              <w:widowControl w:val="0"/>
              <w:spacing w:before="100" w:after="120"/>
              <w:rPr>
                <w:sz w:val="20"/>
                <w:szCs w:val="20"/>
              </w:rPr>
            </w:pPr>
          </w:p>
        </w:tc>
      </w:tr>
      <w:tr w:rsidR="00D417B2" w:rsidRPr="005045BF" w14:paraId="15894BEE" w14:textId="77777777" w:rsidTr="00D417B2">
        <w:trPr>
          <w:trHeight w:val="825"/>
        </w:trPr>
        <w:tc>
          <w:tcPr>
            <w:tcW w:w="983" w:type="dxa"/>
            <w:vMerge/>
            <w:tcBorders>
              <w:top w:val="single" w:sz="8" w:space="0" w:color="B8CCE4"/>
              <w:left w:val="single" w:sz="8" w:space="0" w:color="B8CCE4"/>
              <w:bottom w:val="single" w:sz="8" w:space="0" w:color="B8CCE4"/>
              <w:right w:val="single" w:sz="8" w:space="0" w:color="B8CCE4"/>
            </w:tcBorders>
            <w:vAlign w:val="center"/>
            <w:hideMark/>
          </w:tcPr>
          <w:p w14:paraId="705812E2" w14:textId="77777777" w:rsidR="00D417B2" w:rsidRPr="005045BF" w:rsidRDefault="00D417B2" w:rsidP="007D70DD">
            <w:pPr>
              <w:widowControl w:val="0"/>
              <w:spacing w:before="100" w:after="120"/>
              <w:rPr>
                <w:rFonts w:ascii="Arial" w:hAnsi="Arial" w:cs="Arial"/>
                <w:b/>
                <w:bCs/>
                <w:color w:val="FFFFFF"/>
                <w:sz w:val="18"/>
                <w:szCs w:val="18"/>
              </w:rPr>
            </w:pPr>
          </w:p>
        </w:tc>
        <w:tc>
          <w:tcPr>
            <w:tcW w:w="992" w:type="dxa"/>
            <w:tcBorders>
              <w:top w:val="nil"/>
              <w:left w:val="nil"/>
              <w:bottom w:val="single" w:sz="8" w:space="0" w:color="B8CCE4"/>
              <w:right w:val="single" w:sz="8" w:space="0" w:color="B8CCE4"/>
            </w:tcBorders>
            <w:shd w:val="clear" w:color="000000" w:fill="4F81BD"/>
            <w:vAlign w:val="center"/>
            <w:hideMark/>
          </w:tcPr>
          <w:p w14:paraId="7DD95472"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I Trimestre 2020</w:t>
            </w:r>
          </w:p>
        </w:tc>
        <w:tc>
          <w:tcPr>
            <w:tcW w:w="992" w:type="dxa"/>
            <w:tcBorders>
              <w:top w:val="nil"/>
              <w:left w:val="nil"/>
              <w:bottom w:val="single" w:sz="8" w:space="0" w:color="B8CCE4"/>
              <w:right w:val="single" w:sz="8" w:space="0" w:color="B8CCE4"/>
            </w:tcBorders>
            <w:shd w:val="clear" w:color="000000" w:fill="4F81BD"/>
            <w:vAlign w:val="center"/>
            <w:hideMark/>
          </w:tcPr>
          <w:p w14:paraId="15898C6F"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I Trimestre 2019</w:t>
            </w:r>
          </w:p>
        </w:tc>
        <w:tc>
          <w:tcPr>
            <w:tcW w:w="992" w:type="dxa"/>
            <w:tcBorders>
              <w:top w:val="nil"/>
              <w:left w:val="nil"/>
              <w:bottom w:val="single" w:sz="8" w:space="0" w:color="B8CCE4"/>
              <w:right w:val="single" w:sz="8" w:space="0" w:color="B8CCE4"/>
            </w:tcBorders>
            <w:shd w:val="clear" w:color="000000" w:fill="4F81BD"/>
            <w:vAlign w:val="center"/>
            <w:hideMark/>
          </w:tcPr>
          <w:p w14:paraId="58DD2AE8"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w:t>
            </w:r>
          </w:p>
        </w:tc>
        <w:tc>
          <w:tcPr>
            <w:tcW w:w="567" w:type="dxa"/>
            <w:tcBorders>
              <w:top w:val="nil"/>
              <w:left w:val="nil"/>
              <w:bottom w:val="single" w:sz="8" w:space="0" w:color="B8CCE4"/>
              <w:right w:val="single" w:sz="8" w:space="0" w:color="B8CCE4"/>
            </w:tcBorders>
            <w:shd w:val="clear" w:color="000000" w:fill="4F81BD"/>
            <w:vAlign w:val="center"/>
            <w:hideMark/>
          </w:tcPr>
          <w:p w14:paraId="37C3E30B" w14:textId="77777777" w:rsidR="00D417B2" w:rsidRPr="005045BF" w:rsidRDefault="00D417B2" w:rsidP="007D70DD">
            <w:pPr>
              <w:widowControl w:val="0"/>
              <w:spacing w:before="100" w:after="120"/>
              <w:jc w:val="center"/>
              <w:rPr>
                <w:rFonts w:ascii="Arial" w:hAnsi="Arial" w:cs="Arial"/>
                <w:b/>
                <w:bCs/>
                <w:color w:val="FFFFFF"/>
                <w:sz w:val="18"/>
                <w:szCs w:val="18"/>
              </w:rPr>
            </w:pPr>
            <w:r w:rsidRPr="005045BF">
              <w:rPr>
                <w:rFonts w:ascii="Arial" w:hAnsi="Arial" w:cs="Arial"/>
                <w:b/>
                <w:bCs/>
                <w:color w:val="FFFFFF"/>
                <w:sz w:val="18"/>
                <w:szCs w:val="18"/>
              </w:rPr>
              <w:t>%</w:t>
            </w:r>
          </w:p>
        </w:tc>
        <w:tc>
          <w:tcPr>
            <w:tcW w:w="3430" w:type="dxa"/>
            <w:tcBorders>
              <w:top w:val="nil"/>
              <w:left w:val="nil"/>
              <w:bottom w:val="nil"/>
              <w:right w:val="nil"/>
            </w:tcBorders>
            <w:shd w:val="clear" w:color="auto" w:fill="auto"/>
            <w:noWrap/>
            <w:vAlign w:val="bottom"/>
            <w:hideMark/>
          </w:tcPr>
          <w:p w14:paraId="70E9F1E3" w14:textId="77777777" w:rsidR="00D417B2" w:rsidRPr="005045BF" w:rsidRDefault="00D417B2" w:rsidP="007D70DD">
            <w:pPr>
              <w:widowControl w:val="0"/>
              <w:spacing w:before="100" w:after="120"/>
              <w:jc w:val="center"/>
              <w:rPr>
                <w:rFonts w:ascii="Arial" w:hAnsi="Arial" w:cs="Arial"/>
                <w:b/>
                <w:bCs/>
                <w:color w:val="FFFFFF"/>
                <w:sz w:val="18"/>
                <w:szCs w:val="18"/>
              </w:rPr>
            </w:pPr>
          </w:p>
        </w:tc>
        <w:tc>
          <w:tcPr>
            <w:tcW w:w="0" w:type="auto"/>
            <w:tcBorders>
              <w:top w:val="nil"/>
              <w:left w:val="nil"/>
              <w:bottom w:val="nil"/>
              <w:right w:val="nil"/>
            </w:tcBorders>
            <w:shd w:val="clear" w:color="auto" w:fill="auto"/>
            <w:noWrap/>
            <w:vAlign w:val="bottom"/>
            <w:hideMark/>
          </w:tcPr>
          <w:p w14:paraId="59F189F3"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22460C1E"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744B9065"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11EF670F"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28516160"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551158D2" w14:textId="77777777" w:rsidR="00D417B2" w:rsidRPr="005045BF" w:rsidRDefault="00D417B2" w:rsidP="007D70DD">
            <w:pPr>
              <w:widowControl w:val="0"/>
              <w:spacing w:before="100" w:after="120"/>
              <w:rPr>
                <w:sz w:val="20"/>
                <w:szCs w:val="20"/>
              </w:rPr>
            </w:pPr>
          </w:p>
        </w:tc>
      </w:tr>
      <w:tr w:rsidR="00D417B2" w:rsidRPr="005045BF" w14:paraId="12A33874" w14:textId="77777777" w:rsidTr="003B4876">
        <w:trPr>
          <w:trHeight w:val="2034"/>
        </w:trPr>
        <w:tc>
          <w:tcPr>
            <w:tcW w:w="983" w:type="dxa"/>
            <w:tcBorders>
              <w:top w:val="nil"/>
              <w:left w:val="single" w:sz="8" w:space="0" w:color="B8CCE4"/>
              <w:bottom w:val="single" w:sz="8" w:space="0" w:color="B8CCE4"/>
              <w:right w:val="single" w:sz="8" w:space="0" w:color="B8CCE4"/>
            </w:tcBorders>
            <w:shd w:val="clear" w:color="auto" w:fill="auto"/>
            <w:vAlign w:val="center"/>
            <w:hideMark/>
          </w:tcPr>
          <w:p w14:paraId="4F32A28E" w14:textId="77777777" w:rsidR="00D417B2" w:rsidRPr="005045BF" w:rsidRDefault="00D417B2" w:rsidP="007D70DD">
            <w:pPr>
              <w:widowControl w:val="0"/>
              <w:spacing w:before="100" w:after="120"/>
              <w:jc w:val="center"/>
              <w:rPr>
                <w:rFonts w:ascii="Arial" w:hAnsi="Arial" w:cs="Arial"/>
                <w:b/>
                <w:bCs/>
                <w:color w:val="0F243E"/>
                <w:sz w:val="18"/>
                <w:szCs w:val="18"/>
              </w:rPr>
            </w:pPr>
            <w:r w:rsidRPr="005045BF">
              <w:rPr>
                <w:rFonts w:ascii="Arial" w:hAnsi="Arial" w:cs="Arial"/>
                <w:b/>
                <w:bCs/>
                <w:color w:val="0F243E"/>
                <w:sz w:val="18"/>
                <w:szCs w:val="18"/>
              </w:rPr>
              <w:t>Servicios Digitales</w:t>
            </w:r>
          </w:p>
        </w:tc>
        <w:tc>
          <w:tcPr>
            <w:tcW w:w="992" w:type="dxa"/>
            <w:tcBorders>
              <w:top w:val="nil"/>
              <w:left w:val="nil"/>
              <w:bottom w:val="single" w:sz="8" w:space="0" w:color="B8CCE4"/>
              <w:right w:val="single" w:sz="8" w:space="0" w:color="B8CCE4"/>
            </w:tcBorders>
            <w:shd w:val="clear" w:color="auto" w:fill="auto"/>
            <w:vAlign w:val="center"/>
            <w:hideMark/>
          </w:tcPr>
          <w:p w14:paraId="64930B28" w14:textId="77777777" w:rsidR="00D417B2" w:rsidRPr="005045BF" w:rsidRDefault="00D417B2" w:rsidP="007D70DD">
            <w:pPr>
              <w:widowControl w:val="0"/>
              <w:spacing w:before="100" w:after="120"/>
              <w:jc w:val="center"/>
              <w:rPr>
                <w:rFonts w:ascii="Arial" w:hAnsi="Arial" w:cs="Arial"/>
                <w:color w:val="0F243E"/>
                <w:sz w:val="18"/>
                <w:szCs w:val="18"/>
              </w:rPr>
            </w:pPr>
            <w:r w:rsidRPr="005045BF">
              <w:rPr>
                <w:rFonts w:ascii="Arial" w:hAnsi="Arial" w:cs="Arial"/>
                <w:color w:val="0F243E"/>
                <w:sz w:val="18"/>
                <w:szCs w:val="18"/>
              </w:rPr>
              <w:t>433.527</w:t>
            </w:r>
          </w:p>
        </w:tc>
        <w:tc>
          <w:tcPr>
            <w:tcW w:w="992" w:type="dxa"/>
            <w:tcBorders>
              <w:top w:val="nil"/>
              <w:left w:val="nil"/>
              <w:bottom w:val="single" w:sz="8" w:space="0" w:color="B8CCE4"/>
              <w:right w:val="single" w:sz="8" w:space="0" w:color="B8CCE4"/>
            </w:tcBorders>
            <w:shd w:val="clear" w:color="auto" w:fill="auto"/>
            <w:vAlign w:val="center"/>
            <w:hideMark/>
          </w:tcPr>
          <w:p w14:paraId="781FFB1C" w14:textId="77777777" w:rsidR="00D417B2" w:rsidRPr="005045BF" w:rsidRDefault="00D417B2" w:rsidP="007D70DD">
            <w:pPr>
              <w:widowControl w:val="0"/>
              <w:spacing w:before="100" w:after="120"/>
              <w:jc w:val="center"/>
              <w:rPr>
                <w:rFonts w:ascii="Arial" w:hAnsi="Arial" w:cs="Arial"/>
                <w:color w:val="0F243E"/>
                <w:sz w:val="18"/>
                <w:szCs w:val="18"/>
              </w:rPr>
            </w:pPr>
            <w:r w:rsidRPr="005045BF">
              <w:rPr>
                <w:rFonts w:ascii="Arial" w:hAnsi="Arial" w:cs="Arial"/>
                <w:color w:val="0F243E"/>
                <w:sz w:val="18"/>
                <w:szCs w:val="18"/>
              </w:rPr>
              <w:t>714.926</w:t>
            </w:r>
          </w:p>
        </w:tc>
        <w:tc>
          <w:tcPr>
            <w:tcW w:w="992" w:type="dxa"/>
            <w:tcBorders>
              <w:top w:val="nil"/>
              <w:left w:val="nil"/>
              <w:bottom w:val="single" w:sz="8" w:space="0" w:color="B8CCE4"/>
              <w:right w:val="single" w:sz="8" w:space="0" w:color="B8CCE4"/>
            </w:tcBorders>
            <w:shd w:val="clear" w:color="auto" w:fill="auto"/>
            <w:vAlign w:val="center"/>
            <w:hideMark/>
          </w:tcPr>
          <w:p w14:paraId="7DF14B7E" w14:textId="4E84CF82" w:rsidR="00D417B2" w:rsidRPr="005045BF" w:rsidRDefault="00D417B2" w:rsidP="007D70DD">
            <w:pPr>
              <w:widowControl w:val="0"/>
              <w:spacing w:before="100" w:after="120"/>
              <w:jc w:val="center"/>
              <w:rPr>
                <w:rFonts w:ascii="Arial" w:hAnsi="Arial" w:cs="Arial"/>
                <w:color w:val="0F243E"/>
                <w:sz w:val="18"/>
                <w:szCs w:val="18"/>
              </w:rPr>
            </w:pPr>
            <w:r w:rsidRPr="005045BF">
              <w:rPr>
                <w:rFonts w:ascii="Arial" w:hAnsi="Arial" w:cs="Arial"/>
                <w:color w:val="0F243E"/>
                <w:sz w:val="18"/>
                <w:szCs w:val="18"/>
              </w:rPr>
              <w:t>(281.399)</w:t>
            </w:r>
          </w:p>
        </w:tc>
        <w:tc>
          <w:tcPr>
            <w:tcW w:w="567" w:type="dxa"/>
            <w:tcBorders>
              <w:top w:val="nil"/>
              <w:left w:val="nil"/>
              <w:bottom w:val="single" w:sz="8" w:space="0" w:color="B8CCE4"/>
              <w:right w:val="single" w:sz="8" w:space="0" w:color="B8CCE4"/>
            </w:tcBorders>
            <w:shd w:val="clear" w:color="auto" w:fill="auto"/>
            <w:vAlign w:val="center"/>
            <w:hideMark/>
          </w:tcPr>
          <w:p w14:paraId="2CEA1763" w14:textId="3ECC6D8D" w:rsidR="00D417B2" w:rsidRPr="005045BF" w:rsidRDefault="00D417B2" w:rsidP="007D70DD">
            <w:pPr>
              <w:widowControl w:val="0"/>
              <w:spacing w:before="100" w:after="120"/>
              <w:jc w:val="center"/>
              <w:rPr>
                <w:rFonts w:ascii="Arial" w:hAnsi="Arial" w:cs="Arial"/>
                <w:color w:val="0F243E"/>
                <w:sz w:val="18"/>
                <w:szCs w:val="18"/>
              </w:rPr>
            </w:pPr>
            <w:r w:rsidRPr="005045BF">
              <w:rPr>
                <w:rFonts w:ascii="Arial" w:hAnsi="Arial" w:cs="Arial"/>
                <w:color w:val="0F243E"/>
                <w:sz w:val="18"/>
                <w:szCs w:val="18"/>
              </w:rPr>
              <w:t>(39%)</w:t>
            </w:r>
          </w:p>
        </w:tc>
        <w:tc>
          <w:tcPr>
            <w:tcW w:w="3430" w:type="dxa"/>
            <w:tcBorders>
              <w:top w:val="nil"/>
              <w:left w:val="nil"/>
              <w:bottom w:val="nil"/>
              <w:right w:val="nil"/>
            </w:tcBorders>
            <w:shd w:val="clear" w:color="auto" w:fill="auto"/>
            <w:noWrap/>
            <w:vAlign w:val="bottom"/>
            <w:hideMark/>
          </w:tcPr>
          <w:p w14:paraId="2B8FF91F" w14:textId="77777777" w:rsidR="00D417B2" w:rsidRPr="005045BF" w:rsidRDefault="00D417B2" w:rsidP="007D70DD">
            <w:pPr>
              <w:widowControl w:val="0"/>
              <w:spacing w:before="100" w:after="120"/>
              <w:jc w:val="center"/>
              <w:rPr>
                <w:rFonts w:ascii="Arial" w:hAnsi="Arial" w:cs="Arial"/>
                <w:color w:val="0F243E"/>
                <w:sz w:val="18"/>
                <w:szCs w:val="18"/>
              </w:rPr>
            </w:pPr>
          </w:p>
        </w:tc>
        <w:tc>
          <w:tcPr>
            <w:tcW w:w="0" w:type="auto"/>
            <w:tcBorders>
              <w:top w:val="nil"/>
              <w:left w:val="nil"/>
              <w:bottom w:val="nil"/>
              <w:right w:val="nil"/>
            </w:tcBorders>
            <w:shd w:val="clear" w:color="auto" w:fill="auto"/>
            <w:noWrap/>
            <w:vAlign w:val="bottom"/>
            <w:hideMark/>
          </w:tcPr>
          <w:p w14:paraId="4D54F107"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4EAF806B"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3DDE71C5"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19BF77CC"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61638FCB" w14:textId="77777777" w:rsidR="00D417B2" w:rsidRPr="005045BF" w:rsidRDefault="00D417B2" w:rsidP="007D70DD">
            <w:pPr>
              <w:widowControl w:val="0"/>
              <w:spacing w:before="100" w:after="120"/>
              <w:rPr>
                <w:sz w:val="20"/>
                <w:szCs w:val="20"/>
              </w:rPr>
            </w:pPr>
          </w:p>
        </w:tc>
        <w:tc>
          <w:tcPr>
            <w:tcW w:w="0" w:type="auto"/>
            <w:tcBorders>
              <w:top w:val="nil"/>
              <w:left w:val="nil"/>
              <w:bottom w:val="nil"/>
              <w:right w:val="nil"/>
            </w:tcBorders>
            <w:shd w:val="clear" w:color="auto" w:fill="auto"/>
            <w:noWrap/>
            <w:vAlign w:val="bottom"/>
            <w:hideMark/>
          </w:tcPr>
          <w:p w14:paraId="439051E9" w14:textId="77777777" w:rsidR="00D417B2" w:rsidRPr="005045BF" w:rsidRDefault="00D417B2" w:rsidP="007D70DD">
            <w:pPr>
              <w:widowControl w:val="0"/>
              <w:spacing w:before="100" w:after="120"/>
              <w:rPr>
                <w:sz w:val="20"/>
                <w:szCs w:val="20"/>
              </w:rPr>
            </w:pPr>
          </w:p>
        </w:tc>
      </w:tr>
    </w:tbl>
    <w:p w14:paraId="52714F11" w14:textId="77777777" w:rsidR="003325ED" w:rsidRPr="005045BF" w:rsidRDefault="003325ED" w:rsidP="00430DF3">
      <w:pPr>
        <w:widowControl w:val="0"/>
        <w:jc w:val="both"/>
        <w:rPr>
          <w:rFonts w:ascii="Arial" w:hAnsi="Arial" w:cs="Arial"/>
          <w:sz w:val="22"/>
          <w:szCs w:val="22"/>
        </w:rPr>
      </w:pPr>
    </w:p>
    <w:p w14:paraId="5890A76C" w14:textId="60C666F4" w:rsidR="00943616" w:rsidRPr="005045BF" w:rsidRDefault="00174B0D" w:rsidP="00430DF3">
      <w:pPr>
        <w:widowControl w:val="0"/>
        <w:jc w:val="both"/>
        <w:rPr>
          <w:rFonts w:ascii="Arial" w:hAnsi="Arial" w:cs="Arial"/>
          <w:sz w:val="22"/>
          <w:szCs w:val="22"/>
        </w:rPr>
      </w:pPr>
      <w:r w:rsidRPr="005045BF">
        <w:rPr>
          <w:rFonts w:ascii="Arial" w:hAnsi="Arial" w:cs="Arial"/>
          <w:sz w:val="22"/>
          <w:szCs w:val="22"/>
        </w:rPr>
        <w:t xml:space="preserve">De lo anterior, se obtuvo como resultado que para el periodo analizado se observó un </w:t>
      </w:r>
      <w:r w:rsidRPr="005045BF">
        <w:rPr>
          <w:rFonts w:ascii="Arial" w:hAnsi="Arial" w:cs="Arial"/>
          <w:b/>
          <w:bCs/>
          <w:sz w:val="22"/>
          <w:szCs w:val="22"/>
        </w:rPr>
        <w:t>ahorro</w:t>
      </w:r>
      <w:r w:rsidRPr="005045BF">
        <w:rPr>
          <w:rFonts w:ascii="Arial" w:hAnsi="Arial" w:cs="Arial"/>
          <w:sz w:val="22"/>
          <w:szCs w:val="22"/>
        </w:rPr>
        <w:t xml:space="preserve"> de </w:t>
      </w:r>
      <w:r w:rsidR="00943616" w:rsidRPr="005045BF">
        <w:rPr>
          <w:rFonts w:ascii="Arial" w:hAnsi="Arial" w:cs="Arial"/>
          <w:sz w:val="22"/>
          <w:szCs w:val="22"/>
        </w:rPr>
        <w:t>281.399</w:t>
      </w:r>
      <w:r w:rsidRPr="005045BF">
        <w:rPr>
          <w:rFonts w:ascii="Arial" w:hAnsi="Arial" w:cs="Arial"/>
          <w:sz w:val="22"/>
          <w:szCs w:val="22"/>
        </w:rPr>
        <w:t xml:space="preserve"> hojas </w:t>
      </w:r>
      <w:r w:rsidR="00943616" w:rsidRPr="005045BF">
        <w:rPr>
          <w:rFonts w:ascii="Arial" w:hAnsi="Arial" w:cs="Arial"/>
          <w:sz w:val="22"/>
          <w:szCs w:val="22"/>
        </w:rPr>
        <w:t>equivalente al 39</w:t>
      </w:r>
      <w:r w:rsidRPr="005045BF">
        <w:rPr>
          <w:rFonts w:ascii="Arial" w:hAnsi="Arial" w:cs="Arial"/>
          <w:sz w:val="22"/>
          <w:szCs w:val="22"/>
        </w:rPr>
        <w:t xml:space="preserve">%. </w:t>
      </w:r>
      <w:r w:rsidR="00F72550" w:rsidRPr="005045BF">
        <w:rPr>
          <w:rFonts w:ascii="Arial" w:hAnsi="Arial" w:cs="Arial"/>
          <w:sz w:val="22"/>
          <w:szCs w:val="22"/>
        </w:rPr>
        <w:t>De acuerdo con el comportamiento mensual, se evidenció variaciones negativas</w:t>
      </w:r>
      <w:r w:rsidR="00430DF3" w:rsidRPr="005045BF">
        <w:rPr>
          <w:rFonts w:ascii="Arial" w:hAnsi="Arial" w:cs="Arial"/>
          <w:sz w:val="22"/>
          <w:szCs w:val="22"/>
        </w:rPr>
        <w:t xml:space="preserve"> </w:t>
      </w:r>
      <w:r w:rsidR="00943616" w:rsidRPr="005045BF">
        <w:rPr>
          <w:rFonts w:ascii="Arial" w:hAnsi="Arial" w:cs="Arial"/>
          <w:sz w:val="22"/>
          <w:szCs w:val="22"/>
        </w:rPr>
        <w:t>para los tres</w:t>
      </w:r>
      <w:r w:rsidR="00F72550" w:rsidRPr="005045BF">
        <w:rPr>
          <w:rFonts w:ascii="Arial" w:hAnsi="Arial" w:cs="Arial"/>
          <w:sz w:val="22"/>
          <w:szCs w:val="22"/>
        </w:rPr>
        <w:t xml:space="preserve"> periodos que conforman el </w:t>
      </w:r>
      <w:r w:rsidR="00943616" w:rsidRPr="005045BF">
        <w:rPr>
          <w:rFonts w:ascii="Arial" w:hAnsi="Arial" w:cs="Arial"/>
          <w:sz w:val="22"/>
          <w:szCs w:val="22"/>
        </w:rPr>
        <w:t>primer trimestre</w:t>
      </w:r>
      <w:r w:rsidR="00F72550" w:rsidRPr="005045BF">
        <w:rPr>
          <w:rFonts w:ascii="Arial" w:hAnsi="Arial" w:cs="Arial"/>
          <w:sz w:val="22"/>
          <w:szCs w:val="22"/>
        </w:rPr>
        <w:t xml:space="preserve">, siendo el mes de </w:t>
      </w:r>
      <w:r w:rsidR="00943616" w:rsidRPr="005045BF">
        <w:rPr>
          <w:rFonts w:ascii="Arial" w:hAnsi="Arial" w:cs="Arial"/>
          <w:sz w:val="22"/>
          <w:szCs w:val="22"/>
        </w:rPr>
        <w:t xml:space="preserve">marzo </w:t>
      </w:r>
      <w:r w:rsidR="00F72550" w:rsidRPr="005045BF">
        <w:rPr>
          <w:rFonts w:ascii="Arial" w:hAnsi="Arial" w:cs="Arial"/>
          <w:sz w:val="22"/>
          <w:szCs w:val="22"/>
        </w:rPr>
        <w:t>20</w:t>
      </w:r>
      <w:r w:rsidR="00943616" w:rsidRPr="005045BF">
        <w:rPr>
          <w:rFonts w:ascii="Arial" w:hAnsi="Arial" w:cs="Arial"/>
          <w:sz w:val="22"/>
          <w:szCs w:val="22"/>
        </w:rPr>
        <w:t>20</w:t>
      </w:r>
      <w:r w:rsidR="00F72550" w:rsidRPr="005045BF">
        <w:rPr>
          <w:rFonts w:ascii="Arial" w:hAnsi="Arial" w:cs="Arial"/>
          <w:sz w:val="22"/>
          <w:szCs w:val="22"/>
        </w:rPr>
        <w:t>-201</w:t>
      </w:r>
      <w:r w:rsidR="00943616" w:rsidRPr="005045BF">
        <w:rPr>
          <w:rFonts w:ascii="Arial" w:hAnsi="Arial" w:cs="Arial"/>
          <w:sz w:val="22"/>
          <w:szCs w:val="22"/>
        </w:rPr>
        <w:t>9</w:t>
      </w:r>
      <w:r w:rsidR="00F72550" w:rsidRPr="005045BF">
        <w:rPr>
          <w:rFonts w:ascii="Arial" w:hAnsi="Arial" w:cs="Arial"/>
          <w:sz w:val="22"/>
          <w:szCs w:val="22"/>
        </w:rPr>
        <w:t>, el periodo con un mayor porcentaje de ahorro</w:t>
      </w:r>
      <w:r w:rsidR="00F40B6E" w:rsidRPr="005045BF">
        <w:rPr>
          <w:rFonts w:ascii="Arial" w:hAnsi="Arial" w:cs="Arial"/>
          <w:sz w:val="22"/>
          <w:szCs w:val="22"/>
        </w:rPr>
        <w:t xml:space="preserve"> [</w:t>
      </w:r>
      <w:r w:rsidR="00943616" w:rsidRPr="005045BF">
        <w:rPr>
          <w:rFonts w:ascii="Arial" w:hAnsi="Arial" w:cs="Arial"/>
          <w:sz w:val="22"/>
          <w:szCs w:val="22"/>
        </w:rPr>
        <w:t>47%</w:t>
      </w:r>
      <w:r w:rsidR="00F40B6E" w:rsidRPr="005045BF">
        <w:rPr>
          <w:rFonts w:ascii="Arial" w:hAnsi="Arial" w:cs="Arial"/>
          <w:sz w:val="22"/>
          <w:szCs w:val="22"/>
        </w:rPr>
        <w:t xml:space="preserve">]. </w:t>
      </w:r>
    </w:p>
    <w:p w14:paraId="32BBC3F8" w14:textId="77777777" w:rsidR="00943616" w:rsidRPr="005045BF" w:rsidRDefault="00943616" w:rsidP="00430DF3">
      <w:pPr>
        <w:widowControl w:val="0"/>
        <w:jc w:val="both"/>
        <w:rPr>
          <w:rFonts w:ascii="Arial" w:hAnsi="Arial" w:cs="Arial"/>
          <w:sz w:val="22"/>
          <w:szCs w:val="22"/>
        </w:rPr>
      </w:pPr>
    </w:p>
    <w:p w14:paraId="729B7133" w14:textId="0682B401" w:rsidR="0030077F" w:rsidRPr="005045BF" w:rsidRDefault="0030077F" w:rsidP="00430DF3">
      <w:pPr>
        <w:widowControl w:val="0"/>
        <w:jc w:val="both"/>
        <w:rPr>
          <w:rFonts w:ascii="Arial" w:hAnsi="Arial" w:cs="Arial"/>
          <w:sz w:val="22"/>
          <w:szCs w:val="22"/>
        </w:rPr>
      </w:pPr>
      <w:r w:rsidRPr="005045BF">
        <w:rPr>
          <w:rFonts w:ascii="Arial" w:hAnsi="Arial" w:cs="Arial"/>
          <w:sz w:val="22"/>
          <w:szCs w:val="22"/>
        </w:rPr>
        <w:t xml:space="preserve">De igual forma, se comparó el comportamiento </w:t>
      </w:r>
      <w:r w:rsidR="008B0A42" w:rsidRPr="005045BF">
        <w:rPr>
          <w:rFonts w:ascii="Arial" w:hAnsi="Arial" w:cs="Arial"/>
          <w:sz w:val="22"/>
          <w:szCs w:val="22"/>
        </w:rPr>
        <w:t xml:space="preserve">del consumo de papel </w:t>
      </w:r>
      <w:r w:rsidRPr="005045BF">
        <w:rPr>
          <w:rFonts w:ascii="Arial" w:hAnsi="Arial" w:cs="Arial"/>
          <w:sz w:val="22"/>
          <w:szCs w:val="22"/>
        </w:rPr>
        <w:t xml:space="preserve">del </w:t>
      </w:r>
      <w:r w:rsidR="008B0A42" w:rsidRPr="005045BF">
        <w:rPr>
          <w:rFonts w:ascii="Arial" w:hAnsi="Arial" w:cs="Arial"/>
          <w:sz w:val="22"/>
          <w:szCs w:val="22"/>
        </w:rPr>
        <w:t xml:space="preserve">primer </w:t>
      </w:r>
      <w:r w:rsidR="00DE6143" w:rsidRPr="005045BF">
        <w:rPr>
          <w:rFonts w:ascii="Arial" w:hAnsi="Arial" w:cs="Arial"/>
          <w:sz w:val="22"/>
          <w:szCs w:val="22"/>
        </w:rPr>
        <w:t>trimestre</w:t>
      </w:r>
      <w:r w:rsidRPr="005045BF">
        <w:rPr>
          <w:rFonts w:ascii="Arial" w:hAnsi="Arial" w:cs="Arial"/>
          <w:sz w:val="22"/>
          <w:szCs w:val="22"/>
        </w:rPr>
        <w:t xml:space="preserve"> de 20</w:t>
      </w:r>
      <w:r w:rsidR="008B0A42" w:rsidRPr="005045BF">
        <w:rPr>
          <w:rFonts w:ascii="Arial" w:hAnsi="Arial" w:cs="Arial"/>
          <w:sz w:val="22"/>
          <w:szCs w:val="22"/>
        </w:rPr>
        <w:t>20</w:t>
      </w:r>
      <w:r w:rsidRPr="005045BF">
        <w:rPr>
          <w:rFonts w:ascii="Arial" w:hAnsi="Arial" w:cs="Arial"/>
          <w:sz w:val="22"/>
          <w:szCs w:val="22"/>
        </w:rPr>
        <w:t xml:space="preserve"> frente al</w:t>
      </w:r>
      <w:r w:rsidR="008B0A42" w:rsidRPr="005045BF">
        <w:rPr>
          <w:rFonts w:ascii="Arial" w:hAnsi="Arial" w:cs="Arial"/>
          <w:sz w:val="22"/>
          <w:szCs w:val="22"/>
        </w:rPr>
        <w:t xml:space="preserve"> trimestre </w:t>
      </w:r>
      <w:r w:rsidRPr="005045BF">
        <w:rPr>
          <w:rFonts w:ascii="Arial" w:hAnsi="Arial" w:cs="Arial"/>
          <w:sz w:val="22"/>
          <w:szCs w:val="22"/>
        </w:rPr>
        <w:t xml:space="preserve">inmediatamente anterior, en el cual se observó que </w:t>
      </w:r>
      <w:r w:rsidR="00430DF3" w:rsidRPr="005045BF">
        <w:rPr>
          <w:rFonts w:ascii="Arial" w:hAnsi="Arial" w:cs="Arial"/>
          <w:sz w:val="22"/>
          <w:szCs w:val="22"/>
        </w:rPr>
        <w:t xml:space="preserve">el consumo de papel </w:t>
      </w:r>
      <w:r w:rsidRPr="005045BF">
        <w:rPr>
          <w:rFonts w:ascii="Arial" w:hAnsi="Arial" w:cs="Arial"/>
          <w:sz w:val="22"/>
          <w:szCs w:val="22"/>
        </w:rPr>
        <w:t>present</w:t>
      </w:r>
      <w:r w:rsidR="00430DF3" w:rsidRPr="005045BF">
        <w:rPr>
          <w:rFonts w:ascii="Arial" w:hAnsi="Arial" w:cs="Arial"/>
          <w:sz w:val="22"/>
          <w:szCs w:val="22"/>
        </w:rPr>
        <w:t>ó</w:t>
      </w:r>
      <w:r w:rsidRPr="005045BF">
        <w:rPr>
          <w:rFonts w:ascii="Arial" w:hAnsi="Arial" w:cs="Arial"/>
          <w:sz w:val="22"/>
          <w:szCs w:val="22"/>
        </w:rPr>
        <w:t xml:space="preserve"> una tendencia </w:t>
      </w:r>
      <w:r w:rsidR="00B82F2D" w:rsidRPr="005045BF">
        <w:rPr>
          <w:rFonts w:ascii="Arial" w:hAnsi="Arial" w:cs="Arial"/>
          <w:sz w:val="22"/>
          <w:szCs w:val="22"/>
        </w:rPr>
        <w:t xml:space="preserve">decreciente, toda vez que se </w:t>
      </w:r>
      <w:r w:rsidR="004956AD" w:rsidRPr="005045BF">
        <w:rPr>
          <w:rFonts w:ascii="Arial" w:hAnsi="Arial" w:cs="Arial"/>
          <w:sz w:val="22"/>
          <w:szCs w:val="22"/>
        </w:rPr>
        <w:t xml:space="preserve">obtuvo </w:t>
      </w:r>
      <w:r w:rsidR="00B82F2D" w:rsidRPr="005045BF">
        <w:rPr>
          <w:rFonts w:ascii="Arial" w:hAnsi="Arial" w:cs="Arial"/>
          <w:sz w:val="22"/>
          <w:szCs w:val="22"/>
        </w:rPr>
        <w:t xml:space="preserve">una </w:t>
      </w:r>
      <w:r w:rsidR="00B82F2D" w:rsidRPr="005045BF">
        <w:rPr>
          <w:rFonts w:ascii="Arial" w:hAnsi="Arial" w:cs="Arial"/>
          <w:b/>
          <w:bCs/>
          <w:sz w:val="22"/>
          <w:szCs w:val="22"/>
        </w:rPr>
        <w:t>disminución</w:t>
      </w:r>
      <w:r w:rsidR="00B82F2D" w:rsidRPr="005045BF">
        <w:rPr>
          <w:rFonts w:ascii="Arial" w:hAnsi="Arial" w:cs="Arial"/>
          <w:sz w:val="22"/>
          <w:szCs w:val="22"/>
        </w:rPr>
        <w:t xml:space="preserve"> de </w:t>
      </w:r>
      <w:r w:rsidR="008B0A42" w:rsidRPr="005045BF">
        <w:rPr>
          <w:rFonts w:ascii="Arial" w:hAnsi="Arial" w:cs="Arial"/>
          <w:sz w:val="22"/>
          <w:szCs w:val="22"/>
        </w:rPr>
        <w:t xml:space="preserve">235.731 </w:t>
      </w:r>
      <w:r w:rsidRPr="005045BF">
        <w:rPr>
          <w:rFonts w:ascii="Arial" w:hAnsi="Arial" w:cs="Arial"/>
          <w:sz w:val="22"/>
          <w:szCs w:val="22"/>
        </w:rPr>
        <w:t xml:space="preserve">unidades, representando un </w:t>
      </w:r>
      <w:r w:rsidR="008B0A42" w:rsidRPr="005045BF">
        <w:rPr>
          <w:rFonts w:ascii="Arial" w:hAnsi="Arial" w:cs="Arial"/>
          <w:sz w:val="22"/>
          <w:szCs w:val="22"/>
        </w:rPr>
        <w:t>35</w:t>
      </w:r>
      <w:r w:rsidRPr="005045BF">
        <w:rPr>
          <w:rFonts w:ascii="Arial" w:hAnsi="Arial" w:cs="Arial"/>
          <w:sz w:val="22"/>
          <w:szCs w:val="22"/>
        </w:rPr>
        <w:t xml:space="preserve">%.  </w:t>
      </w:r>
    </w:p>
    <w:p w14:paraId="117C84F8" w14:textId="71BDAC1F" w:rsidR="000C4D0A" w:rsidRPr="005045BF" w:rsidRDefault="008B0A42" w:rsidP="00430DF3">
      <w:pPr>
        <w:spacing w:after="200" w:line="168" w:lineRule="auto"/>
        <w:jc w:val="both"/>
        <w:rPr>
          <w:rFonts w:ascii="Calibri" w:hAnsi="Calibri" w:cs="Calibri"/>
          <w:color w:val="000000"/>
          <w:sz w:val="22"/>
          <w:szCs w:val="22"/>
          <w:highlight w:val="yellow"/>
        </w:rPr>
      </w:pPr>
      <w:r w:rsidRPr="005045BF">
        <w:rPr>
          <w:rFonts w:ascii="Calibri" w:hAnsi="Calibri" w:cs="Calibri"/>
          <w:noProof/>
          <w:color w:val="000000"/>
          <w:sz w:val="22"/>
          <w:szCs w:val="22"/>
        </w:rPr>
        <w:drawing>
          <wp:anchor distT="0" distB="0" distL="114300" distR="114300" simplePos="0" relativeHeight="252231680" behindDoc="0" locked="0" layoutInCell="1" allowOverlap="1" wp14:anchorId="48D3C90C" wp14:editId="342545ED">
            <wp:simplePos x="0" y="0"/>
            <wp:positionH relativeFrom="column">
              <wp:posOffset>2690495</wp:posOffset>
            </wp:positionH>
            <wp:positionV relativeFrom="paragraph">
              <wp:posOffset>197486</wp:posOffset>
            </wp:positionV>
            <wp:extent cx="3467100" cy="2095500"/>
            <wp:effectExtent l="0" t="0" r="0" b="0"/>
            <wp:wrapNone/>
            <wp:docPr id="18" name="Gráfico 18">
              <a:extLst xmlns:a="http://schemas.openxmlformats.org/drawingml/2006/main">
                <a:ext uri="{FF2B5EF4-FFF2-40B4-BE49-F238E27FC236}">
                  <a16:creationId xmlns:a16="http://schemas.microsoft.com/office/drawing/2014/main" id="{F2073B33-42B8-4C8E-BB92-952DE75B8E47}"/>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p>
    <w:tbl>
      <w:tblPr>
        <w:tblW w:w="0" w:type="auto"/>
        <w:tblCellMar>
          <w:left w:w="70" w:type="dxa"/>
          <w:right w:w="70" w:type="dxa"/>
        </w:tblCellMar>
        <w:tblLook w:val="04A0" w:firstRow="1" w:lastRow="0" w:firstColumn="1" w:lastColumn="0" w:noHBand="0" w:noVBand="1"/>
      </w:tblPr>
      <w:tblGrid>
        <w:gridCol w:w="2008"/>
        <w:gridCol w:w="2103"/>
        <w:gridCol w:w="3501"/>
        <w:gridCol w:w="146"/>
        <w:gridCol w:w="146"/>
        <w:gridCol w:w="146"/>
        <w:gridCol w:w="146"/>
      </w:tblGrid>
      <w:tr w:rsidR="008B0A42" w:rsidRPr="005045BF" w14:paraId="3AF266BE" w14:textId="77777777" w:rsidTr="008B0A42">
        <w:trPr>
          <w:cantSplit/>
        </w:trPr>
        <w:tc>
          <w:tcPr>
            <w:tcW w:w="0" w:type="auto"/>
            <w:tcBorders>
              <w:top w:val="single" w:sz="8" w:space="0" w:color="B8CCE4"/>
              <w:left w:val="nil"/>
              <w:right w:val="single" w:sz="8" w:space="0" w:color="B8CCE4"/>
            </w:tcBorders>
            <w:shd w:val="clear" w:color="000000" w:fill="4F81BD"/>
            <w:vAlign w:val="center"/>
            <w:hideMark/>
          </w:tcPr>
          <w:p w14:paraId="7FD4A26E" w14:textId="77777777" w:rsidR="008B0A42" w:rsidRPr="005045BF" w:rsidRDefault="008B0A42" w:rsidP="003325ED">
            <w:pPr>
              <w:widowControl w:val="0"/>
              <w:spacing w:before="40" w:after="40"/>
              <w:jc w:val="center"/>
              <w:rPr>
                <w:rFonts w:ascii="Arial" w:hAnsi="Arial" w:cs="Arial"/>
                <w:b/>
                <w:bCs/>
                <w:color w:val="FFFFFF"/>
                <w:sz w:val="20"/>
                <w:szCs w:val="20"/>
              </w:rPr>
            </w:pPr>
            <w:r w:rsidRPr="005045BF">
              <w:rPr>
                <w:rFonts w:ascii="Arial" w:hAnsi="Arial" w:cs="Arial"/>
                <w:b/>
                <w:bCs/>
                <w:color w:val="FFFFFF"/>
                <w:sz w:val="20"/>
                <w:szCs w:val="20"/>
              </w:rPr>
              <w:t>Periodo</w:t>
            </w:r>
          </w:p>
        </w:tc>
        <w:tc>
          <w:tcPr>
            <w:tcW w:w="2103" w:type="dxa"/>
            <w:tcBorders>
              <w:top w:val="single" w:sz="8" w:space="0" w:color="B8CCE4"/>
              <w:left w:val="nil"/>
              <w:right w:val="single" w:sz="8" w:space="0" w:color="B8CCE4"/>
            </w:tcBorders>
            <w:shd w:val="clear" w:color="000000" w:fill="4F81BD"/>
            <w:vAlign w:val="center"/>
            <w:hideMark/>
          </w:tcPr>
          <w:p w14:paraId="1B684455" w14:textId="77777777" w:rsidR="008B0A42" w:rsidRPr="005045BF" w:rsidRDefault="008B0A42" w:rsidP="003325ED">
            <w:pPr>
              <w:widowControl w:val="0"/>
              <w:spacing w:before="40" w:after="40"/>
              <w:jc w:val="center"/>
              <w:rPr>
                <w:rFonts w:ascii="Arial" w:hAnsi="Arial" w:cs="Arial"/>
                <w:b/>
                <w:bCs/>
                <w:color w:val="FFFFFF"/>
                <w:sz w:val="20"/>
                <w:szCs w:val="20"/>
              </w:rPr>
            </w:pPr>
            <w:r w:rsidRPr="005045BF">
              <w:rPr>
                <w:rFonts w:ascii="Arial" w:hAnsi="Arial" w:cs="Arial"/>
                <w:b/>
                <w:bCs/>
                <w:color w:val="FFFFFF"/>
                <w:sz w:val="20"/>
                <w:szCs w:val="20"/>
              </w:rPr>
              <w:t>Servicios Digitales (Consumo de Papel)</w:t>
            </w:r>
          </w:p>
        </w:tc>
        <w:tc>
          <w:tcPr>
            <w:tcW w:w="3501" w:type="dxa"/>
            <w:tcBorders>
              <w:top w:val="nil"/>
              <w:left w:val="nil"/>
              <w:bottom w:val="nil"/>
              <w:right w:val="nil"/>
            </w:tcBorders>
            <w:shd w:val="clear" w:color="auto" w:fill="auto"/>
            <w:noWrap/>
            <w:vAlign w:val="center"/>
            <w:hideMark/>
          </w:tcPr>
          <w:p w14:paraId="0A1239CA" w14:textId="50B2ADAD" w:rsidR="008B0A42" w:rsidRPr="005045BF" w:rsidRDefault="008B0A42" w:rsidP="003325ED">
            <w:pPr>
              <w:widowControl w:val="0"/>
              <w:spacing w:before="40" w:after="40"/>
              <w:rPr>
                <w:rFonts w:ascii="Calibri" w:hAnsi="Calibri" w:cs="Calibri"/>
                <w:color w:val="000000"/>
                <w:sz w:val="22"/>
                <w:szCs w:val="22"/>
              </w:rPr>
            </w:pPr>
          </w:p>
          <w:tbl>
            <w:tblPr>
              <w:tblW w:w="0" w:type="auto"/>
              <w:tblCellSpacing w:w="0" w:type="dxa"/>
              <w:tblCellMar>
                <w:left w:w="0" w:type="dxa"/>
                <w:right w:w="0" w:type="dxa"/>
              </w:tblCellMar>
              <w:tblLook w:val="04A0" w:firstRow="1" w:lastRow="0" w:firstColumn="1" w:lastColumn="0" w:noHBand="0" w:noVBand="1"/>
            </w:tblPr>
            <w:tblGrid>
              <w:gridCol w:w="1800"/>
            </w:tblGrid>
            <w:tr w:rsidR="008B0A42" w:rsidRPr="005045BF" w14:paraId="3C79940E" w14:textId="77777777">
              <w:trPr>
                <w:trHeight w:val="825"/>
                <w:tblCellSpacing w:w="0" w:type="dxa"/>
              </w:trPr>
              <w:tc>
                <w:tcPr>
                  <w:tcW w:w="1800" w:type="dxa"/>
                  <w:tcBorders>
                    <w:top w:val="nil"/>
                    <w:left w:val="nil"/>
                    <w:bottom w:val="nil"/>
                    <w:right w:val="nil"/>
                  </w:tcBorders>
                  <w:shd w:val="clear" w:color="auto" w:fill="auto"/>
                  <w:noWrap/>
                  <w:vAlign w:val="bottom"/>
                  <w:hideMark/>
                </w:tcPr>
                <w:p w14:paraId="783FA3BD" w14:textId="77777777" w:rsidR="008B0A42" w:rsidRPr="005045BF" w:rsidRDefault="008B0A42" w:rsidP="003325ED">
                  <w:pPr>
                    <w:widowControl w:val="0"/>
                    <w:spacing w:before="40" w:after="40"/>
                    <w:rPr>
                      <w:rFonts w:ascii="Calibri" w:hAnsi="Calibri" w:cs="Calibri"/>
                      <w:color w:val="000000"/>
                      <w:sz w:val="22"/>
                      <w:szCs w:val="22"/>
                    </w:rPr>
                  </w:pPr>
                </w:p>
              </w:tc>
            </w:tr>
          </w:tbl>
          <w:p w14:paraId="1F31A372" w14:textId="77777777" w:rsidR="008B0A42" w:rsidRPr="005045BF" w:rsidRDefault="008B0A42" w:rsidP="003325ED">
            <w:pPr>
              <w:widowControl w:val="0"/>
              <w:spacing w:before="40" w:after="40"/>
              <w:rPr>
                <w:rFonts w:ascii="Calibri" w:hAnsi="Calibri" w:cs="Calibri"/>
                <w:color w:val="000000"/>
                <w:sz w:val="22"/>
                <w:szCs w:val="22"/>
              </w:rPr>
            </w:pPr>
          </w:p>
        </w:tc>
        <w:tc>
          <w:tcPr>
            <w:tcW w:w="0" w:type="auto"/>
            <w:tcBorders>
              <w:top w:val="nil"/>
              <w:left w:val="nil"/>
              <w:bottom w:val="nil"/>
              <w:right w:val="nil"/>
            </w:tcBorders>
            <w:shd w:val="clear" w:color="auto" w:fill="auto"/>
            <w:noWrap/>
            <w:vAlign w:val="center"/>
            <w:hideMark/>
          </w:tcPr>
          <w:p w14:paraId="4E581565"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24399A63"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50E48182"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6949453F" w14:textId="77777777" w:rsidR="008B0A42" w:rsidRPr="005045BF" w:rsidRDefault="008B0A42" w:rsidP="003325ED">
            <w:pPr>
              <w:widowControl w:val="0"/>
              <w:spacing w:before="40" w:after="40"/>
              <w:rPr>
                <w:sz w:val="20"/>
                <w:szCs w:val="20"/>
              </w:rPr>
            </w:pPr>
          </w:p>
        </w:tc>
      </w:tr>
      <w:tr w:rsidR="008B0A42" w:rsidRPr="005045BF" w14:paraId="641FB6E5" w14:textId="77777777" w:rsidTr="003B4876">
        <w:trPr>
          <w:cantSplit/>
          <w:trHeight w:val="678"/>
        </w:trPr>
        <w:tc>
          <w:tcPr>
            <w:tcW w:w="0" w:type="auto"/>
            <w:tcBorders>
              <w:top w:val="nil"/>
              <w:left w:val="nil"/>
              <w:right w:val="nil"/>
            </w:tcBorders>
            <w:shd w:val="clear" w:color="auto" w:fill="auto"/>
            <w:vAlign w:val="center"/>
            <w:hideMark/>
          </w:tcPr>
          <w:p w14:paraId="005C4D3C" w14:textId="77777777" w:rsidR="008B0A42" w:rsidRPr="005045BF" w:rsidRDefault="008B0A42" w:rsidP="003325ED">
            <w:pPr>
              <w:widowControl w:val="0"/>
              <w:spacing w:before="40" w:after="40"/>
              <w:jc w:val="center"/>
              <w:rPr>
                <w:rFonts w:ascii="Arial" w:hAnsi="Arial" w:cs="Arial"/>
                <w:color w:val="0F243E"/>
                <w:sz w:val="20"/>
                <w:szCs w:val="20"/>
              </w:rPr>
            </w:pPr>
            <w:r w:rsidRPr="005045BF">
              <w:rPr>
                <w:rFonts w:ascii="Arial" w:hAnsi="Arial" w:cs="Arial"/>
                <w:color w:val="0F243E"/>
                <w:sz w:val="20"/>
                <w:szCs w:val="20"/>
              </w:rPr>
              <w:t>IV Trimestre de 2019</w:t>
            </w:r>
          </w:p>
        </w:tc>
        <w:tc>
          <w:tcPr>
            <w:tcW w:w="2103" w:type="dxa"/>
            <w:tcBorders>
              <w:top w:val="nil"/>
              <w:left w:val="nil"/>
              <w:right w:val="nil"/>
            </w:tcBorders>
            <w:shd w:val="clear" w:color="auto" w:fill="auto"/>
            <w:noWrap/>
            <w:vAlign w:val="center"/>
            <w:hideMark/>
          </w:tcPr>
          <w:p w14:paraId="700BB1D6" w14:textId="77777777" w:rsidR="008B0A42" w:rsidRPr="005045BF" w:rsidRDefault="008B0A42" w:rsidP="003325ED">
            <w:pPr>
              <w:widowControl w:val="0"/>
              <w:spacing w:before="40" w:after="40"/>
              <w:jc w:val="center"/>
              <w:rPr>
                <w:rFonts w:ascii="Arial" w:hAnsi="Arial" w:cs="Arial"/>
                <w:color w:val="0F243E"/>
                <w:sz w:val="20"/>
                <w:szCs w:val="20"/>
              </w:rPr>
            </w:pPr>
            <w:r w:rsidRPr="005045BF">
              <w:rPr>
                <w:rFonts w:ascii="Arial" w:hAnsi="Arial" w:cs="Arial"/>
                <w:color w:val="0F243E"/>
                <w:sz w:val="20"/>
                <w:szCs w:val="20"/>
              </w:rPr>
              <w:t>669.258</w:t>
            </w:r>
          </w:p>
        </w:tc>
        <w:tc>
          <w:tcPr>
            <w:tcW w:w="3501" w:type="dxa"/>
            <w:tcBorders>
              <w:top w:val="nil"/>
              <w:left w:val="nil"/>
              <w:bottom w:val="nil"/>
              <w:right w:val="nil"/>
            </w:tcBorders>
            <w:shd w:val="clear" w:color="auto" w:fill="auto"/>
            <w:noWrap/>
            <w:vAlign w:val="center"/>
            <w:hideMark/>
          </w:tcPr>
          <w:p w14:paraId="0BB2640B" w14:textId="77777777" w:rsidR="008B0A42" w:rsidRPr="005045BF" w:rsidRDefault="008B0A42" w:rsidP="003325ED">
            <w:pPr>
              <w:widowControl w:val="0"/>
              <w:spacing w:before="40" w:after="40"/>
              <w:jc w:val="center"/>
              <w:rPr>
                <w:rFonts w:ascii="Arial" w:hAnsi="Arial" w:cs="Arial"/>
                <w:color w:val="0F243E"/>
                <w:sz w:val="20"/>
                <w:szCs w:val="20"/>
              </w:rPr>
            </w:pPr>
          </w:p>
        </w:tc>
        <w:tc>
          <w:tcPr>
            <w:tcW w:w="0" w:type="auto"/>
            <w:tcBorders>
              <w:top w:val="nil"/>
              <w:left w:val="nil"/>
              <w:bottom w:val="nil"/>
              <w:right w:val="nil"/>
            </w:tcBorders>
            <w:shd w:val="clear" w:color="auto" w:fill="auto"/>
            <w:noWrap/>
            <w:vAlign w:val="center"/>
            <w:hideMark/>
          </w:tcPr>
          <w:p w14:paraId="55B4C140"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1266AA7D"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07A74904"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37A8DC7F" w14:textId="77777777" w:rsidR="008B0A42" w:rsidRPr="005045BF" w:rsidRDefault="008B0A42" w:rsidP="003325ED">
            <w:pPr>
              <w:widowControl w:val="0"/>
              <w:spacing w:before="40" w:after="40"/>
              <w:rPr>
                <w:sz w:val="20"/>
                <w:szCs w:val="20"/>
              </w:rPr>
            </w:pPr>
          </w:p>
        </w:tc>
      </w:tr>
      <w:tr w:rsidR="008B0A42" w:rsidRPr="005045BF" w14:paraId="4DFBC4EB" w14:textId="77777777" w:rsidTr="003B4876">
        <w:trPr>
          <w:cantSplit/>
          <w:trHeight w:val="714"/>
        </w:trPr>
        <w:tc>
          <w:tcPr>
            <w:tcW w:w="0" w:type="auto"/>
            <w:tcBorders>
              <w:top w:val="nil"/>
              <w:left w:val="nil"/>
              <w:bottom w:val="double" w:sz="4" w:space="0" w:color="4F81BD" w:themeColor="accent1"/>
              <w:right w:val="nil"/>
            </w:tcBorders>
            <w:shd w:val="clear" w:color="auto" w:fill="auto"/>
            <w:vAlign w:val="center"/>
            <w:hideMark/>
          </w:tcPr>
          <w:p w14:paraId="2FB86953" w14:textId="77777777" w:rsidR="008B0A42" w:rsidRPr="005045BF" w:rsidRDefault="008B0A42" w:rsidP="003325ED">
            <w:pPr>
              <w:widowControl w:val="0"/>
              <w:spacing w:before="40" w:after="40"/>
              <w:jc w:val="center"/>
              <w:rPr>
                <w:rFonts w:ascii="Arial" w:hAnsi="Arial" w:cs="Arial"/>
                <w:color w:val="0F243E"/>
                <w:sz w:val="20"/>
                <w:szCs w:val="20"/>
              </w:rPr>
            </w:pPr>
            <w:r w:rsidRPr="005045BF">
              <w:rPr>
                <w:rFonts w:ascii="Arial" w:hAnsi="Arial" w:cs="Arial"/>
                <w:color w:val="0F243E"/>
                <w:sz w:val="20"/>
                <w:szCs w:val="20"/>
              </w:rPr>
              <w:t>I Trimestre de 2020</w:t>
            </w:r>
          </w:p>
        </w:tc>
        <w:tc>
          <w:tcPr>
            <w:tcW w:w="2103" w:type="dxa"/>
            <w:tcBorders>
              <w:top w:val="nil"/>
              <w:left w:val="nil"/>
              <w:bottom w:val="double" w:sz="4" w:space="0" w:color="4F81BD" w:themeColor="accent1"/>
              <w:right w:val="nil"/>
            </w:tcBorders>
            <w:shd w:val="clear" w:color="auto" w:fill="auto"/>
            <w:vAlign w:val="center"/>
            <w:hideMark/>
          </w:tcPr>
          <w:p w14:paraId="50AD71D7" w14:textId="77777777" w:rsidR="008B0A42" w:rsidRPr="005045BF" w:rsidRDefault="008B0A42" w:rsidP="003325ED">
            <w:pPr>
              <w:widowControl w:val="0"/>
              <w:spacing w:before="40" w:after="40"/>
              <w:jc w:val="center"/>
              <w:rPr>
                <w:rFonts w:ascii="Arial" w:hAnsi="Arial" w:cs="Arial"/>
                <w:color w:val="0F243E"/>
                <w:sz w:val="20"/>
                <w:szCs w:val="20"/>
              </w:rPr>
            </w:pPr>
            <w:r w:rsidRPr="005045BF">
              <w:rPr>
                <w:rFonts w:ascii="Arial" w:hAnsi="Arial" w:cs="Arial"/>
                <w:color w:val="0F243E"/>
                <w:sz w:val="20"/>
                <w:szCs w:val="20"/>
              </w:rPr>
              <w:t>433.527</w:t>
            </w:r>
          </w:p>
        </w:tc>
        <w:tc>
          <w:tcPr>
            <w:tcW w:w="3501" w:type="dxa"/>
            <w:tcBorders>
              <w:top w:val="nil"/>
              <w:left w:val="nil"/>
              <w:bottom w:val="nil"/>
              <w:right w:val="nil"/>
            </w:tcBorders>
            <w:shd w:val="clear" w:color="auto" w:fill="auto"/>
            <w:noWrap/>
            <w:vAlign w:val="center"/>
            <w:hideMark/>
          </w:tcPr>
          <w:p w14:paraId="28F51308" w14:textId="77777777" w:rsidR="008B0A42" w:rsidRPr="005045BF" w:rsidRDefault="008B0A42" w:rsidP="003325ED">
            <w:pPr>
              <w:widowControl w:val="0"/>
              <w:spacing w:before="40" w:after="40"/>
              <w:jc w:val="center"/>
              <w:rPr>
                <w:rFonts w:ascii="Arial" w:hAnsi="Arial" w:cs="Arial"/>
                <w:color w:val="0F243E"/>
                <w:sz w:val="20"/>
                <w:szCs w:val="20"/>
              </w:rPr>
            </w:pPr>
          </w:p>
        </w:tc>
        <w:tc>
          <w:tcPr>
            <w:tcW w:w="0" w:type="auto"/>
            <w:tcBorders>
              <w:top w:val="nil"/>
              <w:left w:val="nil"/>
              <w:bottom w:val="nil"/>
              <w:right w:val="nil"/>
            </w:tcBorders>
            <w:shd w:val="clear" w:color="auto" w:fill="auto"/>
            <w:noWrap/>
            <w:vAlign w:val="center"/>
            <w:hideMark/>
          </w:tcPr>
          <w:p w14:paraId="5CE7F026"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48F4BE44"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70341616"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19402C9A" w14:textId="77777777" w:rsidR="008B0A42" w:rsidRPr="005045BF" w:rsidRDefault="008B0A42" w:rsidP="003325ED">
            <w:pPr>
              <w:widowControl w:val="0"/>
              <w:spacing w:before="40" w:after="40"/>
              <w:rPr>
                <w:sz w:val="20"/>
                <w:szCs w:val="20"/>
              </w:rPr>
            </w:pPr>
          </w:p>
        </w:tc>
      </w:tr>
      <w:tr w:rsidR="008B0A42" w:rsidRPr="005045BF" w14:paraId="555E0F81" w14:textId="77777777" w:rsidTr="003B4876">
        <w:trPr>
          <w:cantSplit/>
          <w:trHeight w:val="683"/>
        </w:trPr>
        <w:tc>
          <w:tcPr>
            <w:tcW w:w="0" w:type="auto"/>
            <w:tcBorders>
              <w:top w:val="double" w:sz="4" w:space="0" w:color="4F81BD" w:themeColor="accent1"/>
              <w:left w:val="nil"/>
              <w:bottom w:val="nil"/>
              <w:right w:val="nil"/>
            </w:tcBorders>
            <w:shd w:val="clear" w:color="auto" w:fill="auto"/>
            <w:noWrap/>
            <w:vAlign w:val="center"/>
            <w:hideMark/>
          </w:tcPr>
          <w:p w14:paraId="4EBE5552" w14:textId="0A884535" w:rsidR="008B0A42" w:rsidRPr="005045BF" w:rsidRDefault="008B0A42" w:rsidP="003325ED">
            <w:pPr>
              <w:widowControl w:val="0"/>
              <w:spacing w:before="40" w:after="40"/>
              <w:rPr>
                <w:rFonts w:ascii="Arial" w:hAnsi="Arial" w:cs="Arial"/>
                <w:b/>
                <w:bCs/>
                <w:color w:val="0F243E"/>
                <w:sz w:val="20"/>
                <w:szCs w:val="20"/>
              </w:rPr>
            </w:pPr>
            <w:r w:rsidRPr="005045BF">
              <w:rPr>
                <w:rFonts w:ascii="Arial" w:hAnsi="Arial" w:cs="Arial"/>
                <w:b/>
                <w:bCs/>
                <w:color w:val="0F243E"/>
                <w:sz w:val="20"/>
                <w:szCs w:val="20"/>
              </w:rPr>
              <w:t>Variación #</w:t>
            </w:r>
          </w:p>
        </w:tc>
        <w:tc>
          <w:tcPr>
            <w:tcW w:w="2103" w:type="dxa"/>
            <w:tcBorders>
              <w:top w:val="double" w:sz="4" w:space="0" w:color="4F81BD" w:themeColor="accent1"/>
              <w:left w:val="nil"/>
              <w:bottom w:val="nil"/>
              <w:right w:val="nil"/>
            </w:tcBorders>
            <w:shd w:val="clear" w:color="auto" w:fill="auto"/>
            <w:noWrap/>
            <w:vAlign w:val="center"/>
            <w:hideMark/>
          </w:tcPr>
          <w:p w14:paraId="76DBFE7B" w14:textId="517C4019" w:rsidR="008B0A42" w:rsidRPr="005045BF" w:rsidRDefault="008B0A42" w:rsidP="003325ED">
            <w:pPr>
              <w:widowControl w:val="0"/>
              <w:spacing w:before="40" w:after="40"/>
              <w:jc w:val="center"/>
              <w:rPr>
                <w:rFonts w:ascii="Arial" w:hAnsi="Arial" w:cs="Arial"/>
                <w:b/>
                <w:bCs/>
                <w:color w:val="0F243E"/>
                <w:sz w:val="20"/>
                <w:szCs w:val="20"/>
              </w:rPr>
            </w:pPr>
            <w:r w:rsidRPr="005045BF">
              <w:rPr>
                <w:rFonts w:ascii="Arial" w:hAnsi="Arial" w:cs="Arial"/>
                <w:b/>
                <w:bCs/>
                <w:color w:val="0F243E"/>
                <w:sz w:val="20"/>
                <w:szCs w:val="20"/>
              </w:rPr>
              <w:t>(235.731)</w:t>
            </w:r>
          </w:p>
        </w:tc>
        <w:tc>
          <w:tcPr>
            <w:tcW w:w="3501" w:type="dxa"/>
            <w:tcBorders>
              <w:top w:val="nil"/>
              <w:left w:val="nil"/>
              <w:bottom w:val="nil"/>
              <w:right w:val="nil"/>
            </w:tcBorders>
            <w:shd w:val="clear" w:color="auto" w:fill="auto"/>
            <w:noWrap/>
            <w:vAlign w:val="center"/>
            <w:hideMark/>
          </w:tcPr>
          <w:p w14:paraId="70BEB0C3" w14:textId="77777777" w:rsidR="008B0A42" w:rsidRPr="005045BF" w:rsidRDefault="008B0A42" w:rsidP="003325ED">
            <w:pPr>
              <w:widowControl w:val="0"/>
              <w:spacing w:before="40" w:after="40"/>
              <w:jc w:val="center"/>
              <w:rPr>
                <w:rFonts w:ascii="Arial" w:hAnsi="Arial" w:cs="Arial"/>
                <w:b/>
                <w:bCs/>
                <w:color w:val="0F243E"/>
                <w:sz w:val="20"/>
                <w:szCs w:val="20"/>
              </w:rPr>
            </w:pPr>
          </w:p>
        </w:tc>
        <w:tc>
          <w:tcPr>
            <w:tcW w:w="0" w:type="auto"/>
            <w:tcBorders>
              <w:top w:val="nil"/>
              <w:left w:val="nil"/>
              <w:bottom w:val="nil"/>
              <w:right w:val="nil"/>
            </w:tcBorders>
            <w:shd w:val="clear" w:color="auto" w:fill="auto"/>
            <w:noWrap/>
            <w:vAlign w:val="center"/>
            <w:hideMark/>
          </w:tcPr>
          <w:p w14:paraId="5E902140"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5A586A31"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0CEEC0C1"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3E65759E" w14:textId="77777777" w:rsidR="008B0A42" w:rsidRPr="005045BF" w:rsidRDefault="008B0A42" w:rsidP="003325ED">
            <w:pPr>
              <w:widowControl w:val="0"/>
              <w:spacing w:before="40" w:after="40"/>
              <w:rPr>
                <w:sz w:val="20"/>
                <w:szCs w:val="20"/>
              </w:rPr>
            </w:pPr>
          </w:p>
        </w:tc>
      </w:tr>
      <w:tr w:rsidR="008B0A42" w:rsidRPr="005045BF" w14:paraId="708F3CFE" w14:textId="77777777" w:rsidTr="003B4876">
        <w:trPr>
          <w:cantSplit/>
          <w:trHeight w:val="80"/>
        </w:trPr>
        <w:tc>
          <w:tcPr>
            <w:tcW w:w="0" w:type="auto"/>
            <w:tcBorders>
              <w:top w:val="nil"/>
              <w:left w:val="nil"/>
              <w:bottom w:val="double" w:sz="6" w:space="0" w:color="4F81BD"/>
              <w:right w:val="nil"/>
            </w:tcBorders>
            <w:shd w:val="clear" w:color="auto" w:fill="auto"/>
            <w:noWrap/>
            <w:vAlign w:val="center"/>
            <w:hideMark/>
          </w:tcPr>
          <w:p w14:paraId="1485B14A" w14:textId="66A22C47" w:rsidR="008B0A42" w:rsidRPr="005045BF" w:rsidRDefault="008B0A42" w:rsidP="003325ED">
            <w:pPr>
              <w:widowControl w:val="0"/>
              <w:spacing w:before="40" w:after="40"/>
              <w:rPr>
                <w:rFonts w:ascii="Arial" w:hAnsi="Arial" w:cs="Arial"/>
                <w:b/>
                <w:bCs/>
                <w:color w:val="0F243E"/>
                <w:sz w:val="20"/>
                <w:szCs w:val="20"/>
              </w:rPr>
            </w:pPr>
            <w:r w:rsidRPr="005045BF">
              <w:rPr>
                <w:rFonts w:ascii="Arial" w:hAnsi="Arial" w:cs="Arial"/>
                <w:b/>
                <w:bCs/>
                <w:color w:val="0F243E"/>
                <w:sz w:val="20"/>
                <w:szCs w:val="20"/>
              </w:rPr>
              <w:t>Variación %</w:t>
            </w:r>
          </w:p>
        </w:tc>
        <w:tc>
          <w:tcPr>
            <w:tcW w:w="2103" w:type="dxa"/>
            <w:tcBorders>
              <w:top w:val="nil"/>
              <w:left w:val="nil"/>
              <w:bottom w:val="double" w:sz="6" w:space="0" w:color="4F81BD"/>
              <w:right w:val="nil"/>
            </w:tcBorders>
            <w:shd w:val="clear" w:color="auto" w:fill="auto"/>
            <w:noWrap/>
            <w:vAlign w:val="center"/>
            <w:hideMark/>
          </w:tcPr>
          <w:p w14:paraId="67EF2D29" w14:textId="36FF5329" w:rsidR="008B0A42" w:rsidRPr="005045BF" w:rsidRDefault="008B0A42" w:rsidP="003325ED">
            <w:pPr>
              <w:widowControl w:val="0"/>
              <w:spacing w:before="40" w:after="40"/>
              <w:jc w:val="center"/>
              <w:rPr>
                <w:rFonts w:ascii="Arial" w:hAnsi="Arial" w:cs="Arial"/>
                <w:b/>
                <w:bCs/>
                <w:color w:val="0F243E"/>
                <w:sz w:val="20"/>
                <w:szCs w:val="20"/>
              </w:rPr>
            </w:pPr>
            <w:r w:rsidRPr="005045BF">
              <w:rPr>
                <w:rFonts w:ascii="Arial" w:hAnsi="Arial" w:cs="Arial"/>
                <w:b/>
                <w:bCs/>
                <w:color w:val="0F243E"/>
                <w:sz w:val="20"/>
                <w:szCs w:val="20"/>
              </w:rPr>
              <w:t>(35%)</w:t>
            </w:r>
          </w:p>
        </w:tc>
        <w:tc>
          <w:tcPr>
            <w:tcW w:w="3501" w:type="dxa"/>
            <w:tcBorders>
              <w:top w:val="nil"/>
              <w:left w:val="nil"/>
              <w:bottom w:val="nil"/>
              <w:right w:val="nil"/>
            </w:tcBorders>
            <w:shd w:val="clear" w:color="auto" w:fill="auto"/>
            <w:noWrap/>
            <w:vAlign w:val="center"/>
            <w:hideMark/>
          </w:tcPr>
          <w:p w14:paraId="5DA47075" w14:textId="77777777" w:rsidR="008B0A42" w:rsidRPr="005045BF" w:rsidRDefault="008B0A42" w:rsidP="003325ED">
            <w:pPr>
              <w:widowControl w:val="0"/>
              <w:spacing w:before="40" w:after="40"/>
              <w:jc w:val="center"/>
              <w:rPr>
                <w:rFonts w:ascii="Arial" w:hAnsi="Arial" w:cs="Arial"/>
                <w:b/>
                <w:bCs/>
                <w:color w:val="0F243E"/>
                <w:sz w:val="20"/>
                <w:szCs w:val="20"/>
              </w:rPr>
            </w:pPr>
          </w:p>
        </w:tc>
        <w:tc>
          <w:tcPr>
            <w:tcW w:w="0" w:type="auto"/>
            <w:tcBorders>
              <w:top w:val="nil"/>
              <w:left w:val="nil"/>
              <w:bottom w:val="nil"/>
              <w:right w:val="nil"/>
            </w:tcBorders>
            <w:shd w:val="clear" w:color="auto" w:fill="auto"/>
            <w:noWrap/>
            <w:vAlign w:val="center"/>
            <w:hideMark/>
          </w:tcPr>
          <w:p w14:paraId="087B2E4B"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78ABBB66"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6F41352F" w14:textId="77777777" w:rsidR="008B0A42" w:rsidRPr="005045BF" w:rsidRDefault="008B0A42" w:rsidP="003325ED">
            <w:pPr>
              <w:widowControl w:val="0"/>
              <w:spacing w:before="40" w:after="40"/>
              <w:rPr>
                <w:sz w:val="20"/>
                <w:szCs w:val="20"/>
              </w:rPr>
            </w:pPr>
          </w:p>
        </w:tc>
        <w:tc>
          <w:tcPr>
            <w:tcW w:w="0" w:type="auto"/>
            <w:tcBorders>
              <w:top w:val="nil"/>
              <w:left w:val="nil"/>
              <w:bottom w:val="nil"/>
              <w:right w:val="nil"/>
            </w:tcBorders>
            <w:shd w:val="clear" w:color="auto" w:fill="auto"/>
            <w:noWrap/>
            <w:vAlign w:val="center"/>
            <w:hideMark/>
          </w:tcPr>
          <w:p w14:paraId="33A2331A" w14:textId="77777777" w:rsidR="008B0A42" w:rsidRPr="005045BF" w:rsidRDefault="008B0A42" w:rsidP="003325ED">
            <w:pPr>
              <w:widowControl w:val="0"/>
              <w:spacing w:before="40" w:after="40"/>
              <w:rPr>
                <w:sz w:val="20"/>
                <w:szCs w:val="20"/>
              </w:rPr>
            </w:pPr>
          </w:p>
        </w:tc>
      </w:tr>
    </w:tbl>
    <w:p w14:paraId="7B881A79" w14:textId="77777777" w:rsidR="003325ED" w:rsidRPr="005045BF" w:rsidRDefault="003325ED" w:rsidP="00557B02">
      <w:pPr>
        <w:widowControl w:val="0"/>
        <w:jc w:val="both"/>
        <w:rPr>
          <w:rFonts w:ascii="Arial" w:hAnsi="Arial" w:cs="Arial"/>
          <w:sz w:val="22"/>
          <w:szCs w:val="22"/>
        </w:rPr>
      </w:pPr>
    </w:p>
    <w:p w14:paraId="3FFAD8AA" w14:textId="661FC680" w:rsidR="005A4AA2" w:rsidRPr="005045BF" w:rsidRDefault="00557B02" w:rsidP="00557B02">
      <w:pPr>
        <w:widowControl w:val="0"/>
        <w:jc w:val="both"/>
        <w:rPr>
          <w:rFonts w:ascii="Arial" w:hAnsi="Arial" w:cs="Arial"/>
          <w:sz w:val="22"/>
          <w:szCs w:val="22"/>
        </w:rPr>
      </w:pPr>
      <w:r w:rsidRPr="005045BF">
        <w:rPr>
          <w:rFonts w:ascii="Arial" w:hAnsi="Arial" w:cs="Arial"/>
          <w:sz w:val="22"/>
          <w:szCs w:val="22"/>
        </w:rPr>
        <w:t>Ahora bien, según el consumo mensual de los servicios digitales los cuales so</w:t>
      </w:r>
      <w:r w:rsidR="003773B0" w:rsidRPr="005045BF">
        <w:rPr>
          <w:rFonts w:ascii="Arial" w:hAnsi="Arial" w:cs="Arial"/>
          <w:sz w:val="22"/>
          <w:szCs w:val="22"/>
        </w:rPr>
        <w:t>n medidos por el número de hojas utilizadas</w:t>
      </w:r>
      <w:r w:rsidR="00287A3D" w:rsidRPr="005045BF">
        <w:rPr>
          <w:rFonts w:ascii="Arial" w:hAnsi="Arial" w:cs="Arial"/>
          <w:sz w:val="22"/>
          <w:szCs w:val="22"/>
        </w:rPr>
        <w:t xml:space="preserve">, </w:t>
      </w:r>
      <w:r w:rsidR="003773B0" w:rsidRPr="005045BF">
        <w:rPr>
          <w:rFonts w:ascii="Arial" w:hAnsi="Arial" w:cs="Arial"/>
          <w:sz w:val="22"/>
          <w:szCs w:val="22"/>
        </w:rPr>
        <w:t xml:space="preserve">se observó </w:t>
      </w:r>
      <w:r w:rsidR="005A4AA2" w:rsidRPr="005045BF">
        <w:rPr>
          <w:rFonts w:ascii="Arial" w:hAnsi="Arial" w:cs="Arial"/>
          <w:sz w:val="22"/>
          <w:szCs w:val="22"/>
        </w:rPr>
        <w:t>para el</w:t>
      </w:r>
      <w:r w:rsidR="00172E1D" w:rsidRPr="005045BF">
        <w:rPr>
          <w:rFonts w:ascii="Arial" w:hAnsi="Arial" w:cs="Arial"/>
          <w:sz w:val="22"/>
          <w:szCs w:val="22"/>
        </w:rPr>
        <w:t xml:space="preserve"> </w:t>
      </w:r>
      <w:r w:rsidR="005A4AA2" w:rsidRPr="005045BF">
        <w:rPr>
          <w:rFonts w:ascii="Arial" w:hAnsi="Arial" w:cs="Arial"/>
          <w:sz w:val="22"/>
          <w:szCs w:val="22"/>
        </w:rPr>
        <w:t xml:space="preserve">primer trimestre de 2020 </w:t>
      </w:r>
      <w:r w:rsidR="00506CC5" w:rsidRPr="005045BF">
        <w:rPr>
          <w:rFonts w:ascii="Arial" w:hAnsi="Arial" w:cs="Arial"/>
          <w:sz w:val="22"/>
          <w:szCs w:val="22"/>
        </w:rPr>
        <w:t xml:space="preserve">un comportamiento </w:t>
      </w:r>
      <w:r w:rsidR="005A4AA2" w:rsidRPr="005045BF">
        <w:rPr>
          <w:rFonts w:ascii="Arial" w:hAnsi="Arial" w:cs="Arial"/>
          <w:sz w:val="22"/>
          <w:szCs w:val="22"/>
        </w:rPr>
        <w:t xml:space="preserve">en </w:t>
      </w:r>
      <w:r w:rsidR="00172E1D" w:rsidRPr="005045BF">
        <w:rPr>
          <w:rFonts w:ascii="Arial" w:hAnsi="Arial" w:cs="Arial"/>
          <w:sz w:val="22"/>
          <w:szCs w:val="22"/>
        </w:rPr>
        <w:t xml:space="preserve">términos generales </w:t>
      </w:r>
      <w:r w:rsidR="00EE2B84" w:rsidRPr="005045BF">
        <w:rPr>
          <w:rFonts w:ascii="Arial" w:hAnsi="Arial" w:cs="Arial"/>
          <w:sz w:val="22"/>
          <w:szCs w:val="22"/>
        </w:rPr>
        <w:t>constante</w:t>
      </w:r>
      <w:r w:rsidR="00506CC5">
        <w:rPr>
          <w:rFonts w:ascii="Arial" w:hAnsi="Arial" w:cs="Arial"/>
          <w:sz w:val="22"/>
          <w:szCs w:val="22"/>
        </w:rPr>
        <w:t xml:space="preserve">, </w:t>
      </w:r>
      <w:r w:rsidR="00EE2B84" w:rsidRPr="005045BF">
        <w:rPr>
          <w:rFonts w:ascii="Arial" w:hAnsi="Arial" w:cs="Arial"/>
          <w:sz w:val="22"/>
          <w:szCs w:val="22"/>
        </w:rPr>
        <w:t>con</w:t>
      </w:r>
      <w:r w:rsidR="005A4AA2" w:rsidRPr="005045BF">
        <w:rPr>
          <w:rFonts w:ascii="Arial" w:hAnsi="Arial" w:cs="Arial"/>
          <w:sz w:val="22"/>
          <w:szCs w:val="22"/>
        </w:rPr>
        <w:t xml:space="preserve"> tendencia decreciente</w:t>
      </w:r>
      <w:r w:rsidR="00506CC5">
        <w:rPr>
          <w:rFonts w:ascii="Arial" w:hAnsi="Arial" w:cs="Arial"/>
          <w:sz w:val="22"/>
          <w:szCs w:val="22"/>
        </w:rPr>
        <w:t xml:space="preserve"> en el periodo de marzo comparado con febrero, </w:t>
      </w:r>
      <w:r w:rsidR="005A4AA2" w:rsidRPr="005045BF">
        <w:rPr>
          <w:rFonts w:ascii="Arial" w:hAnsi="Arial" w:cs="Arial"/>
          <w:sz w:val="22"/>
          <w:szCs w:val="22"/>
        </w:rPr>
        <w:t>tal</w:t>
      </w:r>
      <w:r w:rsidR="003773B0" w:rsidRPr="005045BF">
        <w:rPr>
          <w:rFonts w:ascii="Arial" w:hAnsi="Arial" w:cs="Arial"/>
          <w:sz w:val="22"/>
          <w:szCs w:val="22"/>
        </w:rPr>
        <w:t xml:space="preserve"> como se puede observar</w:t>
      </w:r>
      <w:r w:rsidR="00256F66" w:rsidRPr="005045BF">
        <w:rPr>
          <w:rFonts w:ascii="Arial" w:hAnsi="Arial" w:cs="Arial"/>
          <w:sz w:val="22"/>
          <w:szCs w:val="22"/>
        </w:rPr>
        <w:t xml:space="preserve"> en la </w:t>
      </w:r>
      <w:r w:rsidR="0051637C" w:rsidRPr="005045BF">
        <w:rPr>
          <w:rFonts w:ascii="Arial" w:hAnsi="Arial" w:cs="Arial"/>
          <w:sz w:val="22"/>
          <w:szCs w:val="22"/>
        </w:rPr>
        <w:t>gráfica expuesta</w:t>
      </w:r>
      <w:r w:rsidR="008E2C6C" w:rsidRPr="005045BF">
        <w:rPr>
          <w:rFonts w:ascii="Arial" w:hAnsi="Arial" w:cs="Arial"/>
          <w:sz w:val="22"/>
          <w:szCs w:val="22"/>
        </w:rPr>
        <w:t>.</w:t>
      </w:r>
      <w:r w:rsidR="005A4AA2" w:rsidRPr="005045BF">
        <w:rPr>
          <w:rFonts w:ascii="Arial" w:hAnsi="Arial" w:cs="Arial"/>
          <w:sz w:val="22"/>
          <w:szCs w:val="22"/>
        </w:rPr>
        <w:t xml:space="preserve"> </w:t>
      </w:r>
    </w:p>
    <w:p w14:paraId="6CACD0D2" w14:textId="582CCBD8" w:rsidR="001524BB" w:rsidRPr="005045BF" w:rsidRDefault="001524BB" w:rsidP="00557B02">
      <w:pPr>
        <w:widowControl w:val="0"/>
        <w:jc w:val="both"/>
        <w:rPr>
          <w:rFonts w:ascii="Arial" w:hAnsi="Arial" w:cs="Arial"/>
          <w:sz w:val="22"/>
          <w:szCs w:val="22"/>
        </w:rPr>
      </w:pPr>
    </w:p>
    <w:p w14:paraId="24E870C5" w14:textId="77777777" w:rsidR="005A4AA2" w:rsidRPr="005045BF" w:rsidRDefault="005A4AA2" w:rsidP="00557B02">
      <w:pPr>
        <w:widowControl w:val="0"/>
        <w:jc w:val="both"/>
        <w:rPr>
          <w:rFonts w:ascii="Arial" w:hAnsi="Arial" w:cs="Arial"/>
          <w:sz w:val="22"/>
          <w:szCs w:val="22"/>
        </w:rPr>
      </w:pPr>
    </w:p>
    <w:p w14:paraId="29266BD6" w14:textId="4ED6BA35" w:rsidR="00B0746C" w:rsidRPr="005045BF" w:rsidRDefault="005A4AA2" w:rsidP="00992416">
      <w:pPr>
        <w:widowControl w:val="0"/>
        <w:rPr>
          <w:highlight w:val="yellow"/>
          <w:lang w:eastAsia="en-US"/>
        </w:rPr>
      </w:pPr>
      <w:r w:rsidRPr="005045BF">
        <w:rPr>
          <w:noProof/>
        </w:rPr>
        <w:drawing>
          <wp:inline distT="0" distB="0" distL="0" distR="0" wp14:anchorId="1EB25108" wp14:editId="15881712">
            <wp:extent cx="6057900" cy="1714500"/>
            <wp:effectExtent l="0" t="0" r="0" b="0"/>
            <wp:docPr id="19" name="Gráfico 19">
              <a:extLst xmlns:a="http://schemas.openxmlformats.org/drawingml/2006/main">
                <a:ext uri="{FF2B5EF4-FFF2-40B4-BE49-F238E27FC236}">
                  <a16:creationId xmlns:a16="http://schemas.microsoft.com/office/drawing/2014/main" id="{8D6F3F47-E480-4302-AF88-DBC25C1DE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505C661D" w14:textId="4AF9A06C" w:rsidR="008F2AEC" w:rsidRPr="005045BF" w:rsidRDefault="003D677D" w:rsidP="00172E1D">
      <w:pPr>
        <w:widowControl w:val="0"/>
        <w:jc w:val="both"/>
        <w:rPr>
          <w:rFonts w:ascii="Arial" w:hAnsi="Arial" w:cs="Arial"/>
          <w:sz w:val="22"/>
          <w:szCs w:val="22"/>
        </w:rPr>
      </w:pPr>
      <w:r w:rsidRPr="005045BF">
        <w:rPr>
          <w:rFonts w:ascii="Arial" w:hAnsi="Arial" w:cs="Arial"/>
          <w:sz w:val="22"/>
          <w:szCs w:val="22"/>
        </w:rPr>
        <w:t xml:space="preserve">Con respecto, a los conceptos que componen los servicios digitales, tales como, </w:t>
      </w:r>
      <w:r w:rsidR="00A678D1" w:rsidRPr="005045BF">
        <w:rPr>
          <w:rFonts w:ascii="Arial" w:hAnsi="Arial" w:cs="Arial"/>
          <w:sz w:val="22"/>
          <w:szCs w:val="22"/>
        </w:rPr>
        <w:t>impresiones a</w:t>
      </w:r>
      <w:r w:rsidRPr="005045BF">
        <w:rPr>
          <w:rFonts w:ascii="Arial" w:hAnsi="Arial" w:cs="Arial"/>
          <w:sz w:val="22"/>
          <w:szCs w:val="22"/>
        </w:rPr>
        <w:t xml:space="preserve"> color, impresiones </w:t>
      </w:r>
      <w:r w:rsidR="00A678D1" w:rsidRPr="005045BF">
        <w:rPr>
          <w:rFonts w:ascii="Arial" w:hAnsi="Arial" w:cs="Arial"/>
          <w:sz w:val="22"/>
          <w:szCs w:val="22"/>
        </w:rPr>
        <w:t>a blanco</w:t>
      </w:r>
      <w:r w:rsidRPr="005045BF">
        <w:rPr>
          <w:rFonts w:ascii="Arial" w:hAnsi="Arial" w:cs="Arial"/>
          <w:sz w:val="22"/>
          <w:szCs w:val="22"/>
        </w:rPr>
        <w:t xml:space="preserve"> y negro y </w:t>
      </w:r>
      <w:r w:rsidR="008F2AEC" w:rsidRPr="005045BF">
        <w:rPr>
          <w:rFonts w:ascii="Arial" w:hAnsi="Arial" w:cs="Arial"/>
          <w:sz w:val="22"/>
          <w:szCs w:val="22"/>
        </w:rPr>
        <w:t>copias, se</w:t>
      </w:r>
      <w:r w:rsidRPr="005045BF">
        <w:rPr>
          <w:rFonts w:ascii="Arial" w:hAnsi="Arial" w:cs="Arial"/>
          <w:sz w:val="22"/>
          <w:szCs w:val="22"/>
        </w:rPr>
        <w:t xml:space="preserve"> comparó </w:t>
      </w:r>
      <w:r w:rsidR="008F2AEC" w:rsidRPr="005045BF">
        <w:rPr>
          <w:rFonts w:ascii="Arial" w:hAnsi="Arial" w:cs="Arial"/>
          <w:sz w:val="22"/>
          <w:szCs w:val="22"/>
        </w:rPr>
        <w:t>dichos conceptos generados d</w:t>
      </w:r>
      <w:r w:rsidR="0006753C" w:rsidRPr="005045BF">
        <w:rPr>
          <w:rFonts w:ascii="Arial" w:hAnsi="Arial" w:cs="Arial"/>
          <w:sz w:val="22"/>
          <w:szCs w:val="22"/>
        </w:rPr>
        <w:t>urante el primer trimestre de 2020 frente al mismo periodo de 2019</w:t>
      </w:r>
      <w:r w:rsidR="008F2AEC" w:rsidRPr="005045BF">
        <w:rPr>
          <w:rFonts w:ascii="Arial" w:hAnsi="Arial" w:cs="Arial"/>
          <w:sz w:val="22"/>
          <w:szCs w:val="22"/>
        </w:rPr>
        <w:t xml:space="preserve">, medidos en número de </w:t>
      </w:r>
      <w:r w:rsidR="00CA5875" w:rsidRPr="005045BF">
        <w:rPr>
          <w:rFonts w:ascii="Arial" w:hAnsi="Arial" w:cs="Arial"/>
          <w:sz w:val="22"/>
          <w:szCs w:val="22"/>
        </w:rPr>
        <w:t>páginas</w:t>
      </w:r>
      <w:r w:rsidR="008F2AEC" w:rsidRPr="005045BF">
        <w:rPr>
          <w:rFonts w:ascii="Arial" w:hAnsi="Arial" w:cs="Arial"/>
          <w:sz w:val="22"/>
          <w:szCs w:val="22"/>
        </w:rPr>
        <w:t xml:space="preserve"> utilizadas</w:t>
      </w:r>
      <w:r w:rsidR="00CA5875" w:rsidRPr="005045BF">
        <w:rPr>
          <w:rFonts w:ascii="Arial" w:hAnsi="Arial" w:cs="Arial"/>
          <w:sz w:val="22"/>
          <w:szCs w:val="22"/>
        </w:rPr>
        <w:t xml:space="preserve">. Como resultado se observaron variaciones negativas para todos los casos, equivalente a una disminución global del 38%, así: </w:t>
      </w:r>
    </w:p>
    <w:p w14:paraId="663C0495" w14:textId="77777777" w:rsidR="008F2AEC" w:rsidRPr="005045BF" w:rsidRDefault="008F2AEC" w:rsidP="00172E1D">
      <w:pPr>
        <w:widowControl w:val="0"/>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699"/>
        <w:gridCol w:w="1984"/>
        <w:gridCol w:w="1985"/>
        <w:gridCol w:w="1276"/>
        <w:gridCol w:w="1275"/>
      </w:tblGrid>
      <w:tr w:rsidR="00692ED8" w:rsidRPr="005045BF" w14:paraId="050B74D4" w14:textId="77777777" w:rsidTr="003B4876">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699" w:type="dxa"/>
            <w:vMerge w:val="restart"/>
            <w:shd w:val="clear" w:color="auto" w:fill="4F81BD" w:themeFill="accent1"/>
            <w:vAlign w:val="center"/>
            <w:hideMark/>
          </w:tcPr>
          <w:p w14:paraId="0644B99C" w14:textId="39C54B4A" w:rsidR="00692ED8" w:rsidRPr="005045BF" w:rsidRDefault="008F2AEC" w:rsidP="003B4876">
            <w:pPr>
              <w:widowControl w:val="0"/>
              <w:spacing w:before="80" w:after="60"/>
              <w:jc w:val="center"/>
              <w:rPr>
                <w:rFonts w:ascii="Arial" w:hAnsi="Arial" w:cs="Arial"/>
                <w:b w:val="0"/>
                <w:bCs w:val="0"/>
                <w:color w:val="FFFFFF"/>
                <w:sz w:val="20"/>
                <w:szCs w:val="20"/>
              </w:rPr>
            </w:pPr>
            <w:r w:rsidRPr="005045BF">
              <w:rPr>
                <w:rFonts w:ascii="Arial" w:hAnsi="Arial" w:cs="Arial"/>
                <w:sz w:val="20"/>
                <w:szCs w:val="20"/>
              </w:rPr>
              <w:t xml:space="preserve"> </w:t>
            </w:r>
            <w:r w:rsidR="00692ED8" w:rsidRPr="005045BF">
              <w:rPr>
                <w:rFonts w:ascii="Arial" w:hAnsi="Arial" w:cs="Arial"/>
                <w:b w:val="0"/>
                <w:bCs w:val="0"/>
                <w:color w:val="FFFFFF"/>
                <w:sz w:val="20"/>
                <w:szCs w:val="20"/>
              </w:rPr>
              <w:t>Concepto</w:t>
            </w:r>
          </w:p>
        </w:tc>
        <w:tc>
          <w:tcPr>
            <w:tcW w:w="3969" w:type="dxa"/>
            <w:gridSpan w:val="2"/>
            <w:shd w:val="clear" w:color="auto" w:fill="4F81BD" w:themeFill="accent1"/>
            <w:vAlign w:val="center"/>
            <w:hideMark/>
          </w:tcPr>
          <w:p w14:paraId="48E37AB0" w14:textId="77777777" w:rsidR="009F6DBF" w:rsidRPr="005045BF" w:rsidRDefault="00692ED8" w:rsidP="003B4876">
            <w:pPr>
              <w:widowControl w:val="0"/>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045BF">
              <w:rPr>
                <w:rFonts w:ascii="Arial" w:hAnsi="Arial" w:cs="Arial"/>
                <w:b w:val="0"/>
                <w:bCs w:val="0"/>
                <w:color w:val="FFFFFF"/>
                <w:sz w:val="20"/>
                <w:szCs w:val="20"/>
              </w:rPr>
              <w:t xml:space="preserve">Servicios Digitales </w:t>
            </w:r>
          </w:p>
          <w:p w14:paraId="15913691" w14:textId="1228F8F5" w:rsidR="00692ED8" w:rsidRPr="005045BF" w:rsidRDefault="00692ED8" w:rsidP="003B4876">
            <w:pPr>
              <w:widowControl w:val="0"/>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045BF">
              <w:rPr>
                <w:rFonts w:ascii="Arial" w:hAnsi="Arial" w:cs="Arial"/>
                <w:b w:val="0"/>
                <w:bCs w:val="0"/>
                <w:color w:val="FFFFFF"/>
                <w:sz w:val="20"/>
                <w:szCs w:val="20"/>
              </w:rPr>
              <w:t xml:space="preserve">(Medio en Número de Páginas) </w:t>
            </w:r>
          </w:p>
        </w:tc>
        <w:tc>
          <w:tcPr>
            <w:tcW w:w="2551" w:type="dxa"/>
            <w:gridSpan w:val="2"/>
            <w:shd w:val="clear" w:color="auto" w:fill="4F81BD" w:themeFill="accent1"/>
            <w:vAlign w:val="center"/>
            <w:hideMark/>
          </w:tcPr>
          <w:p w14:paraId="7EE7288C" w14:textId="77777777" w:rsidR="00692ED8" w:rsidRPr="005045BF" w:rsidRDefault="00692ED8" w:rsidP="003B4876">
            <w:pPr>
              <w:widowControl w:val="0"/>
              <w:spacing w:before="80" w:after="6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045BF">
              <w:rPr>
                <w:rFonts w:ascii="Arial" w:hAnsi="Arial" w:cs="Arial"/>
                <w:b w:val="0"/>
                <w:bCs w:val="0"/>
                <w:color w:val="FFFFFF"/>
                <w:sz w:val="20"/>
                <w:szCs w:val="20"/>
              </w:rPr>
              <w:t>Variaciones</w:t>
            </w:r>
          </w:p>
        </w:tc>
      </w:tr>
      <w:tr w:rsidR="003A23D6" w:rsidRPr="005045BF" w14:paraId="4ABF7A5E" w14:textId="77777777" w:rsidTr="003B4876">
        <w:trPr>
          <w:cantSplit/>
          <w:jc w:val="center"/>
        </w:trPr>
        <w:tc>
          <w:tcPr>
            <w:cnfStyle w:val="001000000000" w:firstRow="0" w:lastRow="0" w:firstColumn="1" w:lastColumn="0" w:oddVBand="0" w:evenVBand="0" w:oddHBand="0" w:evenHBand="0" w:firstRowFirstColumn="0" w:firstRowLastColumn="0" w:lastRowFirstColumn="0" w:lastRowLastColumn="0"/>
            <w:tcW w:w="2699" w:type="dxa"/>
            <w:vMerge/>
            <w:shd w:val="clear" w:color="auto" w:fill="4F81BD" w:themeFill="accent1"/>
            <w:vAlign w:val="center"/>
            <w:hideMark/>
          </w:tcPr>
          <w:p w14:paraId="238DA722" w14:textId="77777777" w:rsidR="00692ED8" w:rsidRPr="005045BF" w:rsidRDefault="00692ED8" w:rsidP="003B4876">
            <w:pPr>
              <w:widowControl w:val="0"/>
              <w:spacing w:before="80" w:after="60"/>
              <w:rPr>
                <w:rFonts w:ascii="Arial" w:hAnsi="Arial" w:cs="Arial"/>
                <w:b w:val="0"/>
                <w:bCs w:val="0"/>
                <w:color w:val="FFFFFF"/>
                <w:sz w:val="20"/>
                <w:szCs w:val="20"/>
              </w:rPr>
            </w:pPr>
          </w:p>
        </w:tc>
        <w:tc>
          <w:tcPr>
            <w:tcW w:w="1984" w:type="dxa"/>
            <w:shd w:val="clear" w:color="auto" w:fill="4F81BD" w:themeFill="accent1"/>
            <w:vAlign w:val="center"/>
            <w:hideMark/>
          </w:tcPr>
          <w:p w14:paraId="0C518D16" w14:textId="77777777" w:rsidR="00692ED8" w:rsidRPr="005045BF" w:rsidRDefault="00692ED8" w:rsidP="003B4876">
            <w:pPr>
              <w:widowControl w:val="0"/>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I Trimestre 2020</w:t>
            </w:r>
          </w:p>
        </w:tc>
        <w:tc>
          <w:tcPr>
            <w:tcW w:w="1985" w:type="dxa"/>
            <w:shd w:val="clear" w:color="auto" w:fill="4F81BD" w:themeFill="accent1"/>
            <w:vAlign w:val="center"/>
            <w:hideMark/>
          </w:tcPr>
          <w:p w14:paraId="2F9E2E47" w14:textId="77777777" w:rsidR="00692ED8" w:rsidRPr="005045BF" w:rsidRDefault="00692ED8" w:rsidP="003B4876">
            <w:pPr>
              <w:widowControl w:val="0"/>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I Trimestre 2019</w:t>
            </w:r>
          </w:p>
        </w:tc>
        <w:tc>
          <w:tcPr>
            <w:tcW w:w="1276" w:type="dxa"/>
            <w:shd w:val="clear" w:color="auto" w:fill="4F81BD" w:themeFill="accent1"/>
            <w:vAlign w:val="center"/>
            <w:hideMark/>
          </w:tcPr>
          <w:p w14:paraId="626236DA" w14:textId="77777777" w:rsidR="00692ED8" w:rsidRPr="005045BF" w:rsidRDefault="00692ED8" w:rsidP="003B4876">
            <w:pPr>
              <w:widowControl w:val="0"/>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w:t>
            </w:r>
          </w:p>
        </w:tc>
        <w:tc>
          <w:tcPr>
            <w:tcW w:w="1275" w:type="dxa"/>
            <w:shd w:val="clear" w:color="auto" w:fill="4F81BD" w:themeFill="accent1"/>
            <w:vAlign w:val="center"/>
            <w:hideMark/>
          </w:tcPr>
          <w:p w14:paraId="6CDF39F6" w14:textId="77777777" w:rsidR="00692ED8" w:rsidRPr="005045BF" w:rsidRDefault="00692ED8" w:rsidP="003B4876">
            <w:pPr>
              <w:widowControl w:val="0"/>
              <w:spacing w:before="8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w:t>
            </w:r>
          </w:p>
        </w:tc>
      </w:tr>
      <w:tr w:rsidR="00623A67" w:rsidRPr="005045BF" w14:paraId="524A869D" w14:textId="77777777" w:rsidTr="003B4876">
        <w:trPr>
          <w:cantSplit/>
          <w:jc w:val="center"/>
        </w:trPr>
        <w:tc>
          <w:tcPr>
            <w:cnfStyle w:val="001000000000" w:firstRow="0" w:lastRow="0" w:firstColumn="1" w:lastColumn="0" w:oddVBand="0" w:evenVBand="0" w:oddHBand="0" w:evenHBand="0" w:firstRowFirstColumn="0" w:firstRowLastColumn="0" w:lastRowFirstColumn="0" w:lastRowLastColumn="0"/>
            <w:tcW w:w="2699" w:type="dxa"/>
            <w:vAlign w:val="center"/>
            <w:hideMark/>
          </w:tcPr>
          <w:p w14:paraId="2EC6467C" w14:textId="0F8278DC" w:rsidR="001A1E85" w:rsidRPr="005045BF" w:rsidRDefault="001A1E85" w:rsidP="003B4876">
            <w:pPr>
              <w:widowControl w:val="0"/>
              <w:spacing w:before="80" w:after="60"/>
              <w:rPr>
                <w:rFonts w:ascii="Arial" w:hAnsi="Arial" w:cs="Arial"/>
                <w:b w:val="0"/>
                <w:bCs w:val="0"/>
                <w:color w:val="0F243E" w:themeColor="text2" w:themeShade="80"/>
                <w:sz w:val="20"/>
                <w:szCs w:val="20"/>
              </w:rPr>
            </w:pPr>
            <w:r w:rsidRPr="005045BF">
              <w:rPr>
                <w:rFonts w:ascii="Arial" w:hAnsi="Arial" w:cs="Arial"/>
                <w:color w:val="000000"/>
                <w:sz w:val="20"/>
                <w:szCs w:val="20"/>
              </w:rPr>
              <w:t>Copias</w:t>
            </w:r>
          </w:p>
        </w:tc>
        <w:tc>
          <w:tcPr>
            <w:tcW w:w="1984" w:type="dxa"/>
            <w:vAlign w:val="center"/>
            <w:hideMark/>
          </w:tcPr>
          <w:p w14:paraId="078AD0D4" w14:textId="27443D7A"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1.082 </w:t>
            </w:r>
          </w:p>
        </w:tc>
        <w:tc>
          <w:tcPr>
            <w:tcW w:w="1985" w:type="dxa"/>
            <w:vAlign w:val="center"/>
            <w:hideMark/>
          </w:tcPr>
          <w:p w14:paraId="7379F6F5" w14:textId="7FF72CCF"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242.455 </w:t>
            </w:r>
          </w:p>
        </w:tc>
        <w:tc>
          <w:tcPr>
            <w:tcW w:w="1276" w:type="dxa"/>
            <w:vAlign w:val="center"/>
            <w:hideMark/>
          </w:tcPr>
          <w:p w14:paraId="2903F9B6" w14:textId="224B4037"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(241.373)</w:t>
            </w:r>
          </w:p>
        </w:tc>
        <w:tc>
          <w:tcPr>
            <w:tcW w:w="1275" w:type="dxa"/>
            <w:vAlign w:val="center"/>
            <w:hideMark/>
          </w:tcPr>
          <w:p w14:paraId="188F7364" w14:textId="2F4A5B99" w:rsidR="001A1E85" w:rsidRPr="005045BF" w:rsidRDefault="000429BA"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w:t>
            </w:r>
            <w:r w:rsidR="001A1E85" w:rsidRPr="005045BF">
              <w:rPr>
                <w:rFonts w:ascii="Arial" w:hAnsi="Arial" w:cs="Arial"/>
                <w:color w:val="0F243E"/>
                <w:sz w:val="20"/>
                <w:szCs w:val="20"/>
              </w:rPr>
              <w:t>99,6%</w:t>
            </w:r>
            <w:r w:rsidRPr="005045BF">
              <w:rPr>
                <w:rFonts w:ascii="Arial" w:hAnsi="Arial" w:cs="Arial"/>
                <w:color w:val="0F243E"/>
                <w:sz w:val="20"/>
                <w:szCs w:val="20"/>
              </w:rPr>
              <w:t>)</w:t>
            </w:r>
          </w:p>
        </w:tc>
      </w:tr>
      <w:tr w:rsidR="00623A67" w:rsidRPr="005045BF" w14:paraId="7706CCD7" w14:textId="77777777" w:rsidTr="003B4876">
        <w:trPr>
          <w:cantSplit/>
          <w:jc w:val="center"/>
        </w:trPr>
        <w:tc>
          <w:tcPr>
            <w:cnfStyle w:val="001000000000" w:firstRow="0" w:lastRow="0" w:firstColumn="1" w:lastColumn="0" w:oddVBand="0" w:evenVBand="0" w:oddHBand="0" w:evenHBand="0" w:firstRowFirstColumn="0" w:firstRowLastColumn="0" w:lastRowFirstColumn="0" w:lastRowLastColumn="0"/>
            <w:tcW w:w="2699" w:type="dxa"/>
            <w:noWrap/>
            <w:vAlign w:val="center"/>
            <w:hideMark/>
          </w:tcPr>
          <w:p w14:paraId="101B1339" w14:textId="3CB6173D" w:rsidR="001A1E85" w:rsidRPr="005045BF" w:rsidRDefault="001A1E85" w:rsidP="003B4876">
            <w:pPr>
              <w:widowControl w:val="0"/>
              <w:spacing w:before="80" w:after="60"/>
              <w:rPr>
                <w:rFonts w:ascii="Arial" w:hAnsi="Arial" w:cs="Arial"/>
                <w:b w:val="0"/>
                <w:bCs w:val="0"/>
                <w:color w:val="0F243E" w:themeColor="text2" w:themeShade="80"/>
                <w:sz w:val="20"/>
                <w:szCs w:val="20"/>
              </w:rPr>
            </w:pPr>
            <w:r w:rsidRPr="005045BF">
              <w:rPr>
                <w:rFonts w:ascii="Arial" w:hAnsi="Arial" w:cs="Arial"/>
                <w:color w:val="0F243E"/>
                <w:sz w:val="20"/>
                <w:szCs w:val="20"/>
              </w:rPr>
              <w:t xml:space="preserve">Impresiones a Color </w:t>
            </w:r>
          </w:p>
        </w:tc>
        <w:tc>
          <w:tcPr>
            <w:tcW w:w="1984" w:type="dxa"/>
            <w:noWrap/>
            <w:vAlign w:val="center"/>
            <w:hideMark/>
          </w:tcPr>
          <w:p w14:paraId="79BD318B" w14:textId="761084EE"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7.174</w:t>
            </w:r>
          </w:p>
        </w:tc>
        <w:tc>
          <w:tcPr>
            <w:tcW w:w="1985" w:type="dxa"/>
            <w:noWrap/>
            <w:vAlign w:val="center"/>
            <w:hideMark/>
          </w:tcPr>
          <w:p w14:paraId="6A229868" w14:textId="1633A93B"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10.544</w:t>
            </w:r>
          </w:p>
        </w:tc>
        <w:tc>
          <w:tcPr>
            <w:tcW w:w="1276" w:type="dxa"/>
            <w:vAlign w:val="center"/>
            <w:hideMark/>
          </w:tcPr>
          <w:p w14:paraId="4C3DB1CF" w14:textId="4BF93F40"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(3.370)</w:t>
            </w:r>
          </w:p>
        </w:tc>
        <w:tc>
          <w:tcPr>
            <w:tcW w:w="1275" w:type="dxa"/>
            <w:vAlign w:val="center"/>
            <w:hideMark/>
          </w:tcPr>
          <w:p w14:paraId="75DB3ED8" w14:textId="6FC42F59" w:rsidR="001A1E85" w:rsidRPr="005045BF" w:rsidRDefault="000429BA"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w:t>
            </w:r>
            <w:r w:rsidR="001A1E85" w:rsidRPr="005045BF">
              <w:rPr>
                <w:rFonts w:ascii="Arial" w:hAnsi="Arial" w:cs="Arial"/>
                <w:color w:val="0F243E"/>
                <w:sz w:val="20"/>
                <w:szCs w:val="20"/>
              </w:rPr>
              <w:t>32,0%</w:t>
            </w:r>
            <w:r w:rsidRPr="005045BF">
              <w:rPr>
                <w:rFonts w:ascii="Arial" w:hAnsi="Arial" w:cs="Arial"/>
                <w:color w:val="0F243E"/>
                <w:sz w:val="20"/>
                <w:szCs w:val="20"/>
              </w:rPr>
              <w:t>)</w:t>
            </w:r>
          </w:p>
        </w:tc>
      </w:tr>
      <w:tr w:rsidR="00623A67" w:rsidRPr="005045BF" w14:paraId="2DEA6613" w14:textId="77777777" w:rsidTr="003B4876">
        <w:trPr>
          <w:cantSplit/>
          <w:jc w:val="center"/>
        </w:trPr>
        <w:tc>
          <w:tcPr>
            <w:cnfStyle w:val="001000000000" w:firstRow="0" w:lastRow="0" w:firstColumn="1" w:lastColumn="0" w:oddVBand="0" w:evenVBand="0" w:oddHBand="0" w:evenHBand="0" w:firstRowFirstColumn="0" w:firstRowLastColumn="0" w:lastRowFirstColumn="0" w:lastRowLastColumn="0"/>
            <w:tcW w:w="2699" w:type="dxa"/>
            <w:tcBorders>
              <w:bottom w:val="double" w:sz="4" w:space="0" w:color="4F81BD" w:themeColor="accent1"/>
            </w:tcBorders>
            <w:noWrap/>
            <w:vAlign w:val="center"/>
            <w:hideMark/>
          </w:tcPr>
          <w:p w14:paraId="5AED555B" w14:textId="43C1E57E" w:rsidR="001A1E85" w:rsidRPr="005045BF" w:rsidRDefault="001A1E85" w:rsidP="003B4876">
            <w:pPr>
              <w:widowControl w:val="0"/>
              <w:spacing w:before="80" w:after="60"/>
              <w:rPr>
                <w:rFonts w:ascii="Arial" w:hAnsi="Arial" w:cs="Arial"/>
                <w:b w:val="0"/>
                <w:bCs w:val="0"/>
                <w:color w:val="0F243E" w:themeColor="text2" w:themeShade="80"/>
                <w:sz w:val="20"/>
                <w:szCs w:val="20"/>
              </w:rPr>
            </w:pPr>
            <w:r w:rsidRPr="005045BF">
              <w:rPr>
                <w:rFonts w:ascii="Arial" w:hAnsi="Arial" w:cs="Arial"/>
                <w:color w:val="000000"/>
                <w:sz w:val="20"/>
                <w:szCs w:val="20"/>
              </w:rPr>
              <w:t>Impresiones a Blanco y Negro</w:t>
            </w:r>
          </w:p>
        </w:tc>
        <w:tc>
          <w:tcPr>
            <w:tcW w:w="1984" w:type="dxa"/>
            <w:tcBorders>
              <w:bottom w:val="double" w:sz="4" w:space="0" w:color="4F81BD" w:themeColor="accent1"/>
            </w:tcBorders>
            <w:noWrap/>
            <w:vAlign w:val="center"/>
            <w:hideMark/>
          </w:tcPr>
          <w:p w14:paraId="5DF06AA2" w14:textId="487F09F1"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707.285 </w:t>
            </w:r>
          </w:p>
        </w:tc>
        <w:tc>
          <w:tcPr>
            <w:tcW w:w="1985" w:type="dxa"/>
            <w:tcBorders>
              <w:bottom w:val="double" w:sz="4" w:space="0" w:color="4F81BD" w:themeColor="accent1"/>
            </w:tcBorders>
            <w:noWrap/>
            <w:vAlign w:val="center"/>
            <w:hideMark/>
          </w:tcPr>
          <w:p w14:paraId="6B37BC3D" w14:textId="4CAD4F6C"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 xml:space="preserve">892.935 </w:t>
            </w:r>
          </w:p>
        </w:tc>
        <w:tc>
          <w:tcPr>
            <w:tcW w:w="1276" w:type="dxa"/>
            <w:tcBorders>
              <w:bottom w:val="double" w:sz="4" w:space="0" w:color="4F81BD" w:themeColor="accent1"/>
            </w:tcBorders>
            <w:vAlign w:val="center"/>
            <w:hideMark/>
          </w:tcPr>
          <w:p w14:paraId="543D65DF" w14:textId="5FC0A779"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(185.650)</w:t>
            </w:r>
          </w:p>
        </w:tc>
        <w:tc>
          <w:tcPr>
            <w:tcW w:w="1275" w:type="dxa"/>
            <w:tcBorders>
              <w:bottom w:val="double" w:sz="4" w:space="0" w:color="4F81BD" w:themeColor="accent1"/>
            </w:tcBorders>
            <w:vAlign w:val="center"/>
            <w:hideMark/>
          </w:tcPr>
          <w:p w14:paraId="527A03A3" w14:textId="22A2BBD5" w:rsidR="001A1E85" w:rsidRPr="005045BF" w:rsidRDefault="000429BA"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w:t>
            </w:r>
            <w:r w:rsidR="001A1E85" w:rsidRPr="005045BF">
              <w:rPr>
                <w:rFonts w:ascii="Arial" w:hAnsi="Arial" w:cs="Arial"/>
                <w:color w:val="0F243E"/>
                <w:sz w:val="20"/>
                <w:szCs w:val="20"/>
              </w:rPr>
              <w:t>20,8%</w:t>
            </w:r>
            <w:r w:rsidRPr="005045BF">
              <w:rPr>
                <w:rFonts w:ascii="Arial" w:hAnsi="Arial" w:cs="Arial"/>
                <w:color w:val="0F243E"/>
                <w:sz w:val="20"/>
                <w:szCs w:val="20"/>
              </w:rPr>
              <w:t>)</w:t>
            </w:r>
          </w:p>
        </w:tc>
      </w:tr>
      <w:tr w:rsidR="00623A67" w:rsidRPr="005045BF" w14:paraId="795A5207" w14:textId="77777777" w:rsidTr="003B4876">
        <w:trPr>
          <w:cantSplit/>
          <w:trHeight w:val="406"/>
          <w:jc w:val="center"/>
        </w:trPr>
        <w:tc>
          <w:tcPr>
            <w:cnfStyle w:val="001000000000" w:firstRow="0" w:lastRow="0" w:firstColumn="1" w:lastColumn="0" w:oddVBand="0" w:evenVBand="0" w:oddHBand="0" w:evenHBand="0" w:firstRowFirstColumn="0" w:firstRowLastColumn="0" w:lastRowFirstColumn="0" w:lastRowLastColumn="0"/>
            <w:tcW w:w="2699" w:type="dxa"/>
            <w:tcBorders>
              <w:top w:val="double" w:sz="4" w:space="0" w:color="4F81BD" w:themeColor="accent1"/>
              <w:bottom w:val="double" w:sz="4" w:space="0" w:color="4F81BD" w:themeColor="accent1"/>
            </w:tcBorders>
            <w:noWrap/>
            <w:vAlign w:val="center"/>
            <w:hideMark/>
          </w:tcPr>
          <w:p w14:paraId="145AA2EC" w14:textId="77777777" w:rsidR="001A1E85" w:rsidRPr="005045BF" w:rsidRDefault="001A1E85" w:rsidP="003B4876">
            <w:pPr>
              <w:widowControl w:val="0"/>
              <w:spacing w:before="80" w:after="6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Total Número de Páginas </w:t>
            </w:r>
          </w:p>
        </w:tc>
        <w:tc>
          <w:tcPr>
            <w:tcW w:w="1984" w:type="dxa"/>
            <w:tcBorders>
              <w:top w:val="double" w:sz="4" w:space="0" w:color="4F81BD" w:themeColor="accent1"/>
              <w:bottom w:val="double" w:sz="4" w:space="0" w:color="4F81BD" w:themeColor="accent1"/>
            </w:tcBorders>
            <w:noWrap/>
            <w:vAlign w:val="center"/>
            <w:hideMark/>
          </w:tcPr>
          <w:p w14:paraId="7428FE2A" w14:textId="50D2D926"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715.541</w:t>
            </w:r>
          </w:p>
        </w:tc>
        <w:tc>
          <w:tcPr>
            <w:tcW w:w="1985" w:type="dxa"/>
            <w:tcBorders>
              <w:top w:val="double" w:sz="4" w:space="0" w:color="4F81BD" w:themeColor="accent1"/>
              <w:bottom w:val="double" w:sz="4" w:space="0" w:color="4F81BD" w:themeColor="accent1"/>
            </w:tcBorders>
            <w:noWrap/>
            <w:vAlign w:val="center"/>
            <w:hideMark/>
          </w:tcPr>
          <w:p w14:paraId="63AB8791" w14:textId="3908E2D2"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1.145.934</w:t>
            </w:r>
          </w:p>
        </w:tc>
        <w:tc>
          <w:tcPr>
            <w:tcW w:w="1276" w:type="dxa"/>
            <w:tcBorders>
              <w:top w:val="double" w:sz="4" w:space="0" w:color="4F81BD" w:themeColor="accent1"/>
              <w:bottom w:val="double" w:sz="4" w:space="0" w:color="4F81BD" w:themeColor="accent1"/>
            </w:tcBorders>
            <w:noWrap/>
            <w:vAlign w:val="center"/>
            <w:hideMark/>
          </w:tcPr>
          <w:p w14:paraId="467CBEAF" w14:textId="294A5BB3"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(430.393)</w:t>
            </w:r>
          </w:p>
        </w:tc>
        <w:tc>
          <w:tcPr>
            <w:tcW w:w="1275" w:type="dxa"/>
            <w:tcBorders>
              <w:top w:val="double" w:sz="4" w:space="0" w:color="4F81BD" w:themeColor="accent1"/>
              <w:bottom w:val="double" w:sz="4" w:space="0" w:color="4F81BD" w:themeColor="accent1"/>
            </w:tcBorders>
            <w:noWrap/>
            <w:vAlign w:val="center"/>
            <w:hideMark/>
          </w:tcPr>
          <w:p w14:paraId="3AAC26D3" w14:textId="39023B64" w:rsidR="001A1E85" w:rsidRPr="005045BF" w:rsidRDefault="001A1E85" w:rsidP="003B4876">
            <w:pPr>
              <w:widowControl w:val="0"/>
              <w:spacing w:before="8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(38%)</w:t>
            </w:r>
          </w:p>
        </w:tc>
      </w:tr>
    </w:tbl>
    <w:tbl>
      <w:tblPr>
        <w:tblW w:w="9639" w:type="dxa"/>
        <w:tblLayout w:type="fixed"/>
        <w:tblCellMar>
          <w:left w:w="70" w:type="dxa"/>
          <w:right w:w="70" w:type="dxa"/>
        </w:tblCellMar>
        <w:tblLook w:val="04A0" w:firstRow="1" w:lastRow="0" w:firstColumn="1" w:lastColumn="0" w:noHBand="0" w:noVBand="1"/>
      </w:tblPr>
      <w:tblGrid>
        <w:gridCol w:w="5038"/>
        <w:gridCol w:w="4601"/>
      </w:tblGrid>
      <w:tr w:rsidR="003B4876" w:rsidRPr="005045BF" w14:paraId="56B9D0C9" w14:textId="77777777" w:rsidTr="00E2251A">
        <w:trPr>
          <w:cantSplit/>
          <w:trHeight w:val="4023"/>
        </w:trPr>
        <w:tc>
          <w:tcPr>
            <w:tcW w:w="5038" w:type="dxa"/>
            <w:shd w:val="clear" w:color="auto" w:fill="auto"/>
            <w:noWrap/>
            <w:hideMark/>
          </w:tcPr>
          <w:tbl>
            <w:tblPr>
              <w:tblW w:w="0" w:type="auto"/>
              <w:tblCellSpacing w:w="0" w:type="dxa"/>
              <w:tblLayout w:type="fixed"/>
              <w:tblCellMar>
                <w:left w:w="70" w:type="dxa"/>
                <w:right w:w="70" w:type="dxa"/>
              </w:tblCellMar>
              <w:tblLook w:val="04A0" w:firstRow="1" w:lastRow="0" w:firstColumn="1" w:lastColumn="0" w:noHBand="0" w:noVBand="1"/>
            </w:tblPr>
            <w:tblGrid>
              <w:gridCol w:w="5320"/>
            </w:tblGrid>
            <w:tr w:rsidR="003B4876" w:rsidRPr="005045BF" w14:paraId="186E8DCE" w14:textId="77777777" w:rsidTr="00E2251A">
              <w:trPr>
                <w:trHeight w:val="4725"/>
                <w:tblCellSpacing w:w="0" w:type="dxa"/>
              </w:trPr>
              <w:tc>
                <w:tcPr>
                  <w:tcW w:w="5320" w:type="dxa"/>
                  <w:tcBorders>
                    <w:top w:val="nil"/>
                    <w:left w:val="nil"/>
                    <w:bottom w:val="nil"/>
                    <w:right w:val="nil"/>
                  </w:tcBorders>
                  <w:shd w:val="clear" w:color="auto" w:fill="auto"/>
                  <w:noWrap/>
                  <w:vAlign w:val="bottom"/>
                  <w:hideMark/>
                </w:tcPr>
                <w:p w14:paraId="6F8D3D1E" w14:textId="77777777" w:rsidR="003B4876" w:rsidRPr="005045BF" w:rsidRDefault="003B4876" w:rsidP="00E2251A">
                  <w:pPr>
                    <w:pStyle w:val="Ttulo1"/>
                    <w:rPr>
                      <w:lang w:val="es-CO"/>
                    </w:rPr>
                  </w:pPr>
                  <w:r w:rsidRPr="005045BF">
                    <w:rPr>
                      <w:noProof/>
                      <w:lang w:val="es-CO"/>
                    </w:rPr>
                    <w:drawing>
                      <wp:inline distT="0" distB="0" distL="0" distR="0" wp14:anchorId="318B8677" wp14:editId="24A4CA67">
                        <wp:extent cx="3067050" cy="2714625"/>
                        <wp:effectExtent l="0" t="0" r="0" b="0"/>
                        <wp:docPr id="23" name="Gráfico 23">
                          <a:extLst xmlns:a="http://schemas.openxmlformats.org/drawingml/2006/main">
                            <a:ext uri="{FF2B5EF4-FFF2-40B4-BE49-F238E27FC236}">
                              <a16:creationId xmlns:a16="http://schemas.microsoft.com/office/drawing/2014/main" id="{644F5D52-617D-4FEC-BE63-8881B90A6A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bl>
          <w:p w14:paraId="6442CC82" w14:textId="77777777" w:rsidR="003B4876" w:rsidRPr="005045BF" w:rsidRDefault="003B4876" w:rsidP="00E2251A">
            <w:pPr>
              <w:rPr>
                <w:rFonts w:ascii="Calibri" w:hAnsi="Calibri" w:cs="Calibri"/>
                <w:color w:val="000000"/>
                <w:sz w:val="22"/>
                <w:szCs w:val="22"/>
              </w:rPr>
            </w:pPr>
          </w:p>
        </w:tc>
        <w:tc>
          <w:tcPr>
            <w:tcW w:w="4601" w:type="dxa"/>
          </w:tcPr>
          <w:p w14:paraId="71AC8BAA" w14:textId="77777777" w:rsidR="003B4876" w:rsidRPr="005045BF" w:rsidRDefault="003B4876" w:rsidP="00E2251A">
            <w:pPr>
              <w:jc w:val="both"/>
              <w:rPr>
                <w:rFonts w:ascii="Arial" w:hAnsi="Arial" w:cs="Arial"/>
                <w:color w:val="000000"/>
                <w:sz w:val="22"/>
                <w:szCs w:val="22"/>
              </w:rPr>
            </w:pPr>
          </w:p>
          <w:p w14:paraId="0376DCF1" w14:textId="77777777" w:rsidR="003B4876" w:rsidRPr="005045BF" w:rsidRDefault="003B4876" w:rsidP="00E2251A">
            <w:pPr>
              <w:spacing w:after="200" w:line="276" w:lineRule="auto"/>
              <w:jc w:val="both"/>
              <w:rPr>
                <w:rFonts w:ascii="Arial" w:hAnsi="Arial" w:cs="Arial"/>
                <w:color w:val="000000"/>
                <w:sz w:val="22"/>
                <w:szCs w:val="22"/>
              </w:rPr>
            </w:pPr>
          </w:p>
          <w:p w14:paraId="47BB628F" w14:textId="77777777" w:rsidR="003B4876" w:rsidRPr="005045BF" w:rsidRDefault="003B4876" w:rsidP="00E2251A">
            <w:pPr>
              <w:spacing w:after="200" w:line="276" w:lineRule="auto"/>
              <w:jc w:val="both"/>
              <w:rPr>
                <w:rFonts w:ascii="Arial" w:hAnsi="Arial" w:cs="Arial"/>
                <w:color w:val="000000"/>
                <w:sz w:val="22"/>
                <w:szCs w:val="22"/>
              </w:rPr>
            </w:pPr>
          </w:p>
          <w:p w14:paraId="0206B77C" w14:textId="1CCFC694" w:rsidR="003B4876" w:rsidRPr="005045BF" w:rsidRDefault="003B4876" w:rsidP="00E2251A">
            <w:pPr>
              <w:spacing w:after="200" w:line="276" w:lineRule="auto"/>
              <w:jc w:val="both"/>
            </w:pPr>
            <w:r w:rsidRPr="005045BF">
              <w:rPr>
                <w:rFonts w:ascii="Arial" w:hAnsi="Arial" w:cs="Arial"/>
                <w:color w:val="000000"/>
                <w:sz w:val="22"/>
                <w:szCs w:val="22"/>
              </w:rPr>
              <w:t>Al realizar la consulta del consumo de servicios digitales utilizados durante el primer trimestre de 2020, se logró determinar que, de la totalidad de páginas utilizadas [715.541], el 98,8% correspondió a impresiones a blanco y negro. Caso contrario, se presentó para las impresiones a color [1%] y copias [0,2%], los cuales se ubicaron como los conceptos con menos consumo durante el trimestre analizado</w:t>
            </w:r>
            <w:r w:rsidRPr="005045BF">
              <w:rPr>
                <w:rFonts w:ascii="Calibri" w:hAnsi="Calibri" w:cs="Calibri"/>
                <w:color w:val="000000"/>
                <w:sz w:val="22"/>
                <w:szCs w:val="22"/>
              </w:rPr>
              <w:t xml:space="preserve">. </w:t>
            </w:r>
          </w:p>
        </w:tc>
      </w:tr>
    </w:tbl>
    <w:p w14:paraId="7A3D12BE" w14:textId="1404FF1C" w:rsidR="003B4876" w:rsidRPr="005045BF" w:rsidRDefault="003B4876" w:rsidP="00172E1D">
      <w:pPr>
        <w:widowControl w:val="0"/>
        <w:jc w:val="both"/>
        <w:rPr>
          <w:rFonts w:ascii="Arial" w:hAnsi="Arial" w:cs="Arial"/>
          <w:sz w:val="22"/>
          <w:szCs w:val="22"/>
        </w:rPr>
      </w:pPr>
    </w:p>
    <w:p w14:paraId="52189E5F" w14:textId="1C4C1C0B" w:rsidR="00172E1D" w:rsidRPr="005045BF" w:rsidRDefault="00A775C5" w:rsidP="00172E1D">
      <w:pPr>
        <w:widowControl w:val="0"/>
        <w:jc w:val="both"/>
        <w:rPr>
          <w:rFonts w:ascii="Arial" w:hAnsi="Arial" w:cs="Arial"/>
          <w:sz w:val="22"/>
          <w:szCs w:val="22"/>
        </w:rPr>
      </w:pPr>
      <w:r w:rsidRPr="005045BF">
        <w:rPr>
          <w:rFonts w:ascii="Arial" w:hAnsi="Arial" w:cs="Arial"/>
          <w:sz w:val="22"/>
          <w:szCs w:val="22"/>
        </w:rPr>
        <w:t>R</w:t>
      </w:r>
      <w:r w:rsidR="00172E1D" w:rsidRPr="005045BF">
        <w:rPr>
          <w:rFonts w:ascii="Arial" w:hAnsi="Arial" w:cs="Arial"/>
          <w:sz w:val="22"/>
          <w:szCs w:val="22"/>
        </w:rPr>
        <w:t xml:space="preserve">eferente al costo del consumo de </w:t>
      </w:r>
      <w:r w:rsidR="00EF7D69" w:rsidRPr="005045BF">
        <w:rPr>
          <w:rFonts w:ascii="Arial" w:hAnsi="Arial" w:cs="Arial"/>
          <w:sz w:val="22"/>
          <w:szCs w:val="22"/>
        </w:rPr>
        <w:t xml:space="preserve">servicios digitales durante </w:t>
      </w:r>
      <w:r w:rsidR="00172E1D" w:rsidRPr="005045BF">
        <w:rPr>
          <w:rFonts w:ascii="Arial" w:hAnsi="Arial" w:cs="Arial"/>
          <w:sz w:val="22"/>
          <w:szCs w:val="22"/>
        </w:rPr>
        <w:t xml:space="preserve">el </w:t>
      </w:r>
      <w:r w:rsidR="00EF7D69" w:rsidRPr="005045BF">
        <w:rPr>
          <w:rFonts w:ascii="Arial" w:hAnsi="Arial" w:cs="Arial"/>
          <w:sz w:val="22"/>
          <w:szCs w:val="22"/>
        </w:rPr>
        <w:t xml:space="preserve">primer </w:t>
      </w:r>
      <w:r w:rsidR="00172E1D" w:rsidRPr="005045BF">
        <w:rPr>
          <w:rFonts w:ascii="Arial" w:hAnsi="Arial" w:cs="Arial"/>
          <w:sz w:val="22"/>
          <w:szCs w:val="22"/>
        </w:rPr>
        <w:t>trimestre de 20</w:t>
      </w:r>
      <w:r w:rsidR="00EF7D69" w:rsidRPr="005045BF">
        <w:rPr>
          <w:rFonts w:ascii="Arial" w:hAnsi="Arial" w:cs="Arial"/>
          <w:sz w:val="22"/>
          <w:szCs w:val="22"/>
        </w:rPr>
        <w:t>20</w:t>
      </w:r>
      <w:r w:rsidR="00172E1D" w:rsidRPr="005045BF">
        <w:rPr>
          <w:rFonts w:ascii="Arial" w:hAnsi="Arial" w:cs="Arial"/>
          <w:sz w:val="22"/>
          <w:szCs w:val="22"/>
        </w:rPr>
        <w:t xml:space="preserve"> comparado con mismo periodo de 201</w:t>
      </w:r>
      <w:r w:rsidR="00EF7D69" w:rsidRPr="005045BF">
        <w:rPr>
          <w:rFonts w:ascii="Arial" w:hAnsi="Arial" w:cs="Arial"/>
          <w:sz w:val="22"/>
          <w:szCs w:val="22"/>
        </w:rPr>
        <w:t>9</w:t>
      </w:r>
      <w:r w:rsidR="00172E1D" w:rsidRPr="005045BF">
        <w:rPr>
          <w:rFonts w:ascii="Arial" w:hAnsi="Arial" w:cs="Arial"/>
          <w:sz w:val="22"/>
          <w:szCs w:val="22"/>
        </w:rPr>
        <w:t xml:space="preserve">, se presentó una variación negativa correspondiente a una </w:t>
      </w:r>
      <w:r w:rsidR="00172E1D" w:rsidRPr="005045BF">
        <w:rPr>
          <w:rFonts w:ascii="Arial" w:hAnsi="Arial" w:cs="Arial"/>
          <w:b/>
          <w:bCs/>
          <w:sz w:val="22"/>
          <w:szCs w:val="22"/>
        </w:rPr>
        <w:t>disminución</w:t>
      </w:r>
      <w:r w:rsidR="00172E1D" w:rsidRPr="005045BF">
        <w:rPr>
          <w:rFonts w:ascii="Arial" w:hAnsi="Arial" w:cs="Arial"/>
          <w:sz w:val="22"/>
          <w:szCs w:val="22"/>
        </w:rPr>
        <w:t xml:space="preserve"> de $</w:t>
      </w:r>
      <w:r w:rsidR="00E4143B" w:rsidRPr="005045BF">
        <w:rPr>
          <w:rFonts w:ascii="Arial" w:hAnsi="Arial" w:cs="Arial"/>
          <w:sz w:val="22"/>
          <w:szCs w:val="22"/>
        </w:rPr>
        <w:t>65.380.678</w:t>
      </w:r>
      <w:r w:rsidR="00172E1D" w:rsidRPr="005045BF">
        <w:rPr>
          <w:rFonts w:ascii="Arial" w:hAnsi="Arial" w:cs="Arial"/>
          <w:sz w:val="22"/>
          <w:szCs w:val="22"/>
        </w:rPr>
        <w:t xml:space="preserve">, representando el </w:t>
      </w:r>
      <w:r w:rsidR="00E4143B" w:rsidRPr="005045BF">
        <w:rPr>
          <w:rFonts w:ascii="Arial" w:hAnsi="Arial" w:cs="Arial"/>
          <w:sz w:val="22"/>
          <w:szCs w:val="22"/>
        </w:rPr>
        <w:t>63</w:t>
      </w:r>
      <w:r w:rsidR="00172E1D" w:rsidRPr="005045BF">
        <w:rPr>
          <w:rFonts w:ascii="Arial" w:hAnsi="Arial" w:cs="Arial"/>
          <w:sz w:val="22"/>
          <w:szCs w:val="22"/>
        </w:rPr>
        <w:t xml:space="preserve">%. </w:t>
      </w:r>
    </w:p>
    <w:tbl>
      <w:tblPr>
        <w:tblW w:w="0" w:type="auto"/>
        <w:jc w:val="center"/>
        <w:tblCellMar>
          <w:left w:w="70" w:type="dxa"/>
          <w:right w:w="70" w:type="dxa"/>
        </w:tblCellMar>
        <w:tblLook w:val="04A0" w:firstRow="1" w:lastRow="0" w:firstColumn="1" w:lastColumn="0" w:noHBand="0" w:noVBand="1"/>
      </w:tblPr>
      <w:tblGrid>
        <w:gridCol w:w="1746"/>
        <w:gridCol w:w="1935"/>
        <w:gridCol w:w="1843"/>
        <w:gridCol w:w="1892"/>
        <w:gridCol w:w="1221"/>
      </w:tblGrid>
      <w:tr w:rsidR="00172E1D" w:rsidRPr="005045BF" w14:paraId="209786C6" w14:textId="77777777" w:rsidTr="00A775C5">
        <w:trPr>
          <w:trHeight w:val="315"/>
          <w:jc w:val="center"/>
        </w:trPr>
        <w:tc>
          <w:tcPr>
            <w:tcW w:w="8637" w:type="dxa"/>
            <w:gridSpan w:val="5"/>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7D437975" w14:textId="77777777"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lastRenderedPageBreak/>
              <w:t>Costo Comparativo por Trimestre ($)</w:t>
            </w:r>
          </w:p>
        </w:tc>
      </w:tr>
      <w:tr w:rsidR="00172E1D" w:rsidRPr="005045BF" w14:paraId="44D4B52E" w14:textId="77777777" w:rsidTr="00A775C5">
        <w:trPr>
          <w:trHeight w:val="330"/>
          <w:jc w:val="center"/>
        </w:trPr>
        <w:tc>
          <w:tcPr>
            <w:tcW w:w="1746" w:type="dxa"/>
            <w:vMerge w:val="restart"/>
            <w:tcBorders>
              <w:top w:val="nil"/>
              <w:left w:val="single" w:sz="8" w:space="0" w:color="B8CCE4"/>
              <w:bottom w:val="nil"/>
              <w:right w:val="single" w:sz="8" w:space="0" w:color="B8CCE4"/>
            </w:tcBorders>
            <w:shd w:val="clear" w:color="000000" w:fill="4F81BD"/>
            <w:vAlign w:val="center"/>
            <w:hideMark/>
          </w:tcPr>
          <w:p w14:paraId="701A2AC6" w14:textId="77777777"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Periodo</w:t>
            </w:r>
          </w:p>
        </w:tc>
        <w:tc>
          <w:tcPr>
            <w:tcW w:w="1935" w:type="dxa"/>
            <w:vMerge w:val="restart"/>
            <w:tcBorders>
              <w:top w:val="nil"/>
              <w:left w:val="single" w:sz="8" w:space="0" w:color="B8CCE4"/>
              <w:bottom w:val="nil"/>
              <w:right w:val="single" w:sz="8" w:space="0" w:color="B8CCE4"/>
            </w:tcBorders>
            <w:shd w:val="clear" w:color="000000" w:fill="4F81BD"/>
            <w:vAlign w:val="center"/>
            <w:hideMark/>
          </w:tcPr>
          <w:p w14:paraId="36E7EDC2" w14:textId="167122D2"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I</w:t>
            </w:r>
            <w:r w:rsidR="00A775C5" w:rsidRPr="005045BF">
              <w:rPr>
                <w:rFonts w:ascii="Arial" w:hAnsi="Arial" w:cs="Arial"/>
                <w:b/>
                <w:bCs/>
                <w:color w:val="FFFFFF" w:themeColor="background1"/>
                <w:sz w:val="20"/>
                <w:szCs w:val="20"/>
              </w:rPr>
              <w:t xml:space="preserve"> </w:t>
            </w:r>
            <w:r w:rsidRPr="005045BF">
              <w:rPr>
                <w:rFonts w:ascii="Arial" w:hAnsi="Arial" w:cs="Arial"/>
                <w:b/>
                <w:bCs/>
                <w:color w:val="FFFFFF" w:themeColor="background1"/>
                <w:sz w:val="20"/>
                <w:szCs w:val="20"/>
              </w:rPr>
              <w:t>Trimestre de 20</w:t>
            </w:r>
            <w:r w:rsidR="00A775C5" w:rsidRPr="005045BF">
              <w:rPr>
                <w:rFonts w:ascii="Arial" w:hAnsi="Arial" w:cs="Arial"/>
                <w:b/>
                <w:bCs/>
                <w:color w:val="FFFFFF" w:themeColor="background1"/>
                <w:sz w:val="20"/>
                <w:szCs w:val="20"/>
              </w:rPr>
              <w:t>20</w:t>
            </w:r>
            <w:r w:rsidRPr="005045BF">
              <w:rPr>
                <w:rFonts w:ascii="Arial" w:hAnsi="Arial" w:cs="Arial"/>
                <w:b/>
                <w:bCs/>
                <w:color w:val="FFFFFF" w:themeColor="background1"/>
                <w:sz w:val="20"/>
                <w:szCs w:val="20"/>
              </w:rPr>
              <w:t xml:space="preserve"> </w:t>
            </w:r>
          </w:p>
        </w:tc>
        <w:tc>
          <w:tcPr>
            <w:tcW w:w="1843" w:type="dxa"/>
            <w:vMerge w:val="restart"/>
            <w:tcBorders>
              <w:top w:val="nil"/>
              <w:left w:val="single" w:sz="8" w:space="0" w:color="B8CCE4"/>
              <w:bottom w:val="nil"/>
              <w:right w:val="single" w:sz="8" w:space="0" w:color="B8CCE4"/>
            </w:tcBorders>
            <w:shd w:val="clear" w:color="000000" w:fill="4F81BD"/>
            <w:vAlign w:val="center"/>
            <w:hideMark/>
          </w:tcPr>
          <w:p w14:paraId="7A9900D1" w14:textId="03A14CB5"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I Trimestre de 201</w:t>
            </w:r>
            <w:r w:rsidR="00A775C5" w:rsidRPr="005045BF">
              <w:rPr>
                <w:rFonts w:ascii="Arial" w:hAnsi="Arial" w:cs="Arial"/>
                <w:b/>
                <w:bCs/>
                <w:color w:val="FFFFFF" w:themeColor="background1"/>
                <w:sz w:val="20"/>
                <w:szCs w:val="20"/>
              </w:rPr>
              <w:t>9</w:t>
            </w:r>
          </w:p>
        </w:tc>
        <w:tc>
          <w:tcPr>
            <w:tcW w:w="3113" w:type="dxa"/>
            <w:gridSpan w:val="2"/>
            <w:tcBorders>
              <w:top w:val="single" w:sz="12" w:space="0" w:color="95B3D7"/>
              <w:left w:val="nil"/>
              <w:bottom w:val="single" w:sz="8" w:space="0" w:color="B8CCE4"/>
              <w:right w:val="single" w:sz="8" w:space="0" w:color="B8CCE4"/>
            </w:tcBorders>
            <w:shd w:val="clear" w:color="000000" w:fill="4F81BD"/>
            <w:vAlign w:val="center"/>
            <w:hideMark/>
          </w:tcPr>
          <w:p w14:paraId="5AC14DDB" w14:textId="77777777"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Variaciones</w:t>
            </w:r>
          </w:p>
        </w:tc>
      </w:tr>
      <w:tr w:rsidR="00172E1D" w:rsidRPr="005045BF" w14:paraId="10C2912E" w14:textId="77777777" w:rsidTr="00A775C5">
        <w:trPr>
          <w:trHeight w:val="300"/>
          <w:jc w:val="center"/>
        </w:trPr>
        <w:tc>
          <w:tcPr>
            <w:tcW w:w="1746" w:type="dxa"/>
            <w:vMerge/>
            <w:tcBorders>
              <w:top w:val="nil"/>
              <w:left w:val="single" w:sz="8" w:space="0" w:color="B8CCE4"/>
              <w:bottom w:val="nil"/>
              <w:right w:val="single" w:sz="8" w:space="0" w:color="B8CCE4"/>
            </w:tcBorders>
            <w:vAlign w:val="center"/>
            <w:hideMark/>
          </w:tcPr>
          <w:p w14:paraId="2F3791C2" w14:textId="77777777" w:rsidR="00172E1D" w:rsidRPr="005045BF" w:rsidRDefault="00172E1D" w:rsidP="002A730F">
            <w:pPr>
              <w:spacing w:before="60" w:after="80"/>
              <w:jc w:val="center"/>
              <w:rPr>
                <w:rFonts w:ascii="Arial" w:hAnsi="Arial" w:cs="Arial"/>
                <w:b/>
                <w:bCs/>
                <w:color w:val="FFFFFF" w:themeColor="background1"/>
                <w:sz w:val="20"/>
                <w:szCs w:val="20"/>
              </w:rPr>
            </w:pPr>
          </w:p>
        </w:tc>
        <w:tc>
          <w:tcPr>
            <w:tcW w:w="1935" w:type="dxa"/>
            <w:vMerge/>
            <w:tcBorders>
              <w:top w:val="nil"/>
              <w:left w:val="single" w:sz="8" w:space="0" w:color="B8CCE4"/>
              <w:bottom w:val="nil"/>
              <w:right w:val="single" w:sz="8" w:space="0" w:color="B8CCE4"/>
            </w:tcBorders>
            <w:vAlign w:val="center"/>
            <w:hideMark/>
          </w:tcPr>
          <w:p w14:paraId="01DF9679" w14:textId="77777777" w:rsidR="00172E1D" w:rsidRPr="005045BF" w:rsidRDefault="00172E1D" w:rsidP="002A730F">
            <w:pPr>
              <w:spacing w:before="60" w:after="80"/>
              <w:jc w:val="center"/>
              <w:rPr>
                <w:rFonts w:ascii="Arial" w:hAnsi="Arial" w:cs="Arial"/>
                <w:b/>
                <w:bCs/>
                <w:color w:val="FFFFFF" w:themeColor="background1"/>
                <w:sz w:val="20"/>
                <w:szCs w:val="20"/>
              </w:rPr>
            </w:pPr>
          </w:p>
        </w:tc>
        <w:tc>
          <w:tcPr>
            <w:tcW w:w="1843" w:type="dxa"/>
            <w:vMerge/>
            <w:tcBorders>
              <w:top w:val="nil"/>
              <w:left w:val="single" w:sz="8" w:space="0" w:color="B8CCE4"/>
              <w:bottom w:val="nil"/>
              <w:right w:val="single" w:sz="8" w:space="0" w:color="B8CCE4"/>
            </w:tcBorders>
            <w:vAlign w:val="center"/>
            <w:hideMark/>
          </w:tcPr>
          <w:p w14:paraId="799C4F02" w14:textId="77777777" w:rsidR="00172E1D" w:rsidRPr="005045BF" w:rsidRDefault="00172E1D" w:rsidP="002A730F">
            <w:pPr>
              <w:spacing w:before="60" w:after="80"/>
              <w:jc w:val="center"/>
              <w:rPr>
                <w:rFonts w:ascii="Arial" w:hAnsi="Arial" w:cs="Arial"/>
                <w:b/>
                <w:bCs/>
                <w:color w:val="FFFFFF" w:themeColor="background1"/>
                <w:sz w:val="20"/>
                <w:szCs w:val="20"/>
              </w:rPr>
            </w:pPr>
          </w:p>
        </w:tc>
        <w:tc>
          <w:tcPr>
            <w:tcW w:w="1892" w:type="dxa"/>
            <w:tcBorders>
              <w:top w:val="nil"/>
              <w:left w:val="nil"/>
              <w:bottom w:val="nil"/>
              <w:right w:val="single" w:sz="8" w:space="0" w:color="B8CCE4"/>
            </w:tcBorders>
            <w:shd w:val="clear" w:color="000000" w:fill="4F81BD"/>
            <w:vAlign w:val="center"/>
            <w:hideMark/>
          </w:tcPr>
          <w:p w14:paraId="7C9002A0" w14:textId="77777777"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221" w:type="dxa"/>
            <w:tcBorders>
              <w:top w:val="nil"/>
              <w:left w:val="nil"/>
              <w:bottom w:val="nil"/>
              <w:right w:val="single" w:sz="8" w:space="0" w:color="B8CCE4"/>
            </w:tcBorders>
            <w:shd w:val="clear" w:color="000000" w:fill="4F81BD"/>
            <w:vAlign w:val="center"/>
            <w:hideMark/>
          </w:tcPr>
          <w:p w14:paraId="3BC1B17B" w14:textId="77777777" w:rsidR="00172E1D" w:rsidRPr="005045BF" w:rsidRDefault="00172E1D" w:rsidP="002A730F">
            <w:pPr>
              <w:spacing w:before="60" w:after="80"/>
              <w:jc w:val="center"/>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r>
      <w:tr w:rsidR="00A775C5" w:rsidRPr="005045BF" w14:paraId="7C3DD93E" w14:textId="77777777" w:rsidTr="00A775C5">
        <w:trPr>
          <w:trHeight w:val="300"/>
          <w:jc w:val="center"/>
        </w:trPr>
        <w:tc>
          <w:tcPr>
            <w:tcW w:w="1746" w:type="dxa"/>
            <w:tcBorders>
              <w:top w:val="nil"/>
              <w:left w:val="nil"/>
              <w:bottom w:val="nil"/>
              <w:right w:val="nil"/>
            </w:tcBorders>
            <w:shd w:val="clear" w:color="auto" w:fill="auto"/>
            <w:noWrap/>
            <w:vAlign w:val="center"/>
            <w:hideMark/>
          </w:tcPr>
          <w:p w14:paraId="13484EDB" w14:textId="385960C7" w:rsidR="00A775C5" w:rsidRPr="005045BF" w:rsidRDefault="00A775C5" w:rsidP="002A730F">
            <w:pPr>
              <w:spacing w:before="60" w:after="8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Enero</w:t>
            </w:r>
          </w:p>
        </w:tc>
        <w:tc>
          <w:tcPr>
            <w:tcW w:w="1935" w:type="dxa"/>
            <w:tcBorders>
              <w:top w:val="nil"/>
              <w:left w:val="nil"/>
              <w:bottom w:val="nil"/>
              <w:right w:val="nil"/>
            </w:tcBorders>
            <w:shd w:val="clear" w:color="auto" w:fill="auto"/>
            <w:noWrap/>
            <w:vAlign w:val="center"/>
            <w:hideMark/>
          </w:tcPr>
          <w:p w14:paraId="5805E36D" w14:textId="2E533510"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11.222.502 </w:t>
            </w:r>
          </w:p>
        </w:tc>
        <w:tc>
          <w:tcPr>
            <w:tcW w:w="1843" w:type="dxa"/>
            <w:tcBorders>
              <w:top w:val="nil"/>
              <w:left w:val="nil"/>
              <w:bottom w:val="nil"/>
              <w:right w:val="nil"/>
            </w:tcBorders>
            <w:shd w:val="clear" w:color="auto" w:fill="auto"/>
            <w:noWrap/>
            <w:vAlign w:val="center"/>
            <w:hideMark/>
          </w:tcPr>
          <w:p w14:paraId="74F2AB74" w14:textId="0DF06C2C"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28.129.522 </w:t>
            </w:r>
          </w:p>
        </w:tc>
        <w:tc>
          <w:tcPr>
            <w:tcW w:w="1892" w:type="dxa"/>
            <w:tcBorders>
              <w:top w:val="nil"/>
              <w:left w:val="nil"/>
              <w:bottom w:val="nil"/>
              <w:right w:val="nil"/>
            </w:tcBorders>
            <w:shd w:val="clear" w:color="auto" w:fill="auto"/>
            <w:noWrap/>
            <w:vAlign w:val="center"/>
            <w:hideMark/>
          </w:tcPr>
          <w:p w14:paraId="1CA87FB2" w14:textId="1EE0CB13"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(16.907.020) </w:t>
            </w:r>
          </w:p>
        </w:tc>
        <w:tc>
          <w:tcPr>
            <w:tcW w:w="1221" w:type="dxa"/>
            <w:tcBorders>
              <w:top w:val="nil"/>
              <w:left w:val="nil"/>
              <w:bottom w:val="nil"/>
              <w:right w:val="nil"/>
            </w:tcBorders>
            <w:shd w:val="clear" w:color="auto" w:fill="auto"/>
            <w:noWrap/>
            <w:vAlign w:val="center"/>
            <w:hideMark/>
          </w:tcPr>
          <w:p w14:paraId="0737A191" w14:textId="43706872" w:rsidR="00A775C5" w:rsidRPr="005045BF" w:rsidRDefault="00E4143B" w:rsidP="002A730F">
            <w:pPr>
              <w:spacing w:before="6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A775C5" w:rsidRPr="005045BF">
              <w:rPr>
                <w:rFonts w:ascii="Arial" w:hAnsi="Arial" w:cs="Arial"/>
                <w:color w:val="0F243E" w:themeColor="text2" w:themeShade="80"/>
                <w:sz w:val="20"/>
                <w:szCs w:val="20"/>
              </w:rPr>
              <w:t>60%</w:t>
            </w:r>
            <w:r w:rsidRPr="005045BF">
              <w:rPr>
                <w:rFonts w:ascii="Arial" w:hAnsi="Arial" w:cs="Arial"/>
                <w:color w:val="0F243E" w:themeColor="text2" w:themeShade="80"/>
                <w:sz w:val="20"/>
                <w:szCs w:val="20"/>
              </w:rPr>
              <w:t>)</w:t>
            </w:r>
          </w:p>
        </w:tc>
      </w:tr>
      <w:tr w:rsidR="00A775C5" w:rsidRPr="005045BF" w14:paraId="7DBF71B5" w14:textId="77777777" w:rsidTr="00A775C5">
        <w:trPr>
          <w:trHeight w:val="300"/>
          <w:jc w:val="center"/>
        </w:trPr>
        <w:tc>
          <w:tcPr>
            <w:tcW w:w="1746" w:type="dxa"/>
            <w:tcBorders>
              <w:top w:val="nil"/>
              <w:left w:val="nil"/>
              <w:bottom w:val="nil"/>
              <w:right w:val="nil"/>
            </w:tcBorders>
            <w:shd w:val="clear" w:color="auto" w:fill="auto"/>
            <w:noWrap/>
            <w:vAlign w:val="bottom"/>
            <w:hideMark/>
          </w:tcPr>
          <w:p w14:paraId="6BC407BF" w14:textId="5A29BACF" w:rsidR="00A775C5" w:rsidRPr="005045BF" w:rsidRDefault="00A775C5" w:rsidP="002A730F">
            <w:pPr>
              <w:spacing w:before="60" w:after="80"/>
              <w:jc w:val="center"/>
              <w:rPr>
                <w:rFonts w:ascii="Arial" w:hAnsi="Arial" w:cs="Arial"/>
                <w:b/>
                <w:bCs/>
                <w:color w:val="0F243E" w:themeColor="text2" w:themeShade="80"/>
                <w:sz w:val="20"/>
                <w:szCs w:val="20"/>
              </w:rPr>
            </w:pPr>
            <w:r w:rsidRPr="005045BF">
              <w:rPr>
                <w:rFonts w:ascii="Arial" w:hAnsi="Arial" w:cs="Arial"/>
                <w:color w:val="0F243E" w:themeColor="text2" w:themeShade="80"/>
                <w:sz w:val="20"/>
                <w:szCs w:val="20"/>
              </w:rPr>
              <w:t>Febrero</w:t>
            </w:r>
          </w:p>
        </w:tc>
        <w:tc>
          <w:tcPr>
            <w:tcW w:w="1935" w:type="dxa"/>
            <w:tcBorders>
              <w:top w:val="nil"/>
              <w:left w:val="nil"/>
              <w:bottom w:val="nil"/>
              <w:right w:val="nil"/>
            </w:tcBorders>
            <w:shd w:val="clear" w:color="auto" w:fill="auto"/>
            <w:noWrap/>
            <w:vAlign w:val="bottom"/>
            <w:hideMark/>
          </w:tcPr>
          <w:p w14:paraId="5A6A1DB3" w14:textId="5557E371"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15.085.620 </w:t>
            </w:r>
          </w:p>
        </w:tc>
        <w:tc>
          <w:tcPr>
            <w:tcW w:w="1843" w:type="dxa"/>
            <w:tcBorders>
              <w:top w:val="nil"/>
              <w:left w:val="nil"/>
              <w:bottom w:val="nil"/>
              <w:right w:val="nil"/>
            </w:tcBorders>
            <w:shd w:val="clear" w:color="auto" w:fill="auto"/>
            <w:noWrap/>
            <w:vAlign w:val="bottom"/>
            <w:hideMark/>
          </w:tcPr>
          <w:p w14:paraId="34024AD9" w14:textId="5B729DB6"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36.772.070 </w:t>
            </w:r>
          </w:p>
        </w:tc>
        <w:tc>
          <w:tcPr>
            <w:tcW w:w="1892" w:type="dxa"/>
            <w:tcBorders>
              <w:top w:val="nil"/>
              <w:left w:val="nil"/>
              <w:bottom w:val="nil"/>
              <w:right w:val="nil"/>
            </w:tcBorders>
            <w:shd w:val="clear" w:color="auto" w:fill="auto"/>
            <w:noWrap/>
            <w:vAlign w:val="center"/>
            <w:hideMark/>
          </w:tcPr>
          <w:p w14:paraId="56FE331C" w14:textId="15BF458D"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w:t>
            </w:r>
            <w:r w:rsidR="00E4143B" w:rsidRPr="005045BF">
              <w:rPr>
                <w:rFonts w:ascii="Arial" w:hAnsi="Arial" w:cs="Arial"/>
                <w:color w:val="0F243E" w:themeColor="text2" w:themeShade="80"/>
                <w:sz w:val="20"/>
                <w:szCs w:val="20"/>
              </w:rPr>
              <w:t>(</w:t>
            </w:r>
            <w:r w:rsidRPr="005045BF">
              <w:rPr>
                <w:rFonts w:ascii="Arial" w:hAnsi="Arial" w:cs="Arial"/>
                <w:color w:val="0F243E" w:themeColor="text2" w:themeShade="80"/>
                <w:sz w:val="20"/>
                <w:szCs w:val="20"/>
              </w:rPr>
              <w:t>21.686.450</w:t>
            </w:r>
            <w:r w:rsidR="00E4143B" w:rsidRPr="005045BF">
              <w:rPr>
                <w:rFonts w:ascii="Arial" w:hAnsi="Arial" w:cs="Arial"/>
                <w:color w:val="0F243E" w:themeColor="text2" w:themeShade="80"/>
                <w:sz w:val="20"/>
                <w:szCs w:val="20"/>
              </w:rPr>
              <w:t>)</w:t>
            </w:r>
            <w:r w:rsidRPr="005045BF">
              <w:rPr>
                <w:rFonts w:ascii="Arial" w:hAnsi="Arial" w:cs="Arial"/>
                <w:color w:val="0F243E" w:themeColor="text2" w:themeShade="80"/>
                <w:sz w:val="20"/>
                <w:szCs w:val="20"/>
              </w:rPr>
              <w:t xml:space="preserve"> </w:t>
            </w:r>
          </w:p>
        </w:tc>
        <w:tc>
          <w:tcPr>
            <w:tcW w:w="1221" w:type="dxa"/>
            <w:tcBorders>
              <w:top w:val="nil"/>
              <w:left w:val="nil"/>
              <w:bottom w:val="nil"/>
              <w:right w:val="nil"/>
            </w:tcBorders>
            <w:shd w:val="clear" w:color="auto" w:fill="auto"/>
            <w:noWrap/>
            <w:vAlign w:val="center"/>
            <w:hideMark/>
          </w:tcPr>
          <w:p w14:paraId="70FB8F90" w14:textId="672C900A" w:rsidR="00A775C5" w:rsidRPr="005045BF" w:rsidRDefault="00E4143B" w:rsidP="002A730F">
            <w:pPr>
              <w:spacing w:before="6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A775C5" w:rsidRPr="005045BF">
              <w:rPr>
                <w:rFonts w:ascii="Arial" w:hAnsi="Arial" w:cs="Arial"/>
                <w:color w:val="0F243E" w:themeColor="text2" w:themeShade="80"/>
                <w:sz w:val="20"/>
                <w:szCs w:val="20"/>
              </w:rPr>
              <w:t>59%</w:t>
            </w:r>
            <w:r w:rsidRPr="005045BF">
              <w:rPr>
                <w:rFonts w:ascii="Arial" w:hAnsi="Arial" w:cs="Arial"/>
                <w:color w:val="0F243E" w:themeColor="text2" w:themeShade="80"/>
                <w:sz w:val="20"/>
                <w:szCs w:val="20"/>
              </w:rPr>
              <w:t>)</w:t>
            </w:r>
          </w:p>
        </w:tc>
      </w:tr>
      <w:tr w:rsidR="00A775C5" w:rsidRPr="005045BF" w14:paraId="4740EE8F" w14:textId="77777777" w:rsidTr="00A775C5">
        <w:trPr>
          <w:trHeight w:val="315"/>
          <w:jc w:val="center"/>
        </w:trPr>
        <w:tc>
          <w:tcPr>
            <w:tcW w:w="1746" w:type="dxa"/>
            <w:tcBorders>
              <w:top w:val="nil"/>
              <w:left w:val="nil"/>
              <w:bottom w:val="double" w:sz="6" w:space="0" w:color="4F81BD"/>
              <w:right w:val="nil"/>
            </w:tcBorders>
            <w:shd w:val="clear" w:color="auto" w:fill="auto"/>
            <w:noWrap/>
            <w:vAlign w:val="bottom"/>
            <w:hideMark/>
          </w:tcPr>
          <w:p w14:paraId="347A2A43" w14:textId="22BD1DB5" w:rsidR="00A775C5" w:rsidRPr="005045BF" w:rsidRDefault="00A775C5" w:rsidP="002A730F">
            <w:pPr>
              <w:spacing w:before="60" w:after="80"/>
              <w:jc w:val="center"/>
              <w:rPr>
                <w:rFonts w:ascii="Arial" w:hAnsi="Arial" w:cs="Arial"/>
                <w:b/>
                <w:bCs/>
                <w:color w:val="0F243E" w:themeColor="text2" w:themeShade="80"/>
                <w:sz w:val="20"/>
                <w:szCs w:val="20"/>
              </w:rPr>
            </w:pPr>
            <w:r w:rsidRPr="005045BF">
              <w:rPr>
                <w:rFonts w:ascii="Arial" w:hAnsi="Arial" w:cs="Arial"/>
                <w:color w:val="0F243E" w:themeColor="text2" w:themeShade="80"/>
                <w:sz w:val="20"/>
                <w:szCs w:val="20"/>
              </w:rPr>
              <w:t xml:space="preserve">Marzo </w:t>
            </w:r>
          </w:p>
        </w:tc>
        <w:tc>
          <w:tcPr>
            <w:tcW w:w="1935" w:type="dxa"/>
            <w:tcBorders>
              <w:top w:val="nil"/>
              <w:left w:val="nil"/>
              <w:bottom w:val="double" w:sz="4" w:space="0" w:color="4F81BD" w:themeColor="accent1"/>
              <w:right w:val="nil"/>
            </w:tcBorders>
            <w:shd w:val="clear" w:color="auto" w:fill="auto"/>
            <w:noWrap/>
            <w:vAlign w:val="bottom"/>
            <w:hideMark/>
          </w:tcPr>
          <w:p w14:paraId="4DB40968" w14:textId="5C753E38"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12.772.620 </w:t>
            </w:r>
          </w:p>
        </w:tc>
        <w:tc>
          <w:tcPr>
            <w:tcW w:w="1843" w:type="dxa"/>
            <w:tcBorders>
              <w:top w:val="nil"/>
              <w:left w:val="nil"/>
              <w:bottom w:val="double" w:sz="4" w:space="0" w:color="4F81BD" w:themeColor="accent1"/>
              <w:right w:val="nil"/>
            </w:tcBorders>
            <w:shd w:val="clear" w:color="auto" w:fill="auto"/>
            <w:noWrap/>
            <w:vAlign w:val="bottom"/>
            <w:hideMark/>
          </w:tcPr>
          <w:p w14:paraId="0ED9B60C" w14:textId="57194521"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39.559.828 </w:t>
            </w:r>
          </w:p>
        </w:tc>
        <w:tc>
          <w:tcPr>
            <w:tcW w:w="1892" w:type="dxa"/>
            <w:tcBorders>
              <w:top w:val="nil"/>
              <w:left w:val="nil"/>
              <w:bottom w:val="double" w:sz="4" w:space="0" w:color="4F81BD" w:themeColor="accent1"/>
              <w:right w:val="nil"/>
            </w:tcBorders>
            <w:shd w:val="clear" w:color="auto" w:fill="auto"/>
            <w:noWrap/>
            <w:vAlign w:val="center"/>
            <w:hideMark/>
          </w:tcPr>
          <w:p w14:paraId="5129A6FA" w14:textId="5A6A32AA" w:rsidR="00A775C5" w:rsidRPr="005045BF" w:rsidRDefault="00A775C5" w:rsidP="002A730F">
            <w:pPr>
              <w:spacing w:before="60" w:after="8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w:t>
            </w:r>
            <w:r w:rsidR="00E4143B" w:rsidRPr="005045BF">
              <w:rPr>
                <w:rFonts w:ascii="Arial" w:hAnsi="Arial" w:cs="Arial"/>
                <w:color w:val="0F243E" w:themeColor="text2" w:themeShade="80"/>
                <w:sz w:val="20"/>
                <w:szCs w:val="20"/>
              </w:rPr>
              <w:t>(</w:t>
            </w:r>
            <w:r w:rsidRPr="005045BF">
              <w:rPr>
                <w:rFonts w:ascii="Arial" w:hAnsi="Arial" w:cs="Arial"/>
                <w:color w:val="0F243E" w:themeColor="text2" w:themeShade="80"/>
                <w:sz w:val="20"/>
                <w:szCs w:val="20"/>
              </w:rPr>
              <w:t>26.787.208</w:t>
            </w:r>
            <w:r w:rsidR="00E4143B" w:rsidRPr="005045BF">
              <w:rPr>
                <w:rFonts w:ascii="Arial" w:hAnsi="Arial" w:cs="Arial"/>
                <w:color w:val="0F243E" w:themeColor="text2" w:themeShade="80"/>
                <w:sz w:val="20"/>
                <w:szCs w:val="20"/>
              </w:rPr>
              <w:t>)</w:t>
            </w:r>
            <w:r w:rsidRPr="005045BF">
              <w:rPr>
                <w:rFonts w:ascii="Arial" w:hAnsi="Arial" w:cs="Arial"/>
                <w:color w:val="0F243E" w:themeColor="text2" w:themeShade="80"/>
                <w:sz w:val="20"/>
                <w:szCs w:val="20"/>
              </w:rPr>
              <w:t xml:space="preserve"> </w:t>
            </w:r>
          </w:p>
        </w:tc>
        <w:tc>
          <w:tcPr>
            <w:tcW w:w="1221" w:type="dxa"/>
            <w:tcBorders>
              <w:top w:val="nil"/>
              <w:left w:val="nil"/>
              <w:bottom w:val="double" w:sz="4" w:space="0" w:color="4F81BD" w:themeColor="accent1"/>
              <w:right w:val="nil"/>
            </w:tcBorders>
            <w:shd w:val="clear" w:color="auto" w:fill="auto"/>
            <w:noWrap/>
            <w:vAlign w:val="center"/>
            <w:hideMark/>
          </w:tcPr>
          <w:p w14:paraId="45F79CA3" w14:textId="4A82B552" w:rsidR="00A775C5" w:rsidRPr="005045BF" w:rsidRDefault="00E4143B" w:rsidP="002A730F">
            <w:pPr>
              <w:spacing w:before="6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w:t>
            </w:r>
            <w:r w:rsidR="00A775C5" w:rsidRPr="005045BF">
              <w:rPr>
                <w:rFonts w:ascii="Arial" w:hAnsi="Arial" w:cs="Arial"/>
                <w:color w:val="0F243E" w:themeColor="text2" w:themeShade="80"/>
                <w:sz w:val="20"/>
                <w:szCs w:val="20"/>
              </w:rPr>
              <w:t>68%</w:t>
            </w:r>
            <w:r w:rsidRPr="005045BF">
              <w:rPr>
                <w:rFonts w:ascii="Arial" w:hAnsi="Arial" w:cs="Arial"/>
                <w:color w:val="0F243E" w:themeColor="text2" w:themeShade="80"/>
                <w:sz w:val="20"/>
                <w:szCs w:val="20"/>
              </w:rPr>
              <w:t>)</w:t>
            </w:r>
          </w:p>
        </w:tc>
      </w:tr>
      <w:tr w:rsidR="00A775C5" w:rsidRPr="005045BF" w14:paraId="7E370283" w14:textId="77777777" w:rsidTr="00A775C5">
        <w:trPr>
          <w:trHeight w:val="330"/>
          <w:jc w:val="center"/>
        </w:trPr>
        <w:tc>
          <w:tcPr>
            <w:tcW w:w="1746" w:type="dxa"/>
            <w:tcBorders>
              <w:top w:val="nil"/>
              <w:left w:val="nil"/>
              <w:bottom w:val="double" w:sz="6" w:space="0" w:color="4F81BD"/>
              <w:right w:val="nil"/>
            </w:tcBorders>
            <w:shd w:val="clear" w:color="auto" w:fill="auto"/>
            <w:noWrap/>
            <w:vAlign w:val="center"/>
            <w:hideMark/>
          </w:tcPr>
          <w:p w14:paraId="210CB985" w14:textId="77777777" w:rsidR="00A775C5" w:rsidRPr="005045BF" w:rsidRDefault="00A775C5" w:rsidP="002A730F">
            <w:pPr>
              <w:spacing w:before="60" w:after="8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Total</w:t>
            </w:r>
          </w:p>
        </w:tc>
        <w:tc>
          <w:tcPr>
            <w:tcW w:w="1935" w:type="dxa"/>
            <w:tcBorders>
              <w:top w:val="double" w:sz="4" w:space="0" w:color="4F81BD" w:themeColor="accent1"/>
              <w:left w:val="nil"/>
              <w:bottom w:val="double" w:sz="6" w:space="0" w:color="4F81BD"/>
              <w:right w:val="nil"/>
            </w:tcBorders>
            <w:shd w:val="clear" w:color="auto" w:fill="auto"/>
            <w:noWrap/>
            <w:vAlign w:val="bottom"/>
            <w:hideMark/>
          </w:tcPr>
          <w:p w14:paraId="0035E76E" w14:textId="03BFBCE7" w:rsidR="00A775C5" w:rsidRPr="005045BF" w:rsidRDefault="00A775C5" w:rsidP="002A730F">
            <w:pPr>
              <w:spacing w:before="60" w:after="80"/>
              <w:jc w:val="right"/>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39.080.742 </w:t>
            </w:r>
          </w:p>
        </w:tc>
        <w:tc>
          <w:tcPr>
            <w:tcW w:w="1843" w:type="dxa"/>
            <w:tcBorders>
              <w:top w:val="double" w:sz="4" w:space="0" w:color="4F81BD" w:themeColor="accent1"/>
              <w:left w:val="nil"/>
              <w:bottom w:val="double" w:sz="4" w:space="0" w:color="4F81BD" w:themeColor="accent1"/>
              <w:right w:val="nil"/>
            </w:tcBorders>
            <w:shd w:val="clear" w:color="auto" w:fill="auto"/>
            <w:noWrap/>
            <w:vAlign w:val="bottom"/>
            <w:hideMark/>
          </w:tcPr>
          <w:p w14:paraId="2EFC1EB5" w14:textId="6DBE9347" w:rsidR="00A775C5" w:rsidRPr="005045BF" w:rsidRDefault="00A775C5" w:rsidP="002A730F">
            <w:pPr>
              <w:spacing w:before="60" w:after="80"/>
              <w:jc w:val="right"/>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104.461.420 </w:t>
            </w:r>
          </w:p>
        </w:tc>
        <w:tc>
          <w:tcPr>
            <w:tcW w:w="1892" w:type="dxa"/>
            <w:tcBorders>
              <w:top w:val="double" w:sz="4" w:space="0" w:color="4F81BD" w:themeColor="accent1"/>
              <w:left w:val="nil"/>
              <w:bottom w:val="double" w:sz="4" w:space="0" w:color="4F81BD" w:themeColor="accent1"/>
              <w:right w:val="nil"/>
            </w:tcBorders>
            <w:shd w:val="clear" w:color="auto" w:fill="auto"/>
            <w:noWrap/>
            <w:vAlign w:val="bottom"/>
            <w:hideMark/>
          </w:tcPr>
          <w:p w14:paraId="1932E4FE" w14:textId="5987BBDD" w:rsidR="00A775C5" w:rsidRPr="005045BF" w:rsidRDefault="00E4143B" w:rsidP="002A730F">
            <w:pPr>
              <w:spacing w:before="60" w:after="80"/>
              <w:jc w:val="right"/>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(65.380.678)</w:t>
            </w:r>
            <w:r w:rsidR="00A775C5" w:rsidRPr="005045BF">
              <w:rPr>
                <w:rFonts w:ascii="Arial" w:hAnsi="Arial" w:cs="Arial"/>
                <w:b/>
                <w:bCs/>
                <w:color w:val="0F243E" w:themeColor="text2" w:themeShade="80"/>
                <w:sz w:val="20"/>
                <w:szCs w:val="20"/>
              </w:rPr>
              <w:t xml:space="preserve"> </w:t>
            </w:r>
          </w:p>
        </w:tc>
        <w:tc>
          <w:tcPr>
            <w:tcW w:w="1221" w:type="dxa"/>
            <w:tcBorders>
              <w:top w:val="double" w:sz="4" w:space="0" w:color="4F81BD" w:themeColor="accent1"/>
              <w:left w:val="nil"/>
              <w:bottom w:val="double" w:sz="4" w:space="0" w:color="4F81BD" w:themeColor="accent1"/>
              <w:right w:val="nil"/>
            </w:tcBorders>
            <w:shd w:val="clear" w:color="auto" w:fill="auto"/>
            <w:noWrap/>
            <w:vAlign w:val="bottom"/>
            <w:hideMark/>
          </w:tcPr>
          <w:p w14:paraId="5087A0F7" w14:textId="2E514254" w:rsidR="00A775C5" w:rsidRPr="005045BF" w:rsidRDefault="00E4143B" w:rsidP="002A730F">
            <w:pPr>
              <w:spacing w:before="60" w:after="8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A775C5" w:rsidRPr="005045BF">
              <w:rPr>
                <w:rFonts w:ascii="Arial" w:hAnsi="Arial" w:cs="Arial"/>
                <w:b/>
                <w:bCs/>
                <w:color w:val="0F243E" w:themeColor="text2" w:themeShade="80"/>
                <w:sz w:val="20"/>
                <w:szCs w:val="20"/>
              </w:rPr>
              <w:t>63%</w:t>
            </w:r>
            <w:r w:rsidRPr="005045BF">
              <w:rPr>
                <w:rFonts w:ascii="Arial" w:hAnsi="Arial" w:cs="Arial"/>
                <w:b/>
                <w:bCs/>
                <w:color w:val="0F243E" w:themeColor="text2" w:themeShade="80"/>
                <w:sz w:val="20"/>
                <w:szCs w:val="20"/>
              </w:rPr>
              <w:t>)</w:t>
            </w:r>
          </w:p>
        </w:tc>
      </w:tr>
    </w:tbl>
    <w:p w14:paraId="262E90B8" w14:textId="3D8E526A" w:rsidR="00A90FB0" w:rsidRDefault="00A90FB0" w:rsidP="0058466A">
      <w:pPr>
        <w:widowControl w:val="0"/>
        <w:jc w:val="both"/>
        <w:rPr>
          <w:rFonts w:ascii="Arial" w:hAnsi="Arial" w:cs="Arial"/>
          <w:color w:val="0F243E" w:themeColor="text2" w:themeShade="80"/>
          <w:sz w:val="22"/>
          <w:szCs w:val="22"/>
        </w:rPr>
      </w:pPr>
    </w:p>
    <w:p w14:paraId="17FC8813" w14:textId="77777777" w:rsidR="002A730F" w:rsidRPr="005045BF" w:rsidRDefault="002A730F" w:rsidP="0058466A">
      <w:pPr>
        <w:widowControl w:val="0"/>
        <w:jc w:val="both"/>
        <w:rPr>
          <w:rFonts w:ascii="Arial" w:hAnsi="Arial" w:cs="Arial"/>
          <w:color w:val="0F243E" w:themeColor="text2" w:themeShade="80"/>
          <w:sz w:val="22"/>
          <w:szCs w:val="22"/>
        </w:rPr>
      </w:pPr>
    </w:p>
    <w:p w14:paraId="66D68EE1" w14:textId="602C7FC5" w:rsidR="00DB1404" w:rsidRPr="005045BF" w:rsidRDefault="00DB1404" w:rsidP="0058466A">
      <w:pPr>
        <w:widowControl w:val="0"/>
        <w:jc w:val="both"/>
        <w:rPr>
          <w:rFonts w:ascii="Arial" w:hAnsi="Arial" w:cs="Arial"/>
          <w:sz w:val="22"/>
          <w:szCs w:val="22"/>
        </w:rPr>
      </w:pPr>
      <w:r w:rsidRPr="005045BF">
        <w:rPr>
          <w:rFonts w:ascii="Arial" w:hAnsi="Arial" w:cs="Arial"/>
          <w:color w:val="000000"/>
          <w:sz w:val="22"/>
          <w:szCs w:val="22"/>
        </w:rPr>
        <w:t xml:space="preserve">En lo que respecta a los consumos de papel realizados durante </w:t>
      </w:r>
      <w:r w:rsidR="002643D7" w:rsidRPr="005045BF">
        <w:rPr>
          <w:rFonts w:ascii="Arial" w:hAnsi="Arial" w:cs="Arial"/>
          <w:color w:val="000000"/>
          <w:sz w:val="22"/>
          <w:szCs w:val="22"/>
        </w:rPr>
        <w:t xml:space="preserve">el primer trimestre de 2020 </w:t>
      </w:r>
      <w:r w:rsidRPr="005045BF">
        <w:rPr>
          <w:rFonts w:ascii="Arial" w:hAnsi="Arial" w:cs="Arial"/>
          <w:color w:val="000000"/>
          <w:sz w:val="22"/>
          <w:szCs w:val="22"/>
        </w:rPr>
        <w:t>por cada una de</w:t>
      </w:r>
      <w:r w:rsidR="002643D7" w:rsidRPr="005045BF">
        <w:rPr>
          <w:rFonts w:ascii="Arial" w:hAnsi="Arial" w:cs="Arial"/>
          <w:color w:val="000000"/>
          <w:sz w:val="22"/>
          <w:szCs w:val="22"/>
        </w:rPr>
        <w:t xml:space="preserve"> </w:t>
      </w:r>
      <w:r w:rsidRPr="005045BF">
        <w:rPr>
          <w:rFonts w:ascii="Arial" w:hAnsi="Arial" w:cs="Arial"/>
          <w:color w:val="000000"/>
          <w:sz w:val="22"/>
          <w:szCs w:val="22"/>
        </w:rPr>
        <w:t xml:space="preserve">las dependencias de este Ministerio, </w:t>
      </w:r>
      <w:r w:rsidR="00E44CFA" w:rsidRPr="005045BF">
        <w:rPr>
          <w:rFonts w:ascii="Arial" w:hAnsi="Arial" w:cs="Arial"/>
          <w:color w:val="000000"/>
          <w:sz w:val="22"/>
          <w:szCs w:val="22"/>
        </w:rPr>
        <w:t xml:space="preserve">a </w:t>
      </w:r>
      <w:r w:rsidR="00D51F0B" w:rsidRPr="005045BF">
        <w:rPr>
          <w:rFonts w:ascii="Arial" w:hAnsi="Arial" w:cs="Arial"/>
          <w:color w:val="000000"/>
          <w:sz w:val="22"/>
          <w:szCs w:val="22"/>
        </w:rPr>
        <w:t>continuación,</w:t>
      </w:r>
      <w:r w:rsidR="00E44CFA" w:rsidRPr="005045BF">
        <w:rPr>
          <w:rFonts w:ascii="Arial" w:hAnsi="Arial" w:cs="Arial"/>
          <w:color w:val="000000"/>
          <w:sz w:val="22"/>
          <w:szCs w:val="22"/>
        </w:rPr>
        <w:t xml:space="preserve"> </w:t>
      </w:r>
      <w:r w:rsidRPr="005045BF">
        <w:rPr>
          <w:rFonts w:ascii="Arial" w:hAnsi="Arial" w:cs="Arial"/>
          <w:color w:val="000000"/>
          <w:sz w:val="22"/>
          <w:szCs w:val="22"/>
        </w:rPr>
        <w:t>se presenta</w:t>
      </w:r>
      <w:r w:rsidR="00920050" w:rsidRPr="005045BF">
        <w:rPr>
          <w:rFonts w:ascii="Arial" w:hAnsi="Arial" w:cs="Arial"/>
          <w:color w:val="000000"/>
          <w:sz w:val="22"/>
          <w:szCs w:val="22"/>
        </w:rPr>
        <w:t xml:space="preserve">n </w:t>
      </w:r>
      <w:r w:rsidR="002643D7" w:rsidRPr="005045BF">
        <w:rPr>
          <w:rFonts w:ascii="Arial" w:hAnsi="Arial" w:cs="Arial"/>
          <w:color w:val="000000"/>
          <w:sz w:val="22"/>
          <w:szCs w:val="22"/>
        </w:rPr>
        <w:t>12</w:t>
      </w:r>
      <w:r w:rsidR="00920050" w:rsidRPr="005045BF">
        <w:rPr>
          <w:rFonts w:ascii="Arial" w:hAnsi="Arial" w:cs="Arial"/>
          <w:color w:val="000000"/>
          <w:sz w:val="22"/>
          <w:szCs w:val="22"/>
        </w:rPr>
        <w:t xml:space="preserve"> </w:t>
      </w:r>
      <w:r w:rsidR="00EA028A" w:rsidRPr="005045BF">
        <w:rPr>
          <w:rFonts w:ascii="Arial" w:hAnsi="Arial" w:cs="Arial"/>
          <w:color w:val="000000"/>
          <w:sz w:val="22"/>
          <w:szCs w:val="22"/>
        </w:rPr>
        <w:t xml:space="preserve">de ellas, </w:t>
      </w:r>
      <w:r w:rsidR="00920050" w:rsidRPr="005045BF">
        <w:rPr>
          <w:rFonts w:ascii="Arial" w:hAnsi="Arial" w:cs="Arial"/>
          <w:color w:val="000000"/>
          <w:sz w:val="22"/>
          <w:szCs w:val="22"/>
        </w:rPr>
        <w:t xml:space="preserve">teniendo en cuenta los consumos </w:t>
      </w:r>
      <w:r w:rsidR="00E44CFA" w:rsidRPr="005045BF">
        <w:rPr>
          <w:rFonts w:ascii="Arial" w:hAnsi="Arial" w:cs="Arial"/>
          <w:color w:val="000000"/>
          <w:sz w:val="22"/>
          <w:szCs w:val="22"/>
        </w:rPr>
        <w:t>más representativo</w:t>
      </w:r>
      <w:r w:rsidR="00EA028A" w:rsidRPr="005045BF">
        <w:rPr>
          <w:rFonts w:ascii="Arial" w:hAnsi="Arial" w:cs="Arial"/>
          <w:color w:val="000000"/>
          <w:sz w:val="22"/>
          <w:szCs w:val="22"/>
        </w:rPr>
        <w:t>s</w:t>
      </w:r>
      <w:r w:rsidR="00920050" w:rsidRPr="005045BF">
        <w:rPr>
          <w:rFonts w:ascii="Arial" w:hAnsi="Arial" w:cs="Arial"/>
          <w:color w:val="000000"/>
          <w:sz w:val="22"/>
          <w:szCs w:val="22"/>
        </w:rPr>
        <w:t xml:space="preserve">, </w:t>
      </w:r>
      <w:r w:rsidR="00E44CFA" w:rsidRPr="005045BF">
        <w:rPr>
          <w:rFonts w:ascii="Arial" w:hAnsi="Arial" w:cs="Arial"/>
          <w:color w:val="000000"/>
          <w:sz w:val="22"/>
          <w:szCs w:val="22"/>
        </w:rPr>
        <w:t xml:space="preserve">correspondiente al </w:t>
      </w:r>
      <w:r w:rsidRPr="005045BF">
        <w:rPr>
          <w:rFonts w:ascii="Arial" w:hAnsi="Arial" w:cs="Arial"/>
          <w:color w:val="000000"/>
          <w:sz w:val="22"/>
          <w:szCs w:val="22"/>
        </w:rPr>
        <w:t>88%</w:t>
      </w:r>
      <w:r w:rsidR="00E44CFA" w:rsidRPr="005045BF">
        <w:rPr>
          <w:rFonts w:ascii="Arial" w:hAnsi="Arial" w:cs="Arial"/>
          <w:color w:val="000000"/>
          <w:sz w:val="22"/>
          <w:szCs w:val="22"/>
        </w:rPr>
        <w:t xml:space="preserve"> del consumo</w:t>
      </w:r>
      <w:r w:rsidRPr="005045BF">
        <w:rPr>
          <w:rFonts w:ascii="Arial" w:hAnsi="Arial" w:cs="Arial"/>
          <w:color w:val="000000"/>
          <w:sz w:val="22"/>
          <w:szCs w:val="22"/>
        </w:rPr>
        <w:t xml:space="preserve"> total de</w:t>
      </w:r>
      <w:r w:rsidR="002643D7" w:rsidRPr="005045BF">
        <w:rPr>
          <w:rFonts w:ascii="Arial" w:hAnsi="Arial" w:cs="Arial"/>
          <w:color w:val="000000"/>
          <w:sz w:val="22"/>
          <w:szCs w:val="22"/>
        </w:rPr>
        <w:t>l trimestre analizado</w:t>
      </w:r>
      <w:r w:rsidRPr="005045BF">
        <w:rPr>
          <w:rFonts w:ascii="Arial" w:hAnsi="Arial" w:cs="Arial"/>
          <w:color w:val="000000"/>
          <w:sz w:val="22"/>
          <w:szCs w:val="22"/>
        </w:rPr>
        <w:t>, así:</w:t>
      </w:r>
    </w:p>
    <w:p w14:paraId="34A47719" w14:textId="35BC56E9" w:rsidR="001C3540" w:rsidRPr="005045BF" w:rsidRDefault="001C3540" w:rsidP="0058466A">
      <w:pPr>
        <w:widowControl w:val="0"/>
        <w:jc w:val="both"/>
        <w:rPr>
          <w:rFonts w:ascii="Arial" w:hAnsi="Arial" w:cs="Arial"/>
          <w:sz w:val="22"/>
          <w:szCs w:val="22"/>
          <w:highlight w:val="yellow"/>
        </w:rPr>
      </w:pPr>
    </w:p>
    <w:tbl>
      <w:tblPr>
        <w:tblW w:w="11200" w:type="dxa"/>
        <w:tblCellMar>
          <w:left w:w="70" w:type="dxa"/>
          <w:right w:w="70" w:type="dxa"/>
        </w:tblCellMar>
        <w:tblLook w:val="04A0" w:firstRow="1" w:lastRow="0" w:firstColumn="1" w:lastColumn="0" w:noHBand="0" w:noVBand="1"/>
      </w:tblPr>
      <w:tblGrid>
        <w:gridCol w:w="1550"/>
        <w:gridCol w:w="1417"/>
        <w:gridCol w:w="2193"/>
        <w:gridCol w:w="1208"/>
        <w:gridCol w:w="1208"/>
        <w:gridCol w:w="1208"/>
        <w:gridCol w:w="1208"/>
        <w:gridCol w:w="1208"/>
      </w:tblGrid>
      <w:tr w:rsidR="007C15CE" w:rsidRPr="005045BF" w14:paraId="1DB729EE" w14:textId="77777777" w:rsidTr="007C15CE">
        <w:trPr>
          <w:cantSplit/>
        </w:trPr>
        <w:tc>
          <w:tcPr>
            <w:tcW w:w="1550" w:type="dxa"/>
            <w:tcBorders>
              <w:top w:val="single" w:sz="8" w:space="0" w:color="B8CCE4"/>
              <w:left w:val="single" w:sz="8" w:space="0" w:color="B8CCE4"/>
              <w:bottom w:val="nil"/>
              <w:right w:val="single" w:sz="8" w:space="0" w:color="B8CCE4"/>
            </w:tcBorders>
            <w:shd w:val="clear" w:color="000000" w:fill="4F81BD"/>
            <w:vAlign w:val="center"/>
            <w:hideMark/>
          </w:tcPr>
          <w:p w14:paraId="01DA00C0" w14:textId="5A11FC0F" w:rsidR="008F34AD" w:rsidRPr="005045BF" w:rsidRDefault="008F34AD" w:rsidP="00690B10">
            <w:pPr>
              <w:spacing w:before="60" w:after="6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Dependencia </w:t>
            </w:r>
          </w:p>
        </w:tc>
        <w:tc>
          <w:tcPr>
            <w:tcW w:w="1417" w:type="dxa"/>
            <w:tcBorders>
              <w:top w:val="single" w:sz="8" w:space="0" w:color="B8CCE4"/>
              <w:left w:val="nil"/>
              <w:bottom w:val="nil"/>
              <w:right w:val="single" w:sz="8" w:space="0" w:color="B8CCE4"/>
            </w:tcBorders>
            <w:shd w:val="clear" w:color="000000" w:fill="4F81BD"/>
            <w:vAlign w:val="center"/>
            <w:hideMark/>
          </w:tcPr>
          <w:p w14:paraId="235B654C" w14:textId="3143D03F" w:rsidR="008F34AD" w:rsidRPr="005045BF" w:rsidRDefault="008F34AD" w:rsidP="00690B10">
            <w:pPr>
              <w:spacing w:before="60" w:after="6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Cantidad de Hojas </w:t>
            </w:r>
          </w:p>
        </w:tc>
        <w:tc>
          <w:tcPr>
            <w:tcW w:w="2193" w:type="dxa"/>
            <w:tcBorders>
              <w:top w:val="nil"/>
              <w:left w:val="nil"/>
              <w:bottom w:val="nil"/>
              <w:right w:val="nil"/>
            </w:tcBorders>
            <w:shd w:val="clear" w:color="auto" w:fill="auto"/>
            <w:noWrap/>
            <w:vAlign w:val="bottom"/>
            <w:hideMark/>
          </w:tcPr>
          <w:p w14:paraId="0449DA26" w14:textId="408C6C76" w:rsidR="008F34AD" w:rsidRPr="005045BF" w:rsidRDefault="008F34AD" w:rsidP="00690B10">
            <w:pPr>
              <w:spacing w:before="60" w:after="60"/>
              <w:rPr>
                <w:rFonts w:ascii="Arial" w:hAnsi="Arial" w:cs="Arial"/>
                <w:color w:val="000000"/>
                <w:sz w:val="20"/>
                <w:szCs w:val="20"/>
              </w:rPr>
            </w:pPr>
            <w:r w:rsidRPr="005045BF">
              <w:rPr>
                <w:rFonts w:ascii="Arial" w:hAnsi="Arial" w:cs="Arial"/>
                <w:noProof/>
                <w:color w:val="000000"/>
                <w:sz w:val="20"/>
                <w:szCs w:val="20"/>
              </w:rPr>
              <w:drawing>
                <wp:anchor distT="0" distB="0" distL="114300" distR="114300" simplePos="0" relativeHeight="252235776" behindDoc="0" locked="0" layoutInCell="1" allowOverlap="1" wp14:anchorId="561BC178" wp14:editId="0A0A694D">
                  <wp:simplePos x="0" y="0"/>
                  <wp:positionH relativeFrom="column">
                    <wp:posOffset>121920</wp:posOffset>
                  </wp:positionH>
                  <wp:positionV relativeFrom="paragraph">
                    <wp:posOffset>20320</wp:posOffset>
                  </wp:positionV>
                  <wp:extent cx="4067175" cy="3086100"/>
                  <wp:effectExtent l="0" t="0" r="0" b="0"/>
                  <wp:wrapNone/>
                  <wp:docPr id="32" name="Gráfico 32">
                    <a:extLst xmlns:a="http://schemas.openxmlformats.org/drawingml/2006/main">
                      <a:ext uri="{FF2B5EF4-FFF2-40B4-BE49-F238E27FC236}">
                        <a16:creationId xmlns:a16="http://schemas.microsoft.com/office/drawing/2014/main" id="{08C84507-1584-48CD-B054-D5DFB3DC8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00"/>
            </w:tblGrid>
            <w:tr w:rsidR="008F34AD" w:rsidRPr="005045BF" w14:paraId="36A10C18" w14:textId="77777777">
              <w:trPr>
                <w:trHeight w:val="480"/>
                <w:tblCellSpacing w:w="0" w:type="dxa"/>
              </w:trPr>
              <w:tc>
                <w:tcPr>
                  <w:tcW w:w="1200" w:type="dxa"/>
                  <w:tcBorders>
                    <w:top w:val="nil"/>
                    <w:left w:val="nil"/>
                    <w:bottom w:val="nil"/>
                    <w:right w:val="nil"/>
                  </w:tcBorders>
                  <w:shd w:val="clear" w:color="auto" w:fill="auto"/>
                  <w:noWrap/>
                  <w:vAlign w:val="bottom"/>
                  <w:hideMark/>
                </w:tcPr>
                <w:p w14:paraId="20429D80" w14:textId="77777777" w:rsidR="008F34AD" w:rsidRPr="005045BF" w:rsidRDefault="008F34AD" w:rsidP="00690B10">
                  <w:pPr>
                    <w:spacing w:before="60" w:after="60"/>
                    <w:rPr>
                      <w:rFonts w:ascii="Arial" w:hAnsi="Arial" w:cs="Arial"/>
                      <w:color w:val="000000"/>
                      <w:sz w:val="20"/>
                      <w:szCs w:val="20"/>
                    </w:rPr>
                  </w:pPr>
                </w:p>
              </w:tc>
            </w:tr>
          </w:tbl>
          <w:p w14:paraId="5B59D154"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1FC070D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4B59C1B"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63293E5"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4D609B19"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E2ADEEF" w14:textId="77777777" w:rsidR="008F34AD" w:rsidRPr="005045BF" w:rsidRDefault="008F34AD" w:rsidP="00690B10">
            <w:pPr>
              <w:spacing w:before="60" w:after="60"/>
              <w:rPr>
                <w:rFonts w:ascii="Arial" w:hAnsi="Arial" w:cs="Arial"/>
                <w:sz w:val="20"/>
                <w:szCs w:val="20"/>
              </w:rPr>
            </w:pPr>
          </w:p>
        </w:tc>
      </w:tr>
      <w:tr w:rsidR="007C15CE" w:rsidRPr="005045BF" w14:paraId="7BB164A2" w14:textId="77777777" w:rsidTr="007C15CE">
        <w:trPr>
          <w:cantSplit/>
        </w:trPr>
        <w:tc>
          <w:tcPr>
            <w:tcW w:w="1550" w:type="dxa"/>
            <w:tcBorders>
              <w:top w:val="nil"/>
              <w:left w:val="nil"/>
              <w:bottom w:val="nil"/>
              <w:right w:val="nil"/>
            </w:tcBorders>
            <w:shd w:val="clear" w:color="auto" w:fill="auto"/>
            <w:noWrap/>
            <w:vAlign w:val="center"/>
            <w:hideMark/>
          </w:tcPr>
          <w:p w14:paraId="16D03E4B"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DA</w:t>
            </w:r>
          </w:p>
        </w:tc>
        <w:tc>
          <w:tcPr>
            <w:tcW w:w="1417" w:type="dxa"/>
            <w:tcBorders>
              <w:top w:val="nil"/>
              <w:left w:val="nil"/>
              <w:bottom w:val="nil"/>
              <w:right w:val="nil"/>
            </w:tcBorders>
            <w:shd w:val="clear" w:color="auto" w:fill="auto"/>
            <w:vAlign w:val="center"/>
            <w:hideMark/>
          </w:tcPr>
          <w:p w14:paraId="4DF28AE1" w14:textId="661EFF0A"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101.489</w:t>
            </w:r>
          </w:p>
        </w:tc>
        <w:tc>
          <w:tcPr>
            <w:tcW w:w="2193" w:type="dxa"/>
            <w:tcBorders>
              <w:top w:val="nil"/>
              <w:left w:val="nil"/>
              <w:bottom w:val="nil"/>
              <w:right w:val="nil"/>
            </w:tcBorders>
            <w:shd w:val="clear" w:color="auto" w:fill="auto"/>
            <w:noWrap/>
            <w:vAlign w:val="bottom"/>
            <w:hideMark/>
          </w:tcPr>
          <w:p w14:paraId="6CC6A616"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1BDE9DB8"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46555BE8"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3B3B8BC"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0C2DBE4"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E7A7A44" w14:textId="77777777" w:rsidR="008F34AD" w:rsidRPr="005045BF" w:rsidRDefault="008F34AD" w:rsidP="00690B10">
            <w:pPr>
              <w:spacing w:before="60" w:after="60"/>
              <w:rPr>
                <w:rFonts w:ascii="Arial" w:hAnsi="Arial" w:cs="Arial"/>
                <w:sz w:val="20"/>
                <w:szCs w:val="20"/>
              </w:rPr>
            </w:pPr>
          </w:p>
        </w:tc>
      </w:tr>
      <w:tr w:rsidR="007C15CE" w:rsidRPr="005045BF" w14:paraId="78AAD162" w14:textId="77777777" w:rsidTr="007C15CE">
        <w:trPr>
          <w:cantSplit/>
        </w:trPr>
        <w:tc>
          <w:tcPr>
            <w:tcW w:w="1550" w:type="dxa"/>
            <w:tcBorders>
              <w:top w:val="nil"/>
              <w:left w:val="nil"/>
              <w:bottom w:val="nil"/>
              <w:right w:val="nil"/>
            </w:tcBorders>
            <w:shd w:val="clear" w:color="auto" w:fill="auto"/>
            <w:noWrap/>
            <w:vAlign w:val="center"/>
            <w:hideMark/>
          </w:tcPr>
          <w:p w14:paraId="5F6E8433"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SJ</w:t>
            </w:r>
          </w:p>
        </w:tc>
        <w:tc>
          <w:tcPr>
            <w:tcW w:w="1417" w:type="dxa"/>
            <w:tcBorders>
              <w:top w:val="nil"/>
              <w:left w:val="nil"/>
              <w:bottom w:val="nil"/>
              <w:right w:val="nil"/>
            </w:tcBorders>
            <w:shd w:val="clear" w:color="auto" w:fill="auto"/>
            <w:vAlign w:val="center"/>
            <w:hideMark/>
          </w:tcPr>
          <w:p w14:paraId="2DD2815A" w14:textId="673D84EA"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99.065</w:t>
            </w:r>
          </w:p>
        </w:tc>
        <w:tc>
          <w:tcPr>
            <w:tcW w:w="2193" w:type="dxa"/>
            <w:tcBorders>
              <w:top w:val="nil"/>
              <w:left w:val="nil"/>
              <w:bottom w:val="nil"/>
              <w:right w:val="nil"/>
            </w:tcBorders>
            <w:shd w:val="clear" w:color="auto" w:fill="auto"/>
            <w:noWrap/>
            <w:vAlign w:val="bottom"/>
            <w:hideMark/>
          </w:tcPr>
          <w:p w14:paraId="7FB937F4"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7FA478CF"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63BB9010"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D92A130"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6D3E6D1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EEB6C6A" w14:textId="77777777" w:rsidR="008F34AD" w:rsidRPr="005045BF" w:rsidRDefault="008F34AD" w:rsidP="00690B10">
            <w:pPr>
              <w:spacing w:before="60" w:after="60"/>
              <w:rPr>
                <w:rFonts w:ascii="Arial" w:hAnsi="Arial" w:cs="Arial"/>
                <w:sz w:val="20"/>
                <w:szCs w:val="20"/>
              </w:rPr>
            </w:pPr>
          </w:p>
        </w:tc>
      </w:tr>
      <w:tr w:rsidR="007C15CE" w:rsidRPr="005045BF" w14:paraId="22EA4A49" w14:textId="77777777" w:rsidTr="007C15CE">
        <w:trPr>
          <w:cantSplit/>
        </w:trPr>
        <w:tc>
          <w:tcPr>
            <w:tcW w:w="1550" w:type="dxa"/>
            <w:tcBorders>
              <w:top w:val="nil"/>
              <w:left w:val="nil"/>
              <w:bottom w:val="nil"/>
              <w:right w:val="nil"/>
            </w:tcBorders>
            <w:shd w:val="clear" w:color="auto" w:fill="auto"/>
            <w:noWrap/>
            <w:vAlign w:val="center"/>
            <w:hideMark/>
          </w:tcPr>
          <w:p w14:paraId="4C2F8341"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OBP</w:t>
            </w:r>
          </w:p>
        </w:tc>
        <w:tc>
          <w:tcPr>
            <w:tcW w:w="1417" w:type="dxa"/>
            <w:tcBorders>
              <w:top w:val="nil"/>
              <w:left w:val="nil"/>
              <w:bottom w:val="nil"/>
              <w:right w:val="nil"/>
            </w:tcBorders>
            <w:shd w:val="clear" w:color="auto" w:fill="auto"/>
            <w:vAlign w:val="center"/>
            <w:hideMark/>
          </w:tcPr>
          <w:p w14:paraId="55CB28C2" w14:textId="0F53EE06"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55.095</w:t>
            </w:r>
          </w:p>
        </w:tc>
        <w:tc>
          <w:tcPr>
            <w:tcW w:w="2193" w:type="dxa"/>
            <w:tcBorders>
              <w:top w:val="nil"/>
              <w:left w:val="nil"/>
              <w:bottom w:val="nil"/>
              <w:right w:val="nil"/>
            </w:tcBorders>
            <w:shd w:val="clear" w:color="auto" w:fill="auto"/>
            <w:noWrap/>
            <w:vAlign w:val="bottom"/>
            <w:hideMark/>
          </w:tcPr>
          <w:p w14:paraId="6DE773A4"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634C3A42"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E63F48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BA8D73A"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755B365"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DD0160A" w14:textId="77777777" w:rsidR="008F34AD" w:rsidRPr="005045BF" w:rsidRDefault="008F34AD" w:rsidP="00690B10">
            <w:pPr>
              <w:spacing w:before="60" w:after="60"/>
              <w:rPr>
                <w:rFonts w:ascii="Arial" w:hAnsi="Arial" w:cs="Arial"/>
                <w:sz w:val="20"/>
                <w:szCs w:val="20"/>
              </w:rPr>
            </w:pPr>
          </w:p>
        </w:tc>
      </w:tr>
      <w:tr w:rsidR="007C15CE" w:rsidRPr="005045BF" w14:paraId="05514F17" w14:textId="77777777" w:rsidTr="007C15CE">
        <w:trPr>
          <w:cantSplit/>
        </w:trPr>
        <w:tc>
          <w:tcPr>
            <w:tcW w:w="1550" w:type="dxa"/>
            <w:tcBorders>
              <w:top w:val="nil"/>
              <w:left w:val="nil"/>
              <w:bottom w:val="nil"/>
              <w:right w:val="nil"/>
            </w:tcBorders>
            <w:shd w:val="clear" w:color="auto" w:fill="auto"/>
            <w:noWrap/>
            <w:vAlign w:val="center"/>
            <w:hideMark/>
          </w:tcPr>
          <w:p w14:paraId="1130A565"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DGCPTN</w:t>
            </w:r>
          </w:p>
        </w:tc>
        <w:tc>
          <w:tcPr>
            <w:tcW w:w="1417" w:type="dxa"/>
            <w:tcBorders>
              <w:top w:val="nil"/>
              <w:left w:val="nil"/>
              <w:bottom w:val="nil"/>
              <w:right w:val="nil"/>
            </w:tcBorders>
            <w:shd w:val="clear" w:color="auto" w:fill="auto"/>
            <w:vAlign w:val="center"/>
            <w:hideMark/>
          </w:tcPr>
          <w:p w14:paraId="1245C320" w14:textId="0529348D"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39.741</w:t>
            </w:r>
          </w:p>
        </w:tc>
        <w:tc>
          <w:tcPr>
            <w:tcW w:w="2193" w:type="dxa"/>
            <w:tcBorders>
              <w:top w:val="nil"/>
              <w:left w:val="nil"/>
              <w:bottom w:val="nil"/>
              <w:right w:val="nil"/>
            </w:tcBorders>
            <w:shd w:val="clear" w:color="auto" w:fill="auto"/>
            <w:noWrap/>
            <w:vAlign w:val="bottom"/>
            <w:hideMark/>
          </w:tcPr>
          <w:p w14:paraId="195B5547"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5FE3568A"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F7BCC7E"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B60C7E1"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AE0CEDE"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6D6CE31A" w14:textId="77777777" w:rsidR="008F34AD" w:rsidRPr="005045BF" w:rsidRDefault="008F34AD" w:rsidP="00690B10">
            <w:pPr>
              <w:spacing w:before="60" w:after="60"/>
              <w:rPr>
                <w:rFonts w:ascii="Arial" w:hAnsi="Arial" w:cs="Arial"/>
                <w:sz w:val="20"/>
                <w:szCs w:val="20"/>
              </w:rPr>
            </w:pPr>
          </w:p>
        </w:tc>
      </w:tr>
      <w:tr w:rsidR="007C15CE" w:rsidRPr="005045BF" w14:paraId="52DE2967" w14:textId="77777777" w:rsidTr="007C15CE">
        <w:trPr>
          <w:cantSplit/>
        </w:trPr>
        <w:tc>
          <w:tcPr>
            <w:tcW w:w="1550" w:type="dxa"/>
            <w:tcBorders>
              <w:top w:val="nil"/>
              <w:left w:val="nil"/>
              <w:bottom w:val="nil"/>
              <w:right w:val="nil"/>
            </w:tcBorders>
            <w:shd w:val="clear" w:color="auto" w:fill="auto"/>
            <w:noWrap/>
            <w:vAlign w:val="center"/>
            <w:hideMark/>
          </w:tcPr>
          <w:p w14:paraId="1B53D589"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DGRESS</w:t>
            </w:r>
          </w:p>
        </w:tc>
        <w:tc>
          <w:tcPr>
            <w:tcW w:w="1417" w:type="dxa"/>
            <w:tcBorders>
              <w:top w:val="nil"/>
              <w:left w:val="nil"/>
              <w:bottom w:val="nil"/>
              <w:right w:val="nil"/>
            </w:tcBorders>
            <w:shd w:val="clear" w:color="auto" w:fill="auto"/>
            <w:vAlign w:val="center"/>
            <w:hideMark/>
          </w:tcPr>
          <w:p w14:paraId="7A33BABD" w14:textId="42ACE56C"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19.140</w:t>
            </w:r>
          </w:p>
        </w:tc>
        <w:tc>
          <w:tcPr>
            <w:tcW w:w="2193" w:type="dxa"/>
            <w:tcBorders>
              <w:top w:val="nil"/>
              <w:left w:val="nil"/>
              <w:bottom w:val="nil"/>
              <w:right w:val="nil"/>
            </w:tcBorders>
            <w:shd w:val="clear" w:color="auto" w:fill="auto"/>
            <w:noWrap/>
            <w:vAlign w:val="bottom"/>
            <w:hideMark/>
          </w:tcPr>
          <w:p w14:paraId="2D8FD9ED"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02A816EB"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583E33B"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FB10835"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594A57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29BECF5" w14:textId="77777777" w:rsidR="008F34AD" w:rsidRPr="005045BF" w:rsidRDefault="008F34AD" w:rsidP="00690B10">
            <w:pPr>
              <w:spacing w:before="60" w:after="60"/>
              <w:rPr>
                <w:rFonts w:ascii="Arial" w:hAnsi="Arial" w:cs="Arial"/>
                <w:sz w:val="20"/>
                <w:szCs w:val="20"/>
              </w:rPr>
            </w:pPr>
          </w:p>
        </w:tc>
      </w:tr>
      <w:tr w:rsidR="007C15CE" w:rsidRPr="005045BF" w14:paraId="75B6FC03" w14:textId="77777777" w:rsidTr="007C15CE">
        <w:trPr>
          <w:cantSplit/>
        </w:trPr>
        <w:tc>
          <w:tcPr>
            <w:tcW w:w="1550" w:type="dxa"/>
            <w:tcBorders>
              <w:top w:val="nil"/>
              <w:left w:val="nil"/>
              <w:bottom w:val="nil"/>
              <w:right w:val="nil"/>
            </w:tcBorders>
            <w:shd w:val="clear" w:color="auto" w:fill="auto"/>
            <w:noWrap/>
            <w:vAlign w:val="center"/>
            <w:hideMark/>
          </w:tcPr>
          <w:p w14:paraId="2FE72950"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DAF</w:t>
            </w:r>
          </w:p>
        </w:tc>
        <w:tc>
          <w:tcPr>
            <w:tcW w:w="1417" w:type="dxa"/>
            <w:tcBorders>
              <w:top w:val="nil"/>
              <w:left w:val="nil"/>
              <w:bottom w:val="nil"/>
              <w:right w:val="nil"/>
            </w:tcBorders>
            <w:shd w:val="clear" w:color="auto" w:fill="auto"/>
            <w:vAlign w:val="center"/>
            <w:hideMark/>
          </w:tcPr>
          <w:p w14:paraId="5228B42F" w14:textId="1BC31399"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14.394</w:t>
            </w:r>
          </w:p>
        </w:tc>
        <w:tc>
          <w:tcPr>
            <w:tcW w:w="2193" w:type="dxa"/>
            <w:tcBorders>
              <w:top w:val="nil"/>
              <w:left w:val="nil"/>
              <w:bottom w:val="nil"/>
              <w:right w:val="nil"/>
            </w:tcBorders>
            <w:shd w:val="clear" w:color="auto" w:fill="auto"/>
            <w:noWrap/>
            <w:vAlign w:val="bottom"/>
            <w:hideMark/>
          </w:tcPr>
          <w:p w14:paraId="7E954BE8"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408E0582"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3761A61"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4DEC00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079764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EBB624C" w14:textId="77777777" w:rsidR="008F34AD" w:rsidRPr="005045BF" w:rsidRDefault="008F34AD" w:rsidP="00690B10">
            <w:pPr>
              <w:spacing w:before="60" w:after="60"/>
              <w:rPr>
                <w:rFonts w:ascii="Arial" w:hAnsi="Arial" w:cs="Arial"/>
                <w:sz w:val="20"/>
                <w:szCs w:val="20"/>
              </w:rPr>
            </w:pPr>
          </w:p>
        </w:tc>
      </w:tr>
      <w:tr w:rsidR="007C15CE" w:rsidRPr="005045BF" w14:paraId="7AB9B06F" w14:textId="77777777" w:rsidTr="007C15CE">
        <w:trPr>
          <w:cantSplit/>
        </w:trPr>
        <w:tc>
          <w:tcPr>
            <w:tcW w:w="1550" w:type="dxa"/>
            <w:tcBorders>
              <w:top w:val="nil"/>
              <w:left w:val="nil"/>
              <w:bottom w:val="nil"/>
              <w:right w:val="nil"/>
            </w:tcBorders>
            <w:shd w:val="clear" w:color="auto" w:fill="auto"/>
            <w:noWrap/>
            <w:vAlign w:val="center"/>
            <w:hideMark/>
          </w:tcPr>
          <w:p w14:paraId="07EEE96B"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SACP</w:t>
            </w:r>
          </w:p>
        </w:tc>
        <w:tc>
          <w:tcPr>
            <w:tcW w:w="1417" w:type="dxa"/>
            <w:tcBorders>
              <w:top w:val="nil"/>
              <w:left w:val="nil"/>
              <w:bottom w:val="nil"/>
              <w:right w:val="nil"/>
            </w:tcBorders>
            <w:shd w:val="clear" w:color="auto" w:fill="auto"/>
            <w:vAlign w:val="center"/>
            <w:hideMark/>
          </w:tcPr>
          <w:p w14:paraId="737D57C1" w14:textId="3FB871E1"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10.362</w:t>
            </w:r>
          </w:p>
        </w:tc>
        <w:tc>
          <w:tcPr>
            <w:tcW w:w="2193" w:type="dxa"/>
            <w:tcBorders>
              <w:top w:val="nil"/>
              <w:left w:val="nil"/>
              <w:bottom w:val="nil"/>
              <w:right w:val="nil"/>
            </w:tcBorders>
            <w:shd w:val="clear" w:color="auto" w:fill="auto"/>
            <w:noWrap/>
            <w:vAlign w:val="bottom"/>
            <w:hideMark/>
          </w:tcPr>
          <w:p w14:paraId="2A9C758F"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4F56BEE6"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4DE65020"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79CBBE9"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2E19CC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44874E7" w14:textId="77777777" w:rsidR="008F34AD" w:rsidRPr="005045BF" w:rsidRDefault="008F34AD" w:rsidP="00690B10">
            <w:pPr>
              <w:spacing w:before="60" w:after="60"/>
              <w:rPr>
                <w:rFonts w:ascii="Arial" w:hAnsi="Arial" w:cs="Arial"/>
                <w:sz w:val="20"/>
                <w:szCs w:val="20"/>
              </w:rPr>
            </w:pPr>
          </w:p>
        </w:tc>
      </w:tr>
      <w:tr w:rsidR="007C15CE" w:rsidRPr="005045BF" w14:paraId="316EC95B" w14:textId="77777777" w:rsidTr="007C15CE">
        <w:trPr>
          <w:cantSplit/>
        </w:trPr>
        <w:tc>
          <w:tcPr>
            <w:tcW w:w="1550" w:type="dxa"/>
            <w:tcBorders>
              <w:top w:val="nil"/>
              <w:left w:val="nil"/>
              <w:bottom w:val="nil"/>
              <w:right w:val="nil"/>
            </w:tcBorders>
            <w:shd w:val="clear" w:color="auto" w:fill="auto"/>
            <w:noWrap/>
            <w:vAlign w:val="center"/>
            <w:hideMark/>
          </w:tcPr>
          <w:p w14:paraId="40B28F74"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OAJ</w:t>
            </w:r>
          </w:p>
        </w:tc>
        <w:tc>
          <w:tcPr>
            <w:tcW w:w="1417" w:type="dxa"/>
            <w:tcBorders>
              <w:top w:val="nil"/>
              <w:left w:val="nil"/>
              <w:bottom w:val="nil"/>
              <w:right w:val="nil"/>
            </w:tcBorders>
            <w:shd w:val="clear" w:color="auto" w:fill="auto"/>
            <w:noWrap/>
            <w:vAlign w:val="center"/>
            <w:hideMark/>
          </w:tcPr>
          <w:p w14:paraId="1D363C2B" w14:textId="66A9273F"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10.160</w:t>
            </w:r>
          </w:p>
        </w:tc>
        <w:tc>
          <w:tcPr>
            <w:tcW w:w="2193" w:type="dxa"/>
            <w:tcBorders>
              <w:top w:val="nil"/>
              <w:left w:val="nil"/>
              <w:bottom w:val="nil"/>
              <w:right w:val="nil"/>
            </w:tcBorders>
            <w:shd w:val="clear" w:color="auto" w:fill="auto"/>
            <w:noWrap/>
            <w:vAlign w:val="bottom"/>
            <w:hideMark/>
          </w:tcPr>
          <w:p w14:paraId="44AF0E18"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0ABC8BB5"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E486230"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9EBB78F"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2EDC6FC"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6F789D1" w14:textId="77777777" w:rsidR="008F34AD" w:rsidRPr="005045BF" w:rsidRDefault="008F34AD" w:rsidP="00690B10">
            <w:pPr>
              <w:spacing w:before="60" w:after="60"/>
              <w:rPr>
                <w:rFonts w:ascii="Arial" w:hAnsi="Arial" w:cs="Arial"/>
                <w:sz w:val="20"/>
                <w:szCs w:val="20"/>
              </w:rPr>
            </w:pPr>
          </w:p>
        </w:tc>
      </w:tr>
      <w:tr w:rsidR="007C15CE" w:rsidRPr="005045BF" w14:paraId="2D14A180" w14:textId="77777777" w:rsidTr="007C15CE">
        <w:trPr>
          <w:cantSplit/>
        </w:trPr>
        <w:tc>
          <w:tcPr>
            <w:tcW w:w="1550" w:type="dxa"/>
            <w:tcBorders>
              <w:top w:val="nil"/>
              <w:left w:val="nil"/>
              <w:bottom w:val="nil"/>
              <w:right w:val="nil"/>
            </w:tcBorders>
            <w:shd w:val="clear" w:color="auto" w:fill="auto"/>
            <w:noWrap/>
            <w:vAlign w:val="center"/>
            <w:hideMark/>
          </w:tcPr>
          <w:p w14:paraId="022F64E8"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DT</w:t>
            </w:r>
          </w:p>
        </w:tc>
        <w:tc>
          <w:tcPr>
            <w:tcW w:w="1417" w:type="dxa"/>
            <w:tcBorders>
              <w:top w:val="nil"/>
              <w:left w:val="nil"/>
              <w:bottom w:val="nil"/>
              <w:right w:val="nil"/>
            </w:tcBorders>
            <w:shd w:val="clear" w:color="auto" w:fill="auto"/>
            <w:vAlign w:val="center"/>
            <w:hideMark/>
          </w:tcPr>
          <w:p w14:paraId="6F3EB846" w14:textId="59AC91A7"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9.576</w:t>
            </w:r>
          </w:p>
        </w:tc>
        <w:tc>
          <w:tcPr>
            <w:tcW w:w="2193" w:type="dxa"/>
            <w:tcBorders>
              <w:top w:val="nil"/>
              <w:left w:val="nil"/>
              <w:bottom w:val="nil"/>
              <w:right w:val="nil"/>
            </w:tcBorders>
            <w:shd w:val="clear" w:color="auto" w:fill="auto"/>
            <w:noWrap/>
            <w:vAlign w:val="bottom"/>
            <w:hideMark/>
          </w:tcPr>
          <w:p w14:paraId="543044C6"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5ACB4DB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4470A9D6"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1306078"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7F19A6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ABC83AE" w14:textId="77777777" w:rsidR="008F34AD" w:rsidRPr="005045BF" w:rsidRDefault="008F34AD" w:rsidP="00690B10">
            <w:pPr>
              <w:spacing w:before="60" w:after="60"/>
              <w:rPr>
                <w:rFonts w:ascii="Arial" w:hAnsi="Arial" w:cs="Arial"/>
                <w:sz w:val="20"/>
                <w:szCs w:val="20"/>
              </w:rPr>
            </w:pPr>
          </w:p>
        </w:tc>
      </w:tr>
      <w:tr w:rsidR="007C15CE" w:rsidRPr="005045BF" w14:paraId="4FACB0C4" w14:textId="77777777" w:rsidTr="007C15CE">
        <w:trPr>
          <w:cantSplit/>
        </w:trPr>
        <w:tc>
          <w:tcPr>
            <w:tcW w:w="1550" w:type="dxa"/>
            <w:tcBorders>
              <w:top w:val="nil"/>
              <w:left w:val="nil"/>
              <w:bottom w:val="nil"/>
              <w:right w:val="nil"/>
            </w:tcBorders>
            <w:shd w:val="clear" w:color="auto" w:fill="auto"/>
            <w:noWrap/>
            <w:vAlign w:val="center"/>
            <w:hideMark/>
          </w:tcPr>
          <w:p w14:paraId="0B846593"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SCDS</w:t>
            </w:r>
          </w:p>
        </w:tc>
        <w:tc>
          <w:tcPr>
            <w:tcW w:w="1417" w:type="dxa"/>
            <w:tcBorders>
              <w:top w:val="nil"/>
              <w:left w:val="nil"/>
              <w:bottom w:val="nil"/>
              <w:right w:val="nil"/>
            </w:tcBorders>
            <w:shd w:val="clear" w:color="auto" w:fill="auto"/>
            <w:vAlign w:val="center"/>
            <w:hideMark/>
          </w:tcPr>
          <w:p w14:paraId="7139631C" w14:textId="1534E256"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8.729</w:t>
            </w:r>
          </w:p>
        </w:tc>
        <w:tc>
          <w:tcPr>
            <w:tcW w:w="2193" w:type="dxa"/>
            <w:tcBorders>
              <w:top w:val="nil"/>
              <w:left w:val="nil"/>
              <w:bottom w:val="nil"/>
              <w:right w:val="nil"/>
            </w:tcBorders>
            <w:shd w:val="clear" w:color="auto" w:fill="auto"/>
            <w:noWrap/>
            <w:vAlign w:val="bottom"/>
            <w:hideMark/>
          </w:tcPr>
          <w:p w14:paraId="419C178B"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1C3FF867"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D295724"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600E41C"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B3BCC75"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01F6685" w14:textId="77777777" w:rsidR="008F34AD" w:rsidRPr="005045BF" w:rsidRDefault="008F34AD" w:rsidP="00690B10">
            <w:pPr>
              <w:spacing w:before="60" w:after="60"/>
              <w:rPr>
                <w:rFonts w:ascii="Arial" w:hAnsi="Arial" w:cs="Arial"/>
                <w:sz w:val="20"/>
                <w:szCs w:val="20"/>
              </w:rPr>
            </w:pPr>
          </w:p>
        </w:tc>
      </w:tr>
      <w:tr w:rsidR="007C15CE" w:rsidRPr="005045BF" w14:paraId="54B4C636" w14:textId="77777777" w:rsidTr="007C15CE">
        <w:trPr>
          <w:cantSplit/>
        </w:trPr>
        <w:tc>
          <w:tcPr>
            <w:tcW w:w="1550" w:type="dxa"/>
            <w:tcBorders>
              <w:top w:val="nil"/>
              <w:left w:val="nil"/>
              <w:bottom w:val="nil"/>
              <w:right w:val="nil"/>
            </w:tcBorders>
            <w:shd w:val="clear" w:color="auto" w:fill="auto"/>
            <w:noWrap/>
            <w:vAlign w:val="center"/>
            <w:hideMark/>
          </w:tcPr>
          <w:p w14:paraId="2F062EBD"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DM</w:t>
            </w:r>
          </w:p>
        </w:tc>
        <w:tc>
          <w:tcPr>
            <w:tcW w:w="1417" w:type="dxa"/>
            <w:tcBorders>
              <w:top w:val="nil"/>
              <w:left w:val="nil"/>
              <w:bottom w:val="nil"/>
              <w:right w:val="nil"/>
            </w:tcBorders>
            <w:shd w:val="clear" w:color="auto" w:fill="auto"/>
            <w:vAlign w:val="center"/>
            <w:hideMark/>
          </w:tcPr>
          <w:p w14:paraId="1B3BE13A" w14:textId="109B630F"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7.948</w:t>
            </w:r>
          </w:p>
        </w:tc>
        <w:tc>
          <w:tcPr>
            <w:tcW w:w="2193" w:type="dxa"/>
            <w:tcBorders>
              <w:top w:val="nil"/>
              <w:left w:val="nil"/>
              <w:bottom w:val="nil"/>
              <w:right w:val="nil"/>
            </w:tcBorders>
            <w:shd w:val="clear" w:color="auto" w:fill="auto"/>
            <w:noWrap/>
            <w:vAlign w:val="bottom"/>
            <w:hideMark/>
          </w:tcPr>
          <w:p w14:paraId="633C3C5E"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18E4DB3C"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EBB54A8"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3AB6BEE"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32583419"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CD3641E" w14:textId="77777777" w:rsidR="008F34AD" w:rsidRPr="005045BF" w:rsidRDefault="008F34AD" w:rsidP="00690B10">
            <w:pPr>
              <w:spacing w:before="60" w:after="60"/>
              <w:rPr>
                <w:rFonts w:ascii="Arial" w:hAnsi="Arial" w:cs="Arial"/>
                <w:sz w:val="20"/>
                <w:szCs w:val="20"/>
              </w:rPr>
            </w:pPr>
          </w:p>
        </w:tc>
      </w:tr>
      <w:tr w:rsidR="007C15CE" w:rsidRPr="005045BF" w14:paraId="1B5AAC9B" w14:textId="77777777" w:rsidTr="007C15CE">
        <w:trPr>
          <w:cantSplit/>
        </w:trPr>
        <w:tc>
          <w:tcPr>
            <w:tcW w:w="1550" w:type="dxa"/>
            <w:tcBorders>
              <w:top w:val="nil"/>
              <w:left w:val="nil"/>
              <w:bottom w:val="double" w:sz="4" w:space="0" w:color="4F81BD" w:themeColor="accent1"/>
              <w:right w:val="nil"/>
            </w:tcBorders>
            <w:shd w:val="clear" w:color="auto" w:fill="auto"/>
            <w:noWrap/>
            <w:vAlign w:val="center"/>
            <w:hideMark/>
          </w:tcPr>
          <w:p w14:paraId="3624F470"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SG</w:t>
            </w:r>
          </w:p>
        </w:tc>
        <w:tc>
          <w:tcPr>
            <w:tcW w:w="1417" w:type="dxa"/>
            <w:tcBorders>
              <w:top w:val="nil"/>
              <w:left w:val="nil"/>
              <w:bottom w:val="double" w:sz="4" w:space="0" w:color="4F81BD" w:themeColor="accent1"/>
              <w:right w:val="nil"/>
            </w:tcBorders>
            <w:shd w:val="clear" w:color="auto" w:fill="auto"/>
            <w:vAlign w:val="center"/>
            <w:hideMark/>
          </w:tcPr>
          <w:p w14:paraId="42C238F7" w14:textId="496DBA91"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7.455</w:t>
            </w:r>
          </w:p>
        </w:tc>
        <w:tc>
          <w:tcPr>
            <w:tcW w:w="2193" w:type="dxa"/>
            <w:tcBorders>
              <w:top w:val="nil"/>
              <w:left w:val="nil"/>
              <w:bottom w:val="nil"/>
              <w:right w:val="nil"/>
            </w:tcBorders>
            <w:shd w:val="clear" w:color="auto" w:fill="auto"/>
            <w:noWrap/>
            <w:vAlign w:val="bottom"/>
            <w:hideMark/>
          </w:tcPr>
          <w:p w14:paraId="30103220"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785FB9A8"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0B625F8A"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7F7EE3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5D79F5CA"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2AD7295D" w14:textId="77777777" w:rsidR="008F34AD" w:rsidRPr="005045BF" w:rsidRDefault="008F34AD" w:rsidP="00690B10">
            <w:pPr>
              <w:spacing w:before="60" w:after="60"/>
              <w:rPr>
                <w:rFonts w:ascii="Arial" w:hAnsi="Arial" w:cs="Arial"/>
                <w:sz w:val="20"/>
                <w:szCs w:val="20"/>
              </w:rPr>
            </w:pPr>
          </w:p>
        </w:tc>
      </w:tr>
      <w:tr w:rsidR="007C15CE" w:rsidRPr="005045BF" w14:paraId="060D2450" w14:textId="77777777" w:rsidTr="007C15CE">
        <w:trPr>
          <w:cantSplit/>
        </w:trPr>
        <w:tc>
          <w:tcPr>
            <w:tcW w:w="1550" w:type="dxa"/>
            <w:tcBorders>
              <w:top w:val="double" w:sz="4" w:space="0" w:color="4F81BD" w:themeColor="accent1"/>
              <w:left w:val="nil"/>
              <w:bottom w:val="double" w:sz="4" w:space="0" w:color="4F81BD" w:themeColor="accent1"/>
              <w:right w:val="nil"/>
            </w:tcBorders>
            <w:shd w:val="clear" w:color="auto" w:fill="auto"/>
            <w:noWrap/>
            <w:vAlign w:val="center"/>
            <w:hideMark/>
          </w:tcPr>
          <w:p w14:paraId="009C654B" w14:textId="77777777" w:rsidR="008F34AD" w:rsidRPr="005045BF" w:rsidRDefault="008F34AD" w:rsidP="00690B10">
            <w:pPr>
              <w:spacing w:before="40" w:after="4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Total </w:t>
            </w:r>
          </w:p>
        </w:tc>
        <w:tc>
          <w:tcPr>
            <w:tcW w:w="1417" w:type="dxa"/>
            <w:tcBorders>
              <w:top w:val="double" w:sz="4" w:space="0" w:color="4F81BD" w:themeColor="accent1"/>
              <w:left w:val="nil"/>
              <w:bottom w:val="double" w:sz="4" w:space="0" w:color="4F81BD" w:themeColor="accent1"/>
              <w:right w:val="nil"/>
            </w:tcBorders>
            <w:shd w:val="clear" w:color="auto" w:fill="auto"/>
            <w:noWrap/>
            <w:vAlign w:val="center"/>
            <w:hideMark/>
          </w:tcPr>
          <w:p w14:paraId="0AE69D74" w14:textId="0982F7B9" w:rsidR="008F34AD" w:rsidRPr="005045BF" w:rsidRDefault="008F34AD" w:rsidP="00690B10">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383.154</w:t>
            </w:r>
          </w:p>
        </w:tc>
        <w:tc>
          <w:tcPr>
            <w:tcW w:w="2193" w:type="dxa"/>
            <w:tcBorders>
              <w:top w:val="nil"/>
              <w:left w:val="nil"/>
              <w:bottom w:val="nil"/>
              <w:right w:val="nil"/>
            </w:tcBorders>
            <w:shd w:val="clear" w:color="auto" w:fill="auto"/>
            <w:noWrap/>
            <w:vAlign w:val="bottom"/>
            <w:hideMark/>
          </w:tcPr>
          <w:p w14:paraId="4C332F40" w14:textId="77777777" w:rsidR="008F34AD" w:rsidRPr="005045BF" w:rsidRDefault="008F34AD" w:rsidP="00690B10">
            <w:pPr>
              <w:spacing w:before="60" w:after="60"/>
              <w:rPr>
                <w:rFonts w:ascii="Arial" w:hAnsi="Arial" w:cs="Arial"/>
                <w:color w:val="000000"/>
                <w:sz w:val="20"/>
                <w:szCs w:val="20"/>
              </w:rPr>
            </w:pPr>
          </w:p>
        </w:tc>
        <w:tc>
          <w:tcPr>
            <w:tcW w:w="1208" w:type="dxa"/>
            <w:tcBorders>
              <w:top w:val="nil"/>
              <w:left w:val="nil"/>
              <w:bottom w:val="nil"/>
              <w:right w:val="nil"/>
            </w:tcBorders>
            <w:shd w:val="clear" w:color="auto" w:fill="auto"/>
            <w:noWrap/>
            <w:vAlign w:val="bottom"/>
            <w:hideMark/>
          </w:tcPr>
          <w:p w14:paraId="62A893DC"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783D4CC3"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62B6DFFB"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1CBB85DD" w14:textId="77777777" w:rsidR="008F34AD" w:rsidRPr="005045BF" w:rsidRDefault="008F34AD" w:rsidP="00690B10">
            <w:pPr>
              <w:spacing w:before="60" w:after="60"/>
              <w:rPr>
                <w:rFonts w:ascii="Arial" w:hAnsi="Arial" w:cs="Arial"/>
                <w:sz w:val="20"/>
                <w:szCs w:val="20"/>
              </w:rPr>
            </w:pPr>
          </w:p>
        </w:tc>
        <w:tc>
          <w:tcPr>
            <w:tcW w:w="1208" w:type="dxa"/>
            <w:tcBorders>
              <w:top w:val="nil"/>
              <w:left w:val="nil"/>
              <w:bottom w:val="nil"/>
              <w:right w:val="nil"/>
            </w:tcBorders>
            <w:shd w:val="clear" w:color="auto" w:fill="auto"/>
            <w:noWrap/>
            <w:vAlign w:val="bottom"/>
            <w:hideMark/>
          </w:tcPr>
          <w:p w14:paraId="610B356B" w14:textId="77777777" w:rsidR="008F34AD" w:rsidRPr="005045BF" w:rsidRDefault="008F34AD" w:rsidP="00690B10">
            <w:pPr>
              <w:spacing w:before="60" w:after="60"/>
              <w:rPr>
                <w:rFonts w:ascii="Arial" w:hAnsi="Arial" w:cs="Arial"/>
                <w:sz w:val="20"/>
                <w:szCs w:val="20"/>
              </w:rPr>
            </w:pPr>
          </w:p>
        </w:tc>
      </w:tr>
    </w:tbl>
    <w:p w14:paraId="155EEAF6" w14:textId="622FECCC" w:rsidR="008F34AD" w:rsidRPr="005045BF" w:rsidRDefault="008F34AD" w:rsidP="0058466A">
      <w:pPr>
        <w:widowControl w:val="0"/>
        <w:jc w:val="both"/>
        <w:rPr>
          <w:rFonts w:ascii="Arial" w:hAnsi="Arial" w:cs="Arial"/>
          <w:sz w:val="22"/>
          <w:szCs w:val="22"/>
        </w:rPr>
      </w:pPr>
      <w:r w:rsidRPr="005045BF">
        <w:rPr>
          <w:rStyle w:val="Refdenotaalpie"/>
          <w:rFonts w:ascii="Arial" w:hAnsi="Arial" w:cs="Arial"/>
          <w:sz w:val="22"/>
          <w:szCs w:val="22"/>
        </w:rPr>
        <w:footnoteReference w:id="9"/>
      </w:r>
    </w:p>
    <w:p w14:paraId="0ED286E9" w14:textId="77777777" w:rsidR="002A730F" w:rsidRDefault="002A730F" w:rsidP="00E72DE6">
      <w:pPr>
        <w:widowControl w:val="0"/>
        <w:jc w:val="both"/>
        <w:rPr>
          <w:rFonts w:ascii="Arial" w:hAnsi="Arial" w:cs="Arial"/>
          <w:color w:val="000000"/>
          <w:sz w:val="22"/>
          <w:szCs w:val="22"/>
        </w:rPr>
      </w:pPr>
    </w:p>
    <w:p w14:paraId="17AF5484" w14:textId="70FC0180" w:rsidR="000C4D0A" w:rsidRPr="005045BF" w:rsidRDefault="000C4D0A" w:rsidP="00E72DE6">
      <w:pPr>
        <w:widowControl w:val="0"/>
        <w:jc w:val="both"/>
        <w:rPr>
          <w:rFonts w:ascii="Arial" w:hAnsi="Arial" w:cs="Arial"/>
          <w:color w:val="000000"/>
          <w:sz w:val="22"/>
          <w:szCs w:val="22"/>
        </w:rPr>
      </w:pPr>
      <w:r w:rsidRPr="005045BF">
        <w:rPr>
          <w:rFonts w:ascii="Arial" w:hAnsi="Arial" w:cs="Arial"/>
          <w:color w:val="000000"/>
          <w:sz w:val="22"/>
          <w:szCs w:val="22"/>
        </w:rPr>
        <w:t xml:space="preserve">Como resultado se observó que la Dirección Administrativa, Subdirección </w:t>
      </w:r>
      <w:r w:rsidR="00E72DE6" w:rsidRPr="005045BF">
        <w:rPr>
          <w:rFonts w:ascii="Arial" w:hAnsi="Arial" w:cs="Arial"/>
          <w:color w:val="000000"/>
          <w:sz w:val="22"/>
          <w:szCs w:val="22"/>
        </w:rPr>
        <w:t xml:space="preserve">Jurídica y la Oficina de Bonos Pensionales, </w:t>
      </w:r>
      <w:r w:rsidRPr="005045BF">
        <w:rPr>
          <w:rFonts w:ascii="Arial" w:hAnsi="Arial" w:cs="Arial"/>
          <w:color w:val="000000"/>
          <w:sz w:val="22"/>
          <w:szCs w:val="22"/>
        </w:rPr>
        <w:t>durante</w:t>
      </w:r>
      <w:r w:rsidR="00432DBF" w:rsidRPr="005045BF">
        <w:rPr>
          <w:rFonts w:ascii="Arial" w:hAnsi="Arial" w:cs="Arial"/>
          <w:color w:val="000000"/>
          <w:sz w:val="22"/>
          <w:szCs w:val="22"/>
        </w:rPr>
        <w:t xml:space="preserve"> el primer trimestre de 2020</w:t>
      </w:r>
      <w:r w:rsidRPr="005045BF">
        <w:rPr>
          <w:rFonts w:ascii="Arial" w:hAnsi="Arial" w:cs="Arial"/>
          <w:color w:val="000000"/>
          <w:sz w:val="22"/>
          <w:szCs w:val="22"/>
        </w:rPr>
        <w:t xml:space="preserve"> fueron las tres dependencias, en su orden, con un mayor consumo de papel. De lo anterior, es importante aclarar que dentro de la Dirección Administrativa se encuentra adscrito el Grupo de Contratación</w:t>
      </w:r>
      <w:r w:rsidR="00E72DE6" w:rsidRPr="005045BF">
        <w:rPr>
          <w:rFonts w:ascii="Arial" w:hAnsi="Arial" w:cs="Arial"/>
          <w:color w:val="000000"/>
          <w:sz w:val="22"/>
          <w:szCs w:val="22"/>
        </w:rPr>
        <w:t xml:space="preserve"> y que </w:t>
      </w:r>
      <w:r w:rsidRPr="005045BF">
        <w:rPr>
          <w:rFonts w:ascii="Arial" w:hAnsi="Arial" w:cs="Arial"/>
          <w:color w:val="000000"/>
          <w:sz w:val="22"/>
          <w:szCs w:val="22"/>
        </w:rPr>
        <w:t>los procesos realizado</w:t>
      </w:r>
      <w:r w:rsidR="00E72DE6" w:rsidRPr="005045BF">
        <w:rPr>
          <w:rFonts w:ascii="Arial" w:hAnsi="Arial" w:cs="Arial"/>
          <w:color w:val="000000"/>
          <w:sz w:val="22"/>
          <w:szCs w:val="22"/>
        </w:rPr>
        <w:t>s</w:t>
      </w:r>
      <w:r w:rsidRPr="005045BF">
        <w:rPr>
          <w:rFonts w:ascii="Arial" w:hAnsi="Arial" w:cs="Arial"/>
          <w:color w:val="000000"/>
          <w:sz w:val="22"/>
          <w:szCs w:val="22"/>
        </w:rPr>
        <w:t xml:space="preserve"> por dicho Grupo demandan un consumo de papel significativo, en razón a que es necesario dejar en el archivo físico cada una de las etapas de los procesos contractuales</w:t>
      </w:r>
      <w:r w:rsidR="00E72DE6" w:rsidRPr="005045BF">
        <w:rPr>
          <w:rFonts w:ascii="Arial" w:hAnsi="Arial" w:cs="Arial"/>
          <w:color w:val="000000"/>
          <w:sz w:val="22"/>
          <w:szCs w:val="22"/>
        </w:rPr>
        <w:t xml:space="preserve">, </w:t>
      </w:r>
      <w:r w:rsidRPr="005045BF">
        <w:rPr>
          <w:rFonts w:ascii="Arial" w:hAnsi="Arial" w:cs="Arial"/>
          <w:color w:val="000000"/>
          <w:sz w:val="22"/>
          <w:szCs w:val="22"/>
        </w:rPr>
        <w:t>especialmente, para aportar</w:t>
      </w:r>
      <w:r w:rsidR="00E72DE6" w:rsidRPr="005045BF">
        <w:rPr>
          <w:rFonts w:ascii="Arial" w:hAnsi="Arial" w:cs="Arial"/>
          <w:color w:val="000000"/>
          <w:sz w:val="22"/>
          <w:szCs w:val="22"/>
        </w:rPr>
        <w:t xml:space="preserve"> </w:t>
      </w:r>
      <w:r w:rsidRPr="005045BF">
        <w:rPr>
          <w:rFonts w:ascii="Arial" w:hAnsi="Arial" w:cs="Arial"/>
          <w:color w:val="000000"/>
          <w:sz w:val="22"/>
          <w:szCs w:val="22"/>
        </w:rPr>
        <w:t>las evidencias exigidas por los entes de control externos</w:t>
      </w:r>
      <w:r w:rsidR="00E72DE6" w:rsidRPr="005045BF">
        <w:rPr>
          <w:rFonts w:ascii="Arial" w:hAnsi="Arial" w:cs="Arial"/>
          <w:color w:val="000000"/>
          <w:sz w:val="22"/>
          <w:szCs w:val="22"/>
        </w:rPr>
        <w:t xml:space="preserve"> </w:t>
      </w:r>
      <w:r w:rsidRPr="005045BF">
        <w:rPr>
          <w:rFonts w:ascii="Arial" w:hAnsi="Arial" w:cs="Arial"/>
          <w:color w:val="000000"/>
          <w:sz w:val="22"/>
          <w:szCs w:val="22"/>
        </w:rPr>
        <w:t xml:space="preserve">que realizan </w:t>
      </w:r>
      <w:r w:rsidR="00C3589A" w:rsidRPr="005045BF">
        <w:rPr>
          <w:rFonts w:ascii="Arial" w:hAnsi="Arial" w:cs="Arial"/>
          <w:color w:val="000000"/>
          <w:sz w:val="22"/>
          <w:szCs w:val="22"/>
        </w:rPr>
        <w:t>las respectivas inspecciones</w:t>
      </w:r>
      <w:r w:rsidRPr="005045BF">
        <w:rPr>
          <w:rFonts w:ascii="Arial" w:hAnsi="Arial" w:cs="Arial"/>
          <w:color w:val="000000"/>
          <w:sz w:val="22"/>
          <w:szCs w:val="22"/>
        </w:rPr>
        <w:t>.</w:t>
      </w:r>
    </w:p>
    <w:p w14:paraId="73AF2D14" w14:textId="5FE7D520" w:rsidR="001B0091" w:rsidRPr="005045BF" w:rsidRDefault="00C3589A" w:rsidP="00E72DE6">
      <w:pPr>
        <w:widowControl w:val="0"/>
        <w:jc w:val="both"/>
        <w:rPr>
          <w:rFonts w:ascii="Arial" w:hAnsi="Arial" w:cs="Arial"/>
          <w:color w:val="000000"/>
          <w:sz w:val="22"/>
          <w:szCs w:val="22"/>
        </w:rPr>
      </w:pPr>
      <w:r w:rsidRPr="005045BF">
        <w:rPr>
          <w:rFonts w:ascii="Arial" w:hAnsi="Arial" w:cs="Arial"/>
          <w:color w:val="000000"/>
          <w:sz w:val="22"/>
          <w:szCs w:val="22"/>
        </w:rPr>
        <w:lastRenderedPageBreak/>
        <w:t>Frente a las estadísticas</w:t>
      </w:r>
      <w:r w:rsidR="001B0091" w:rsidRPr="005045BF">
        <w:rPr>
          <w:rFonts w:ascii="Arial" w:hAnsi="Arial" w:cs="Arial"/>
          <w:color w:val="000000"/>
          <w:sz w:val="22"/>
          <w:szCs w:val="22"/>
        </w:rPr>
        <w:t xml:space="preserve"> antes presentadas</w:t>
      </w:r>
      <w:r w:rsidRPr="005045BF">
        <w:rPr>
          <w:rFonts w:ascii="Arial" w:hAnsi="Arial" w:cs="Arial"/>
          <w:color w:val="000000"/>
          <w:sz w:val="22"/>
          <w:szCs w:val="22"/>
        </w:rPr>
        <w:t xml:space="preserve">, se observó que la entidad logró obtener durante </w:t>
      </w:r>
      <w:r w:rsidR="001B0091" w:rsidRPr="005045BF">
        <w:rPr>
          <w:rFonts w:ascii="Arial" w:hAnsi="Arial" w:cs="Arial"/>
          <w:color w:val="000000"/>
          <w:sz w:val="22"/>
          <w:szCs w:val="22"/>
        </w:rPr>
        <w:t xml:space="preserve">el primer trimestre de 2020 </w:t>
      </w:r>
      <w:r w:rsidRPr="005045BF">
        <w:rPr>
          <w:rFonts w:ascii="Arial" w:hAnsi="Arial" w:cs="Arial"/>
          <w:color w:val="000000"/>
          <w:sz w:val="22"/>
          <w:szCs w:val="22"/>
        </w:rPr>
        <w:t xml:space="preserve">ahorros en el consumo de papel comparado con </w:t>
      </w:r>
      <w:r w:rsidR="001B0091" w:rsidRPr="005045BF">
        <w:rPr>
          <w:rFonts w:ascii="Arial" w:hAnsi="Arial" w:cs="Arial"/>
          <w:color w:val="000000"/>
          <w:sz w:val="22"/>
          <w:szCs w:val="22"/>
        </w:rPr>
        <w:t xml:space="preserve">el mismo periodo de la </w:t>
      </w:r>
      <w:r w:rsidRPr="005045BF">
        <w:rPr>
          <w:rFonts w:ascii="Arial" w:hAnsi="Arial" w:cs="Arial"/>
          <w:color w:val="000000"/>
          <w:sz w:val="22"/>
          <w:szCs w:val="22"/>
        </w:rPr>
        <w:t>vigencia 201</w:t>
      </w:r>
      <w:r w:rsidR="001B0091" w:rsidRPr="005045BF">
        <w:rPr>
          <w:rFonts w:ascii="Arial" w:hAnsi="Arial" w:cs="Arial"/>
          <w:color w:val="000000"/>
          <w:sz w:val="22"/>
          <w:szCs w:val="22"/>
        </w:rPr>
        <w:t>9</w:t>
      </w:r>
      <w:r w:rsidRPr="005045BF">
        <w:rPr>
          <w:rFonts w:ascii="Arial" w:hAnsi="Arial" w:cs="Arial"/>
          <w:color w:val="000000"/>
          <w:sz w:val="22"/>
          <w:szCs w:val="22"/>
        </w:rPr>
        <w:t>, lo que permite deducir que</w:t>
      </w:r>
      <w:r w:rsidR="001B0091" w:rsidRPr="005045BF">
        <w:rPr>
          <w:rFonts w:ascii="Arial" w:hAnsi="Arial" w:cs="Arial"/>
          <w:color w:val="000000"/>
          <w:sz w:val="22"/>
          <w:szCs w:val="22"/>
        </w:rPr>
        <w:t xml:space="preserve"> </w:t>
      </w:r>
      <w:r w:rsidRPr="005045BF">
        <w:rPr>
          <w:rFonts w:ascii="Arial" w:hAnsi="Arial" w:cs="Arial"/>
          <w:color w:val="000000"/>
          <w:sz w:val="22"/>
          <w:szCs w:val="22"/>
        </w:rPr>
        <w:t>las acciones encaminadas a lograr la sensibilización y cultura del uso eficiente del papel, han</w:t>
      </w:r>
      <w:r w:rsidR="001B0091" w:rsidRPr="005045BF">
        <w:rPr>
          <w:rFonts w:ascii="Arial" w:hAnsi="Arial" w:cs="Arial"/>
          <w:color w:val="000000"/>
          <w:sz w:val="22"/>
          <w:szCs w:val="22"/>
        </w:rPr>
        <w:t xml:space="preserve"> </w:t>
      </w:r>
      <w:r w:rsidRPr="005045BF">
        <w:rPr>
          <w:rFonts w:ascii="Arial" w:hAnsi="Arial" w:cs="Arial"/>
          <w:color w:val="000000"/>
          <w:sz w:val="22"/>
          <w:szCs w:val="22"/>
        </w:rPr>
        <w:t xml:space="preserve">contribuido a los resultados obtenidos. </w:t>
      </w:r>
      <w:r w:rsidR="001B0091" w:rsidRPr="005045BF">
        <w:rPr>
          <w:rFonts w:ascii="Arial" w:hAnsi="Arial" w:cs="Arial"/>
          <w:color w:val="000000"/>
          <w:sz w:val="22"/>
          <w:szCs w:val="22"/>
        </w:rPr>
        <w:t xml:space="preserve">Así mismo, se considera que </w:t>
      </w:r>
      <w:r w:rsidR="001B0091" w:rsidRPr="005045BF">
        <w:rPr>
          <w:rFonts w:ascii="Arial" w:hAnsi="Arial" w:cs="Arial"/>
          <w:color w:val="000000" w:themeColor="text1"/>
          <w:sz w:val="22"/>
          <w:szCs w:val="22"/>
        </w:rPr>
        <w:t xml:space="preserve">las medidas adoptadas por este Ministerio, en virtud de </w:t>
      </w:r>
      <w:r w:rsidR="001B0091" w:rsidRPr="005045BF">
        <w:rPr>
          <w:rFonts w:ascii="Arial" w:hAnsi="Arial" w:cs="Arial"/>
          <w:color w:val="000000" w:themeColor="text1"/>
          <w:sz w:val="22"/>
          <w:szCs w:val="22"/>
          <w:bdr w:val="none" w:sz="0" w:space="0" w:color="auto" w:frame="1"/>
        </w:rPr>
        <w:t xml:space="preserve">la Emergencia Económica, Social y Ecológica [Covid-19] decretada por el Gobierno Nacional, entre otras el aislamiento preventivo obligatorio </w:t>
      </w:r>
      <w:r w:rsidR="00127461" w:rsidRPr="005045BF">
        <w:rPr>
          <w:rFonts w:ascii="Arial" w:hAnsi="Arial" w:cs="Arial"/>
          <w:color w:val="000000" w:themeColor="text1"/>
          <w:sz w:val="22"/>
          <w:szCs w:val="22"/>
          <w:bdr w:val="none" w:sz="0" w:space="0" w:color="auto" w:frame="1"/>
        </w:rPr>
        <w:t xml:space="preserve">a mediados del mes de </w:t>
      </w:r>
      <w:r w:rsidR="001B0091" w:rsidRPr="005045BF">
        <w:rPr>
          <w:rFonts w:ascii="Arial" w:hAnsi="Arial" w:cs="Arial"/>
          <w:color w:val="000000" w:themeColor="text1"/>
          <w:sz w:val="22"/>
          <w:szCs w:val="22"/>
          <w:bdr w:val="none" w:sz="0" w:space="0" w:color="auto" w:frame="1"/>
        </w:rPr>
        <w:t xml:space="preserve">marzo de 2020, </w:t>
      </w:r>
      <w:r w:rsidR="003F0680" w:rsidRPr="005045BF">
        <w:rPr>
          <w:rFonts w:ascii="Arial" w:hAnsi="Arial" w:cs="Arial"/>
          <w:color w:val="000000" w:themeColor="text1"/>
          <w:sz w:val="22"/>
          <w:szCs w:val="22"/>
          <w:bdr w:val="none" w:sz="0" w:space="0" w:color="auto" w:frame="1"/>
        </w:rPr>
        <w:t xml:space="preserve">fue </w:t>
      </w:r>
      <w:r w:rsidR="001B0091" w:rsidRPr="005045BF">
        <w:rPr>
          <w:rFonts w:ascii="Arial" w:hAnsi="Arial" w:cs="Arial"/>
          <w:color w:val="000000" w:themeColor="text1"/>
          <w:sz w:val="22"/>
          <w:szCs w:val="22"/>
          <w:bdr w:val="none" w:sz="0" w:space="0" w:color="auto" w:frame="1"/>
        </w:rPr>
        <w:t>un factor</w:t>
      </w:r>
      <w:r w:rsidR="009A74AA" w:rsidRPr="005045BF">
        <w:rPr>
          <w:rFonts w:ascii="Arial" w:hAnsi="Arial" w:cs="Arial"/>
          <w:color w:val="000000" w:themeColor="text1"/>
          <w:sz w:val="22"/>
          <w:szCs w:val="22"/>
          <w:bdr w:val="none" w:sz="0" w:space="0" w:color="auto" w:frame="1"/>
        </w:rPr>
        <w:t xml:space="preserve"> que</w:t>
      </w:r>
      <w:r w:rsidR="003F0680" w:rsidRPr="005045BF">
        <w:rPr>
          <w:rFonts w:ascii="Arial" w:hAnsi="Arial" w:cs="Arial"/>
          <w:color w:val="000000" w:themeColor="text1"/>
          <w:sz w:val="22"/>
          <w:szCs w:val="22"/>
          <w:bdr w:val="none" w:sz="0" w:space="0" w:color="auto" w:frame="1"/>
        </w:rPr>
        <w:t xml:space="preserve"> </w:t>
      </w:r>
      <w:r w:rsidR="00050B9C" w:rsidRPr="005045BF">
        <w:rPr>
          <w:rFonts w:ascii="Arial" w:hAnsi="Arial" w:cs="Arial"/>
          <w:color w:val="000000" w:themeColor="text1"/>
          <w:sz w:val="22"/>
          <w:szCs w:val="22"/>
          <w:bdr w:val="none" w:sz="0" w:space="0" w:color="auto" w:frame="1"/>
        </w:rPr>
        <w:t>influyó en</w:t>
      </w:r>
      <w:r w:rsidR="003F0680" w:rsidRPr="005045BF">
        <w:rPr>
          <w:rFonts w:ascii="Arial" w:hAnsi="Arial" w:cs="Arial"/>
          <w:color w:val="000000" w:themeColor="text1"/>
          <w:sz w:val="22"/>
          <w:szCs w:val="22"/>
          <w:bdr w:val="none" w:sz="0" w:space="0" w:color="auto" w:frame="1"/>
        </w:rPr>
        <w:t xml:space="preserve"> las estadísticas de consumo, permitiendo </w:t>
      </w:r>
      <w:r w:rsidR="001B0091" w:rsidRPr="005045BF">
        <w:rPr>
          <w:rFonts w:ascii="Arial" w:hAnsi="Arial" w:cs="Arial"/>
          <w:color w:val="000000" w:themeColor="text1"/>
          <w:sz w:val="22"/>
          <w:szCs w:val="22"/>
          <w:bdr w:val="none" w:sz="0" w:space="0" w:color="auto" w:frame="1"/>
        </w:rPr>
        <w:t xml:space="preserve">obtener las variaciones negativas.  </w:t>
      </w:r>
    </w:p>
    <w:p w14:paraId="54AF7071" w14:textId="77777777" w:rsidR="00C3589A" w:rsidRPr="005045BF" w:rsidRDefault="00C3589A" w:rsidP="00E72DE6">
      <w:pPr>
        <w:widowControl w:val="0"/>
        <w:jc w:val="both"/>
        <w:rPr>
          <w:rFonts w:ascii="Arial" w:hAnsi="Arial" w:cs="Arial"/>
          <w:sz w:val="22"/>
          <w:szCs w:val="22"/>
        </w:rPr>
      </w:pPr>
    </w:p>
    <w:p w14:paraId="34E5B7BA" w14:textId="77777777" w:rsidR="001757DD" w:rsidRPr="005045BF" w:rsidRDefault="001757DD" w:rsidP="000330F1">
      <w:pPr>
        <w:widowControl w:val="0"/>
        <w:ind w:left="709" w:hanging="709"/>
        <w:rPr>
          <w:rFonts w:ascii="Arial" w:hAnsi="Arial" w:cs="Arial"/>
          <w:sz w:val="22"/>
          <w:szCs w:val="22"/>
          <w:highlight w:val="yellow"/>
        </w:rPr>
      </w:pPr>
    </w:p>
    <w:p w14:paraId="7CE7263B" w14:textId="690A6E55" w:rsidR="00A362C1" w:rsidRPr="005045BF" w:rsidRDefault="000C38F1" w:rsidP="003879F9">
      <w:pPr>
        <w:pStyle w:val="Prrafodelista"/>
        <w:numPr>
          <w:ilvl w:val="1"/>
          <w:numId w:val="43"/>
        </w:numPr>
        <w:spacing w:after="40"/>
        <w:ind w:left="567" w:hanging="567"/>
        <w:rPr>
          <w:rFonts w:ascii="Arial" w:hAnsi="Arial" w:cs="Arial"/>
          <w:b/>
          <w:color w:val="000000"/>
          <w:sz w:val="22"/>
          <w:szCs w:val="22"/>
        </w:rPr>
      </w:pPr>
      <w:r w:rsidRPr="005045BF">
        <w:rPr>
          <w:rFonts w:ascii="Arial" w:hAnsi="Arial" w:cs="Arial"/>
          <w:b/>
          <w:color w:val="000000"/>
          <w:sz w:val="22"/>
          <w:szCs w:val="22"/>
        </w:rPr>
        <w:t>PAPELERÍA, ÚTILES DE ESCRITORIO Y OFICINA</w:t>
      </w:r>
    </w:p>
    <w:p w14:paraId="4AB29C92" w14:textId="77777777" w:rsidR="00A362C1" w:rsidRPr="005045BF" w:rsidRDefault="00A362C1" w:rsidP="00A362C1">
      <w:pPr>
        <w:spacing w:after="40"/>
        <w:rPr>
          <w:rFonts w:ascii="Arial" w:hAnsi="Arial" w:cs="Arial"/>
          <w:b/>
          <w:color w:val="000000"/>
          <w:sz w:val="22"/>
          <w:szCs w:val="22"/>
          <w:highlight w:val="yellow"/>
        </w:rPr>
      </w:pPr>
    </w:p>
    <w:p w14:paraId="0AE49AD9" w14:textId="77777777" w:rsidR="00891242" w:rsidRPr="005045BF" w:rsidRDefault="00822B66" w:rsidP="00736A95">
      <w:pPr>
        <w:spacing w:after="40"/>
        <w:jc w:val="both"/>
        <w:rPr>
          <w:rFonts w:ascii="Arial" w:hAnsi="Arial" w:cs="Arial"/>
          <w:color w:val="000000"/>
          <w:sz w:val="22"/>
          <w:szCs w:val="22"/>
        </w:rPr>
      </w:pPr>
      <w:r w:rsidRPr="005045BF">
        <w:rPr>
          <w:rFonts w:ascii="Arial" w:hAnsi="Arial" w:cs="Arial"/>
          <w:color w:val="000000"/>
          <w:sz w:val="22"/>
          <w:szCs w:val="22"/>
        </w:rPr>
        <w:t>El Ministerio de Hacienda y Crédito Público</w:t>
      </w:r>
      <w:r w:rsidR="007F2867" w:rsidRPr="005045BF">
        <w:rPr>
          <w:rFonts w:ascii="Arial" w:hAnsi="Arial" w:cs="Arial"/>
          <w:color w:val="000000"/>
          <w:sz w:val="22"/>
          <w:szCs w:val="22"/>
        </w:rPr>
        <w:t xml:space="preserve"> con corte a 31 de marzo de 2020, no tenía suscrito contrato para el suministro de papelería, </w:t>
      </w:r>
      <w:r w:rsidR="003D4AD6" w:rsidRPr="005045BF">
        <w:rPr>
          <w:rFonts w:ascii="Arial" w:hAnsi="Arial" w:cs="Arial"/>
          <w:color w:val="000000"/>
          <w:sz w:val="22"/>
          <w:szCs w:val="22"/>
        </w:rPr>
        <w:t xml:space="preserve">útiles de escritorio y Oficina, </w:t>
      </w:r>
      <w:r w:rsidR="007F2867" w:rsidRPr="005045BF">
        <w:rPr>
          <w:rFonts w:ascii="Arial" w:hAnsi="Arial" w:cs="Arial"/>
          <w:color w:val="000000"/>
          <w:sz w:val="22"/>
          <w:szCs w:val="22"/>
        </w:rPr>
        <w:t xml:space="preserve">por tal motivo, para el primer trimestre de 2020 comparado con el mismo periodo de 2019, no </w:t>
      </w:r>
      <w:r w:rsidR="003D4AD6" w:rsidRPr="005045BF">
        <w:rPr>
          <w:rFonts w:ascii="Arial" w:hAnsi="Arial" w:cs="Arial"/>
          <w:color w:val="000000"/>
          <w:sz w:val="22"/>
          <w:szCs w:val="22"/>
        </w:rPr>
        <w:t>fue posible e</w:t>
      </w:r>
      <w:r w:rsidR="007F2867" w:rsidRPr="005045BF">
        <w:rPr>
          <w:rFonts w:ascii="Arial" w:hAnsi="Arial" w:cs="Arial"/>
          <w:color w:val="000000"/>
          <w:sz w:val="22"/>
          <w:szCs w:val="22"/>
        </w:rPr>
        <w:t>stablec</w:t>
      </w:r>
      <w:r w:rsidR="003D4AD6" w:rsidRPr="005045BF">
        <w:rPr>
          <w:rFonts w:ascii="Arial" w:hAnsi="Arial" w:cs="Arial"/>
          <w:color w:val="000000"/>
          <w:sz w:val="22"/>
          <w:szCs w:val="22"/>
        </w:rPr>
        <w:t xml:space="preserve">er </w:t>
      </w:r>
      <w:r w:rsidR="007F2867" w:rsidRPr="005045BF">
        <w:rPr>
          <w:rFonts w:ascii="Arial" w:hAnsi="Arial" w:cs="Arial"/>
          <w:color w:val="000000"/>
          <w:sz w:val="22"/>
          <w:szCs w:val="22"/>
        </w:rPr>
        <w:t xml:space="preserve">las </w:t>
      </w:r>
      <w:r w:rsidR="003D4AD6" w:rsidRPr="005045BF">
        <w:rPr>
          <w:rFonts w:ascii="Arial" w:hAnsi="Arial" w:cs="Arial"/>
          <w:color w:val="000000"/>
          <w:sz w:val="22"/>
          <w:szCs w:val="22"/>
        </w:rPr>
        <w:t xml:space="preserve">respectivas </w:t>
      </w:r>
      <w:r w:rsidR="007F2867" w:rsidRPr="005045BF">
        <w:rPr>
          <w:rFonts w:ascii="Arial" w:hAnsi="Arial" w:cs="Arial"/>
          <w:color w:val="000000"/>
          <w:sz w:val="22"/>
          <w:szCs w:val="22"/>
        </w:rPr>
        <w:t>variacione</w:t>
      </w:r>
      <w:r w:rsidR="003D4AD6" w:rsidRPr="005045BF">
        <w:rPr>
          <w:rFonts w:ascii="Arial" w:hAnsi="Arial" w:cs="Arial"/>
          <w:color w:val="000000"/>
          <w:sz w:val="22"/>
          <w:szCs w:val="22"/>
        </w:rPr>
        <w:t xml:space="preserve">s. </w:t>
      </w:r>
    </w:p>
    <w:p w14:paraId="68E2976E" w14:textId="77777777" w:rsidR="00891242" w:rsidRPr="005045BF" w:rsidRDefault="00891242" w:rsidP="00736A95">
      <w:pPr>
        <w:spacing w:after="40"/>
        <w:jc w:val="both"/>
        <w:rPr>
          <w:rFonts w:ascii="Arial" w:hAnsi="Arial" w:cs="Arial"/>
          <w:color w:val="000000"/>
          <w:sz w:val="22"/>
          <w:szCs w:val="22"/>
        </w:rPr>
      </w:pPr>
    </w:p>
    <w:p w14:paraId="53E5BB08" w14:textId="0382A2CA" w:rsidR="008F13D4" w:rsidRPr="005045BF" w:rsidRDefault="00891242" w:rsidP="00231297">
      <w:pPr>
        <w:jc w:val="both"/>
        <w:rPr>
          <w:rFonts w:ascii="Arial" w:hAnsi="Arial" w:cs="Arial"/>
          <w:color w:val="000000"/>
          <w:sz w:val="22"/>
          <w:szCs w:val="22"/>
        </w:rPr>
      </w:pPr>
      <w:r w:rsidRPr="005045BF">
        <w:rPr>
          <w:rFonts w:ascii="Arial" w:hAnsi="Arial" w:cs="Arial"/>
          <w:color w:val="000000"/>
          <w:sz w:val="22"/>
          <w:szCs w:val="22"/>
        </w:rPr>
        <w:t>Sin embargo, este Ministerio s</w:t>
      </w:r>
      <w:r w:rsidR="00C405FD" w:rsidRPr="005045BF">
        <w:rPr>
          <w:rFonts w:ascii="Arial" w:hAnsi="Arial" w:cs="Arial"/>
          <w:color w:val="000000"/>
          <w:sz w:val="22"/>
          <w:szCs w:val="22"/>
        </w:rPr>
        <w:t>uscribió</w:t>
      </w:r>
      <w:r w:rsidR="00822B66" w:rsidRPr="005045BF">
        <w:rPr>
          <w:rFonts w:ascii="Arial" w:hAnsi="Arial" w:cs="Arial"/>
          <w:color w:val="000000"/>
          <w:sz w:val="22"/>
          <w:szCs w:val="22"/>
        </w:rPr>
        <w:t xml:space="preserve"> </w:t>
      </w:r>
      <w:r w:rsidR="00CF18B3" w:rsidRPr="005045BF">
        <w:rPr>
          <w:rFonts w:ascii="Arial" w:hAnsi="Arial" w:cs="Arial"/>
          <w:color w:val="000000"/>
          <w:sz w:val="22"/>
          <w:szCs w:val="22"/>
        </w:rPr>
        <w:t xml:space="preserve">el 20 de mayo de 2020 </w:t>
      </w:r>
      <w:r w:rsidR="00822B66" w:rsidRPr="005045BF">
        <w:rPr>
          <w:rFonts w:ascii="Arial" w:hAnsi="Arial" w:cs="Arial"/>
          <w:color w:val="000000"/>
          <w:sz w:val="22"/>
          <w:szCs w:val="22"/>
        </w:rPr>
        <w:t>el contrato 2.002-20</w:t>
      </w:r>
      <w:r w:rsidRPr="005045BF">
        <w:rPr>
          <w:rFonts w:ascii="Arial" w:hAnsi="Arial" w:cs="Arial"/>
          <w:color w:val="000000"/>
          <w:sz w:val="22"/>
          <w:szCs w:val="22"/>
        </w:rPr>
        <w:t>20</w:t>
      </w:r>
      <w:r w:rsidR="00822B66" w:rsidRPr="005045BF">
        <w:rPr>
          <w:rFonts w:ascii="Arial" w:hAnsi="Arial" w:cs="Arial"/>
          <w:color w:val="000000"/>
          <w:sz w:val="22"/>
          <w:szCs w:val="22"/>
        </w:rPr>
        <w:t xml:space="preserve"> con </w:t>
      </w:r>
      <w:r w:rsidRPr="005045BF">
        <w:rPr>
          <w:rFonts w:ascii="Arial" w:hAnsi="Arial" w:cs="Arial"/>
          <w:color w:val="000000"/>
          <w:sz w:val="22"/>
          <w:szCs w:val="22"/>
        </w:rPr>
        <w:t>la empresa SOLUCIONES MAF S.A.S p</w:t>
      </w:r>
      <w:r w:rsidR="00822B66" w:rsidRPr="005045BF">
        <w:rPr>
          <w:rFonts w:ascii="Arial" w:hAnsi="Arial" w:cs="Arial"/>
          <w:color w:val="000000"/>
          <w:sz w:val="22"/>
          <w:szCs w:val="22"/>
        </w:rPr>
        <w:t xml:space="preserve">or la suma de $ </w:t>
      </w:r>
      <w:r w:rsidRPr="005045BF">
        <w:rPr>
          <w:rFonts w:ascii="Arial" w:hAnsi="Arial" w:cs="Arial"/>
          <w:color w:val="000000"/>
          <w:sz w:val="22"/>
          <w:szCs w:val="22"/>
        </w:rPr>
        <w:t>3</w:t>
      </w:r>
      <w:r w:rsidR="00822B66" w:rsidRPr="005045BF">
        <w:rPr>
          <w:rFonts w:ascii="Arial" w:hAnsi="Arial" w:cs="Arial"/>
          <w:color w:val="000000"/>
          <w:sz w:val="22"/>
          <w:szCs w:val="22"/>
        </w:rPr>
        <w:t xml:space="preserve">0.000.000 </w:t>
      </w:r>
      <w:r w:rsidR="00CA0752" w:rsidRPr="005045BF">
        <w:rPr>
          <w:rFonts w:ascii="Arial" w:hAnsi="Arial" w:cs="Arial"/>
          <w:color w:val="000000"/>
          <w:sz w:val="22"/>
          <w:szCs w:val="22"/>
        </w:rPr>
        <w:t xml:space="preserve">correspondiente a los recursos del Presupuesto General de la Nación, </w:t>
      </w:r>
      <w:r w:rsidR="00822B66" w:rsidRPr="005045BF">
        <w:rPr>
          <w:rFonts w:ascii="Arial" w:hAnsi="Arial" w:cs="Arial"/>
          <w:color w:val="000000"/>
          <w:sz w:val="22"/>
          <w:szCs w:val="22"/>
        </w:rPr>
        <w:t>con vigencia</w:t>
      </w:r>
      <w:r w:rsidR="004D6EFE" w:rsidRPr="005045BF">
        <w:rPr>
          <w:rFonts w:ascii="Arial" w:hAnsi="Arial" w:cs="Arial"/>
          <w:color w:val="000000"/>
          <w:sz w:val="22"/>
          <w:szCs w:val="22"/>
        </w:rPr>
        <w:t xml:space="preserve"> desde el </w:t>
      </w:r>
      <w:r w:rsidRPr="005045BF">
        <w:rPr>
          <w:rFonts w:ascii="Arial" w:hAnsi="Arial" w:cs="Arial"/>
          <w:color w:val="000000"/>
          <w:sz w:val="22"/>
          <w:szCs w:val="22"/>
        </w:rPr>
        <w:t xml:space="preserve">4 de junio </w:t>
      </w:r>
      <w:r w:rsidR="004D6EFE" w:rsidRPr="005045BF">
        <w:rPr>
          <w:rFonts w:ascii="Arial" w:hAnsi="Arial" w:cs="Arial"/>
          <w:color w:val="000000"/>
          <w:sz w:val="22"/>
          <w:szCs w:val="22"/>
        </w:rPr>
        <w:t>de 20</w:t>
      </w:r>
      <w:r w:rsidRPr="005045BF">
        <w:rPr>
          <w:rFonts w:ascii="Arial" w:hAnsi="Arial" w:cs="Arial"/>
          <w:color w:val="000000"/>
          <w:sz w:val="22"/>
          <w:szCs w:val="22"/>
        </w:rPr>
        <w:t>20</w:t>
      </w:r>
      <w:r w:rsidR="00822B66" w:rsidRPr="005045BF">
        <w:rPr>
          <w:rFonts w:ascii="Arial" w:hAnsi="Arial" w:cs="Arial"/>
          <w:color w:val="000000"/>
          <w:sz w:val="22"/>
          <w:szCs w:val="22"/>
        </w:rPr>
        <w:t xml:space="preserve"> hasta el 31 de </w:t>
      </w:r>
      <w:r w:rsidR="00C405FD" w:rsidRPr="005045BF">
        <w:rPr>
          <w:rFonts w:ascii="Arial" w:hAnsi="Arial" w:cs="Arial"/>
          <w:color w:val="000000"/>
          <w:sz w:val="22"/>
          <w:szCs w:val="22"/>
        </w:rPr>
        <w:t>diciembre de 20</w:t>
      </w:r>
      <w:r w:rsidRPr="005045BF">
        <w:rPr>
          <w:rFonts w:ascii="Arial" w:hAnsi="Arial" w:cs="Arial"/>
          <w:color w:val="000000"/>
          <w:sz w:val="22"/>
          <w:szCs w:val="22"/>
        </w:rPr>
        <w:t>20</w:t>
      </w:r>
      <w:r w:rsidR="00C405FD" w:rsidRPr="005045BF">
        <w:rPr>
          <w:rFonts w:ascii="Arial" w:hAnsi="Arial" w:cs="Arial"/>
          <w:color w:val="000000"/>
          <w:sz w:val="22"/>
          <w:szCs w:val="22"/>
        </w:rPr>
        <w:t xml:space="preserve">, </w:t>
      </w:r>
      <w:r w:rsidRPr="005045BF">
        <w:rPr>
          <w:rFonts w:ascii="Arial" w:hAnsi="Arial" w:cs="Arial"/>
          <w:color w:val="000000"/>
          <w:sz w:val="22"/>
          <w:szCs w:val="22"/>
        </w:rPr>
        <w:t xml:space="preserve">el cual tiene </w:t>
      </w:r>
      <w:r w:rsidR="00822B66" w:rsidRPr="005045BF">
        <w:rPr>
          <w:rFonts w:ascii="Arial" w:hAnsi="Arial" w:cs="Arial"/>
          <w:color w:val="000000"/>
          <w:sz w:val="22"/>
          <w:szCs w:val="22"/>
        </w:rPr>
        <w:t>por objeto</w:t>
      </w:r>
      <w:r w:rsidR="004F689B" w:rsidRPr="005045BF">
        <w:rPr>
          <w:rFonts w:ascii="Arial" w:hAnsi="Arial" w:cs="Arial"/>
          <w:color w:val="000000"/>
          <w:sz w:val="22"/>
          <w:szCs w:val="22"/>
        </w:rPr>
        <w:t xml:space="preserve">: </w:t>
      </w:r>
      <w:r w:rsidRPr="005045BF">
        <w:rPr>
          <w:rFonts w:ascii="Arial" w:hAnsi="Arial" w:cs="Arial"/>
          <w:i/>
          <w:iCs/>
          <w:color w:val="000000"/>
          <w:sz w:val="22"/>
          <w:szCs w:val="22"/>
        </w:rPr>
        <w:t>Suministro y distribución de elementos, útiles y bienes de oficina, papelería e insumos de impresión</w:t>
      </w:r>
      <w:r w:rsidRPr="005045BF">
        <w:rPr>
          <w:rFonts w:ascii="Arial" w:hAnsi="Arial" w:cs="Arial"/>
          <w:color w:val="000000"/>
          <w:sz w:val="22"/>
          <w:szCs w:val="22"/>
        </w:rPr>
        <w:t>. Así las cosas, e</w:t>
      </w:r>
      <w:r w:rsidR="00C27001" w:rsidRPr="005045BF">
        <w:rPr>
          <w:rFonts w:ascii="Arial" w:hAnsi="Arial" w:cs="Arial"/>
          <w:color w:val="000000"/>
          <w:sz w:val="22"/>
          <w:szCs w:val="22"/>
        </w:rPr>
        <w:t>l valor contratado para el suministro de papelería para la vigencia 20</w:t>
      </w:r>
      <w:r w:rsidRPr="005045BF">
        <w:rPr>
          <w:rFonts w:ascii="Arial" w:hAnsi="Arial" w:cs="Arial"/>
          <w:color w:val="000000"/>
          <w:sz w:val="22"/>
          <w:szCs w:val="22"/>
        </w:rPr>
        <w:t>20</w:t>
      </w:r>
      <w:r w:rsidR="00C27001" w:rsidRPr="005045BF">
        <w:rPr>
          <w:rFonts w:ascii="Arial" w:hAnsi="Arial" w:cs="Arial"/>
          <w:color w:val="000000"/>
          <w:sz w:val="22"/>
          <w:szCs w:val="22"/>
        </w:rPr>
        <w:t xml:space="preserve"> comparado con la vigencia 201</w:t>
      </w:r>
      <w:r w:rsidRPr="005045BF">
        <w:rPr>
          <w:rFonts w:ascii="Arial" w:hAnsi="Arial" w:cs="Arial"/>
          <w:color w:val="000000"/>
          <w:sz w:val="22"/>
          <w:szCs w:val="22"/>
        </w:rPr>
        <w:t>9</w:t>
      </w:r>
      <w:r w:rsidR="00C27001" w:rsidRPr="005045BF">
        <w:rPr>
          <w:rFonts w:ascii="Arial" w:hAnsi="Arial" w:cs="Arial"/>
          <w:color w:val="000000"/>
          <w:sz w:val="22"/>
          <w:szCs w:val="22"/>
        </w:rPr>
        <w:t xml:space="preserve">, </w:t>
      </w:r>
      <w:r w:rsidR="00231297" w:rsidRPr="005045BF">
        <w:rPr>
          <w:rFonts w:ascii="Arial" w:hAnsi="Arial" w:cs="Arial"/>
          <w:color w:val="000000"/>
          <w:sz w:val="22"/>
          <w:szCs w:val="22"/>
        </w:rPr>
        <w:t>presentó una</w:t>
      </w:r>
      <w:r w:rsidR="009F5823" w:rsidRPr="005045BF">
        <w:rPr>
          <w:rFonts w:ascii="Arial" w:hAnsi="Arial" w:cs="Arial"/>
          <w:color w:val="000000"/>
          <w:sz w:val="22"/>
          <w:szCs w:val="22"/>
        </w:rPr>
        <w:t xml:space="preserve"> </w:t>
      </w:r>
      <w:r w:rsidR="009F5823" w:rsidRPr="005045BF">
        <w:rPr>
          <w:rFonts w:ascii="Arial" w:hAnsi="Arial" w:cs="Arial"/>
          <w:b/>
          <w:bCs/>
          <w:color w:val="000000"/>
          <w:sz w:val="22"/>
          <w:szCs w:val="22"/>
        </w:rPr>
        <w:t>disminución</w:t>
      </w:r>
      <w:r w:rsidR="009F5823" w:rsidRPr="005045BF">
        <w:rPr>
          <w:rFonts w:ascii="Arial" w:hAnsi="Arial" w:cs="Arial"/>
          <w:color w:val="000000"/>
          <w:sz w:val="22"/>
          <w:szCs w:val="22"/>
        </w:rPr>
        <w:t xml:space="preserve"> de $</w:t>
      </w:r>
      <w:r w:rsidR="00CA0752" w:rsidRPr="005045BF">
        <w:rPr>
          <w:rFonts w:ascii="Arial" w:hAnsi="Arial" w:cs="Arial"/>
          <w:color w:val="000000"/>
          <w:sz w:val="22"/>
          <w:szCs w:val="22"/>
        </w:rPr>
        <w:t xml:space="preserve"> </w:t>
      </w:r>
      <w:r w:rsidRPr="005045BF">
        <w:rPr>
          <w:rFonts w:ascii="Arial" w:hAnsi="Arial" w:cs="Arial"/>
          <w:color w:val="000000"/>
          <w:sz w:val="22"/>
          <w:szCs w:val="22"/>
        </w:rPr>
        <w:t xml:space="preserve">40.000.000, equivalente al 57%. </w:t>
      </w:r>
    </w:p>
    <w:p w14:paraId="325C27B8" w14:textId="17D549BB" w:rsidR="00891242" w:rsidRPr="005045BF" w:rsidRDefault="00891242" w:rsidP="00736A95">
      <w:pPr>
        <w:spacing w:after="40"/>
        <w:jc w:val="both"/>
        <w:rPr>
          <w:rFonts w:ascii="Arial" w:hAnsi="Arial" w:cs="Arial"/>
          <w:color w:val="000000"/>
          <w:sz w:val="22"/>
          <w:szCs w:val="22"/>
        </w:rPr>
      </w:pPr>
    </w:p>
    <w:p w14:paraId="6C7A4F57" w14:textId="77777777" w:rsidR="00690B10" w:rsidRPr="005045BF" w:rsidRDefault="00690B10" w:rsidP="00736A95">
      <w:pPr>
        <w:spacing w:after="40"/>
        <w:jc w:val="both"/>
        <w:rPr>
          <w:rFonts w:ascii="Arial" w:hAnsi="Arial" w:cs="Arial"/>
          <w:color w:val="000000"/>
          <w:sz w:val="22"/>
          <w:szCs w:val="22"/>
        </w:rPr>
      </w:pPr>
    </w:p>
    <w:tbl>
      <w:tblPr>
        <w:tblStyle w:val="Tablaconcuadrcula1clara-nfasis1"/>
        <w:tblW w:w="0" w:type="auto"/>
        <w:jc w:val="center"/>
        <w:tblLook w:val="04A0" w:firstRow="1" w:lastRow="0" w:firstColumn="1" w:lastColumn="0" w:noHBand="0" w:noVBand="1"/>
      </w:tblPr>
      <w:tblGrid>
        <w:gridCol w:w="1484"/>
        <w:gridCol w:w="2150"/>
        <w:gridCol w:w="2207"/>
        <w:gridCol w:w="1884"/>
        <w:gridCol w:w="1217"/>
      </w:tblGrid>
      <w:tr w:rsidR="004D6EFE" w:rsidRPr="005045BF" w14:paraId="6FCE7755" w14:textId="77777777" w:rsidTr="004D1F9F">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noWrap/>
            <w:vAlign w:val="center"/>
            <w:hideMark/>
          </w:tcPr>
          <w:p w14:paraId="03190FF8" w14:textId="77777777" w:rsidR="004D6EFE" w:rsidRPr="005045BF" w:rsidRDefault="004D6EFE" w:rsidP="00690B10">
            <w:pPr>
              <w:spacing w:before="120" w:after="120"/>
              <w:jc w:val="center"/>
              <w:rPr>
                <w:rFonts w:ascii="Arial" w:hAnsi="Arial" w:cs="Arial"/>
                <w:color w:val="FFFFFF" w:themeColor="background1"/>
                <w:sz w:val="20"/>
                <w:szCs w:val="20"/>
              </w:rPr>
            </w:pPr>
            <w:r w:rsidRPr="005045BF">
              <w:rPr>
                <w:rFonts w:ascii="Arial" w:hAnsi="Arial" w:cs="Arial"/>
                <w:color w:val="FFFFFF" w:themeColor="background1"/>
                <w:sz w:val="20"/>
                <w:szCs w:val="20"/>
              </w:rPr>
              <w:t>Periodo</w:t>
            </w:r>
          </w:p>
        </w:tc>
        <w:tc>
          <w:tcPr>
            <w:tcW w:w="0" w:type="auto"/>
            <w:tcBorders>
              <w:bottom w:val="nil"/>
            </w:tcBorders>
            <w:shd w:val="clear" w:color="auto" w:fill="4F81BD" w:themeFill="accent1"/>
            <w:noWrap/>
            <w:vAlign w:val="center"/>
            <w:hideMark/>
          </w:tcPr>
          <w:p w14:paraId="73865849" w14:textId="77777777" w:rsidR="004D6EFE" w:rsidRPr="005045BF" w:rsidRDefault="004D6EFE" w:rsidP="00690B1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Número de Contrato</w:t>
            </w:r>
          </w:p>
        </w:tc>
        <w:tc>
          <w:tcPr>
            <w:tcW w:w="0" w:type="auto"/>
            <w:tcBorders>
              <w:bottom w:val="nil"/>
            </w:tcBorders>
            <w:shd w:val="clear" w:color="auto" w:fill="4F81BD" w:themeFill="accent1"/>
            <w:noWrap/>
            <w:vAlign w:val="center"/>
            <w:hideMark/>
          </w:tcPr>
          <w:p w14:paraId="03F5D566" w14:textId="77777777" w:rsidR="004D6EFE" w:rsidRPr="005045BF" w:rsidRDefault="004D6EFE" w:rsidP="00690B1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Proveedor</w:t>
            </w:r>
          </w:p>
        </w:tc>
        <w:tc>
          <w:tcPr>
            <w:tcW w:w="0" w:type="auto"/>
            <w:tcBorders>
              <w:bottom w:val="nil"/>
            </w:tcBorders>
            <w:shd w:val="clear" w:color="auto" w:fill="4F81BD" w:themeFill="accent1"/>
            <w:noWrap/>
            <w:vAlign w:val="center"/>
            <w:hideMark/>
          </w:tcPr>
          <w:p w14:paraId="09084B40" w14:textId="77777777" w:rsidR="004D6EFE" w:rsidRPr="005045BF" w:rsidRDefault="004D6EFE" w:rsidP="00690B1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Valor ($) </w:t>
            </w:r>
          </w:p>
        </w:tc>
        <w:tc>
          <w:tcPr>
            <w:tcW w:w="0" w:type="auto"/>
            <w:tcBorders>
              <w:bottom w:val="nil"/>
            </w:tcBorders>
            <w:shd w:val="clear" w:color="auto" w:fill="4F81BD" w:themeFill="accent1"/>
            <w:noWrap/>
            <w:vAlign w:val="center"/>
            <w:hideMark/>
          </w:tcPr>
          <w:p w14:paraId="1E3B9BA3" w14:textId="77777777" w:rsidR="004D6EFE" w:rsidRPr="005045BF" w:rsidRDefault="004D6EFE" w:rsidP="00690B10">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Plazo </w:t>
            </w:r>
          </w:p>
        </w:tc>
      </w:tr>
      <w:tr w:rsidR="00891242" w:rsidRPr="005045BF" w14:paraId="6EF83028"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noWrap/>
            <w:vAlign w:val="center"/>
            <w:hideMark/>
          </w:tcPr>
          <w:p w14:paraId="5EC4DDC8" w14:textId="59189036" w:rsidR="00891242" w:rsidRPr="005045BF" w:rsidRDefault="00891242" w:rsidP="00690B10">
            <w:pPr>
              <w:spacing w:before="120" w:after="120"/>
              <w:jc w:val="center"/>
              <w:rPr>
                <w:rFonts w:ascii="Arial" w:hAnsi="Arial" w:cs="Arial"/>
                <w:b w:val="0"/>
                <w:bCs w:val="0"/>
                <w:color w:val="0F243E" w:themeColor="text2" w:themeShade="80"/>
                <w:sz w:val="20"/>
                <w:szCs w:val="20"/>
              </w:rPr>
            </w:pPr>
            <w:r w:rsidRPr="005045BF">
              <w:rPr>
                <w:rFonts w:ascii="Arial" w:hAnsi="Arial" w:cs="Arial"/>
                <w:b w:val="0"/>
                <w:bCs w:val="0"/>
                <w:color w:val="0F243E"/>
                <w:sz w:val="20"/>
                <w:szCs w:val="20"/>
              </w:rPr>
              <w:t>Vigencia 2020</w:t>
            </w:r>
          </w:p>
        </w:tc>
        <w:tc>
          <w:tcPr>
            <w:tcW w:w="0" w:type="auto"/>
            <w:tcBorders>
              <w:top w:val="nil"/>
              <w:left w:val="nil"/>
              <w:bottom w:val="nil"/>
              <w:right w:val="nil"/>
            </w:tcBorders>
            <w:noWrap/>
            <w:vAlign w:val="center"/>
            <w:hideMark/>
          </w:tcPr>
          <w:p w14:paraId="417D1CB2" w14:textId="3245EE1D"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2.002-2020</w:t>
            </w:r>
          </w:p>
        </w:tc>
        <w:tc>
          <w:tcPr>
            <w:tcW w:w="0" w:type="auto"/>
            <w:tcBorders>
              <w:top w:val="nil"/>
              <w:left w:val="nil"/>
              <w:bottom w:val="nil"/>
              <w:right w:val="nil"/>
            </w:tcBorders>
            <w:noWrap/>
            <w:vAlign w:val="center"/>
            <w:hideMark/>
          </w:tcPr>
          <w:p w14:paraId="77C2A6BC" w14:textId="60A44B90"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Soluciones MAF SAS</w:t>
            </w:r>
          </w:p>
        </w:tc>
        <w:tc>
          <w:tcPr>
            <w:tcW w:w="0" w:type="auto"/>
            <w:tcBorders>
              <w:top w:val="nil"/>
              <w:left w:val="nil"/>
              <w:bottom w:val="nil"/>
              <w:right w:val="nil"/>
            </w:tcBorders>
            <w:noWrap/>
            <w:vAlign w:val="center"/>
            <w:hideMark/>
          </w:tcPr>
          <w:p w14:paraId="018384D8" w14:textId="3914CB7D" w:rsidR="00891242" w:rsidRPr="005045BF" w:rsidRDefault="00891242" w:rsidP="00690B1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30.000.000</w:t>
            </w:r>
          </w:p>
        </w:tc>
        <w:tc>
          <w:tcPr>
            <w:tcW w:w="0" w:type="auto"/>
            <w:tcBorders>
              <w:top w:val="nil"/>
              <w:left w:val="nil"/>
              <w:bottom w:val="nil"/>
              <w:right w:val="nil"/>
            </w:tcBorders>
            <w:noWrap/>
            <w:vAlign w:val="center"/>
            <w:hideMark/>
          </w:tcPr>
          <w:p w14:paraId="2D8C0067" w14:textId="7995C210"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31/12/2020</w:t>
            </w:r>
          </w:p>
        </w:tc>
      </w:tr>
      <w:tr w:rsidR="00891242" w:rsidRPr="005045BF" w14:paraId="47FCBD24" w14:textId="77777777" w:rsidTr="00690B10">
        <w:trPr>
          <w:cantSplit/>
          <w:trHeight w:val="75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425C5179" w14:textId="1685DB3F" w:rsidR="00891242" w:rsidRPr="005045BF" w:rsidRDefault="00891242" w:rsidP="00690B10">
            <w:pPr>
              <w:spacing w:before="120" w:after="120"/>
              <w:jc w:val="center"/>
              <w:rPr>
                <w:rFonts w:ascii="Arial" w:hAnsi="Arial" w:cs="Arial"/>
                <w:b w:val="0"/>
                <w:bCs w:val="0"/>
                <w:color w:val="0F243E" w:themeColor="text2" w:themeShade="80"/>
                <w:sz w:val="20"/>
                <w:szCs w:val="20"/>
              </w:rPr>
            </w:pPr>
            <w:r w:rsidRPr="005045BF">
              <w:rPr>
                <w:rFonts w:ascii="Arial" w:hAnsi="Arial" w:cs="Arial"/>
                <w:b w:val="0"/>
                <w:bCs w:val="0"/>
                <w:color w:val="0F243E"/>
                <w:sz w:val="20"/>
                <w:szCs w:val="20"/>
              </w:rPr>
              <w:t>Vigencia 2019</w:t>
            </w:r>
          </w:p>
        </w:tc>
        <w:tc>
          <w:tcPr>
            <w:tcW w:w="0" w:type="auto"/>
            <w:tcBorders>
              <w:top w:val="nil"/>
              <w:left w:val="nil"/>
              <w:bottom w:val="double" w:sz="4" w:space="0" w:color="4F81BD" w:themeColor="accent1"/>
              <w:right w:val="nil"/>
            </w:tcBorders>
            <w:noWrap/>
            <w:vAlign w:val="center"/>
            <w:hideMark/>
          </w:tcPr>
          <w:p w14:paraId="6AAE7695" w14:textId="27D78E65"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2.002-2019</w:t>
            </w:r>
          </w:p>
        </w:tc>
        <w:tc>
          <w:tcPr>
            <w:tcW w:w="0" w:type="auto"/>
            <w:tcBorders>
              <w:top w:val="nil"/>
              <w:left w:val="nil"/>
              <w:bottom w:val="double" w:sz="4" w:space="0" w:color="4F81BD" w:themeColor="accent1"/>
              <w:right w:val="nil"/>
            </w:tcBorders>
            <w:noWrap/>
            <w:vAlign w:val="center"/>
            <w:hideMark/>
          </w:tcPr>
          <w:p w14:paraId="420813FC" w14:textId="5132C8F3"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Grupo Los Lagos SAS </w:t>
            </w:r>
          </w:p>
        </w:tc>
        <w:tc>
          <w:tcPr>
            <w:tcW w:w="0" w:type="auto"/>
            <w:tcBorders>
              <w:top w:val="nil"/>
              <w:left w:val="nil"/>
              <w:bottom w:val="double" w:sz="4" w:space="0" w:color="4F81BD" w:themeColor="accent1"/>
              <w:right w:val="nil"/>
            </w:tcBorders>
            <w:noWrap/>
            <w:vAlign w:val="center"/>
            <w:hideMark/>
          </w:tcPr>
          <w:p w14:paraId="4AF38CED" w14:textId="459E29A7" w:rsidR="00891242" w:rsidRPr="005045BF" w:rsidRDefault="00891242" w:rsidP="00690B1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70.000.000 </w:t>
            </w:r>
          </w:p>
        </w:tc>
        <w:tc>
          <w:tcPr>
            <w:tcW w:w="0" w:type="auto"/>
            <w:tcBorders>
              <w:top w:val="nil"/>
              <w:left w:val="nil"/>
              <w:bottom w:val="nil"/>
              <w:right w:val="nil"/>
            </w:tcBorders>
            <w:noWrap/>
            <w:vAlign w:val="center"/>
            <w:hideMark/>
          </w:tcPr>
          <w:p w14:paraId="7C724CE4" w14:textId="1B7EDEF0" w:rsidR="00891242" w:rsidRPr="005045BF" w:rsidRDefault="00891242"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31/12/2019</w:t>
            </w:r>
          </w:p>
        </w:tc>
      </w:tr>
      <w:tr w:rsidR="004D6EFE" w:rsidRPr="005045BF" w14:paraId="25E06F22"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noWrap/>
            <w:vAlign w:val="center"/>
            <w:hideMark/>
          </w:tcPr>
          <w:p w14:paraId="45F0E0B9" w14:textId="77777777" w:rsidR="004D6EFE" w:rsidRPr="005045BF" w:rsidRDefault="004D6EFE" w:rsidP="00690B10">
            <w:pPr>
              <w:spacing w:before="120" w:after="12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Variación ($) </w:t>
            </w:r>
          </w:p>
        </w:tc>
        <w:tc>
          <w:tcPr>
            <w:tcW w:w="0" w:type="auto"/>
            <w:gridSpan w:val="2"/>
            <w:tcBorders>
              <w:top w:val="double" w:sz="4" w:space="0" w:color="4F81BD" w:themeColor="accent1"/>
              <w:left w:val="nil"/>
              <w:bottom w:val="nil"/>
              <w:right w:val="nil"/>
            </w:tcBorders>
            <w:noWrap/>
            <w:vAlign w:val="center"/>
            <w:hideMark/>
          </w:tcPr>
          <w:p w14:paraId="44EA0075" w14:textId="77777777" w:rsidR="004D6EFE" w:rsidRPr="005045BF" w:rsidRDefault="004D6EFE"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w:t>
            </w:r>
          </w:p>
        </w:tc>
        <w:tc>
          <w:tcPr>
            <w:tcW w:w="0" w:type="auto"/>
            <w:tcBorders>
              <w:top w:val="double" w:sz="4" w:space="0" w:color="4F81BD" w:themeColor="accent1"/>
              <w:left w:val="nil"/>
              <w:bottom w:val="nil"/>
              <w:right w:val="nil"/>
            </w:tcBorders>
            <w:noWrap/>
            <w:vAlign w:val="center"/>
            <w:hideMark/>
          </w:tcPr>
          <w:p w14:paraId="60206DE1" w14:textId="0145A34C" w:rsidR="004D6EFE" w:rsidRPr="005045BF" w:rsidRDefault="004D6EFE" w:rsidP="00690B1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891242" w:rsidRPr="005045BF">
              <w:rPr>
                <w:rFonts w:ascii="Arial" w:hAnsi="Arial" w:cs="Arial"/>
                <w:b/>
                <w:bCs/>
                <w:color w:val="0F243E" w:themeColor="text2" w:themeShade="80"/>
                <w:sz w:val="20"/>
                <w:szCs w:val="20"/>
              </w:rPr>
              <w:t>40</w:t>
            </w:r>
            <w:r w:rsidRPr="005045BF">
              <w:rPr>
                <w:rFonts w:ascii="Arial" w:hAnsi="Arial" w:cs="Arial"/>
                <w:b/>
                <w:bCs/>
                <w:color w:val="0F243E" w:themeColor="text2" w:themeShade="80"/>
                <w:sz w:val="20"/>
                <w:szCs w:val="20"/>
              </w:rPr>
              <w:t>.000.000)</w:t>
            </w:r>
          </w:p>
        </w:tc>
        <w:tc>
          <w:tcPr>
            <w:tcW w:w="0" w:type="auto"/>
            <w:tcBorders>
              <w:top w:val="double" w:sz="4" w:space="0" w:color="4F81BD" w:themeColor="accent1"/>
              <w:left w:val="nil"/>
              <w:bottom w:val="nil"/>
              <w:right w:val="nil"/>
            </w:tcBorders>
            <w:noWrap/>
            <w:vAlign w:val="center"/>
            <w:hideMark/>
          </w:tcPr>
          <w:p w14:paraId="572447B9" w14:textId="77777777" w:rsidR="004D6EFE" w:rsidRPr="005045BF" w:rsidRDefault="004D6EFE" w:rsidP="00690B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w:t>
            </w:r>
          </w:p>
        </w:tc>
      </w:tr>
      <w:tr w:rsidR="004D6EFE" w:rsidRPr="005045BF" w14:paraId="265F6CC9" w14:textId="77777777" w:rsidTr="004D1F9F">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noWrap/>
            <w:vAlign w:val="center"/>
            <w:hideMark/>
          </w:tcPr>
          <w:p w14:paraId="2E14268C" w14:textId="77777777" w:rsidR="004D6EFE" w:rsidRPr="005045BF" w:rsidRDefault="004D6EFE" w:rsidP="00690B10">
            <w:pPr>
              <w:spacing w:before="120" w:after="120"/>
              <w:rPr>
                <w:rFonts w:ascii="Arial" w:hAnsi="Arial" w:cs="Arial"/>
                <w:color w:val="0F243E" w:themeColor="text2" w:themeShade="80"/>
                <w:sz w:val="20"/>
                <w:szCs w:val="20"/>
              </w:rPr>
            </w:pPr>
            <w:r w:rsidRPr="005045BF">
              <w:rPr>
                <w:rFonts w:ascii="Arial" w:hAnsi="Arial" w:cs="Arial"/>
                <w:color w:val="0F243E" w:themeColor="text2" w:themeShade="80"/>
                <w:sz w:val="20"/>
                <w:szCs w:val="20"/>
              </w:rPr>
              <w:t>Variación (%)</w:t>
            </w:r>
          </w:p>
        </w:tc>
        <w:tc>
          <w:tcPr>
            <w:tcW w:w="0" w:type="auto"/>
            <w:gridSpan w:val="2"/>
            <w:tcBorders>
              <w:top w:val="nil"/>
              <w:left w:val="nil"/>
              <w:bottom w:val="double" w:sz="4" w:space="0" w:color="4F81BD" w:themeColor="accent1"/>
              <w:right w:val="nil"/>
            </w:tcBorders>
            <w:noWrap/>
            <w:vAlign w:val="center"/>
            <w:hideMark/>
          </w:tcPr>
          <w:p w14:paraId="56178F5E" w14:textId="77777777" w:rsidR="004D6EFE" w:rsidRPr="005045BF" w:rsidRDefault="004D6EFE" w:rsidP="00690B10">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w:t>
            </w:r>
          </w:p>
        </w:tc>
        <w:tc>
          <w:tcPr>
            <w:tcW w:w="0" w:type="auto"/>
            <w:tcBorders>
              <w:top w:val="nil"/>
              <w:left w:val="nil"/>
              <w:bottom w:val="double" w:sz="4" w:space="0" w:color="4F81BD" w:themeColor="accent1"/>
              <w:right w:val="nil"/>
            </w:tcBorders>
            <w:noWrap/>
            <w:vAlign w:val="center"/>
            <w:hideMark/>
          </w:tcPr>
          <w:p w14:paraId="60E3E010" w14:textId="6796599F" w:rsidR="004D6EFE" w:rsidRPr="005045BF" w:rsidRDefault="004D6EFE" w:rsidP="00690B10">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891242" w:rsidRPr="005045BF">
              <w:rPr>
                <w:rFonts w:ascii="Arial" w:hAnsi="Arial" w:cs="Arial"/>
                <w:b/>
                <w:bCs/>
                <w:color w:val="0F243E" w:themeColor="text2" w:themeShade="80"/>
                <w:sz w:val="20"/>
                <w:szCs w:val="20"/>
              </w:rPr>
              <w:t>5</w:t>
            </w:r>
            <w:r w:rsidR="000F3084" w:rsidRPr="005045BF">
              <w:rPr>
                <w:rFonts w:ascii="Arial" w:hAnsi="Arial" w:cs="Arial"/>
                <w:b/>
                <w:bCs/>
                <w:color w:val="0F243E" w:themeColor="text2" w:themeShade="80"/>
                <w:sz w:val="20"/>
                <w:szCs w:val="20"/>
              </w:rPr>
              <w:t>7</w:t>
            </w:r>
            <w:r w:rsidRPr="005045BF">
              <w:rPr>
                <w:rFonts w:ascii="Arial" w:hAnsi="Arial" w:cs="Arial"/>
                <w:b/>
                <w:bCs/>
                <w:color w:val="0F243E" w:themeColor="text2" w:themeShade="80"/>
                <w:sz w:val="20"/>
                <w:szCs w:val="20"/>
              </w:rPr>
              <w:t>%)</w:t>
            </w:r>
          </w:p>
        </w:tc>
        <w:tc>
          <w:tcPr>
            <w:tcW w:w="0" w:type="auto"/>
            <w:tcBorders>
              <w:top w:val="nil"/>
              <w:left w:val="nil"/>
              <w:bottom w:val="double" w:sz="4" w:space="0" w:color="4F81BD" w:themeColor="accent1"/>
              <w:right w:val="nil"/>
            </w:tcBorders>
            <w:noWrap/>
            <w:vAlign w:val="center"/>
            <w:hideMark/>
          </w:tcPr>
          <w:p w14:paraId="2117BAA1" w14:textId="77777777" w:rsidR="004D6EFE" w:rsidRPr="005045BF" w:rsidRDefault="004D6EFE" w:rsidP="00690B10">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w:t>
            </w:r>
          </w:p>
        </w:tc>
      </w:tr>
    </w:tbl>
    <w:p w14:paraId="1D698060" w14:textId="77777777" w:rsidR="00AA0ED3" w:rsidRPr="005045BF" w:rsidRDefault="00AA0ED3" w:rsidP="00AA0ED3">
      <w:pPr>
        <w:jc w:val="both"/>
        <w:rPr>
          <w:rFonts w:ascii="Arial" w:hAnsi="Arial" w:cs="Arial"/>
          <w:color w:val="000000" w:themeColor="text1"/>
          <w:sz w:val="22"/>
          <w:szCs w:val="22"/>
          <w:highlight w:val="yellow"/>
        </w:rPr>
      </w:pPr>
    </w:p>
    <w:p w14:paraId="0C6B3FE4" w14:textId="32E1066E" w:rsidR="008914AA" w:rsidRPr="005045BF" w:rsidRDefault="008914AA" w:rsidP="001B5EBD">
      <w:pPr>
        <w:jc w:val="both"/>
        <w:rPr>
          <w:rFonts w:ascii="Arial" w:hAnsi="Arial" w:cs="Arial"/>
          <w:bCs/>
          <w:color w:val="000000" w:themeColor="text1"/>
          <w:sz w:val="22"/>
          <w:szCs w:val="22"/>
        </w:rPr>
      </w:pPr>
      <w:r w:rsidRPr="005045BF">
        <w:rPr>
          <w:rFonts w:ascii="Arial" w:hAnsi="Arial" w:cs="Arial"/>
          <w:bCs/>
          <w:color w:val="000000" w:themeColor="text1"/>
          <w:sz w:val="22"/>
          <w:szCs w:val="22"/>
        </w:rPr>
        <w:t xml:space="preserve">Frente a lo anterior, se concluye que para el concepto analizado el Ministerio de Hacienda y Crédito Público, logró un ahorro, lo cual contribuyó a las medidas de austeridad en el gasto </w:t>
      </w:r>
      <w:r w:rsidR="001B5EBD" w:rsidRPr="005045BF">
        <w:rPr>
          <w:rFonts w:ascii="Arial" w:hAnsi="Arial" w:cs="Arial"/>
          <w:bCs/>
          <w:color w:val="000000" w:themeColor="text1"/>
          <w:sz w:val="22"/>
          <w:szCs w:val="22"/>
        </w:rPr>
        <w:t>público impartidas</w:t>
      </w:r>
      <w:r w:rsidRPr="005045BF">
        <w:rPr>
          <w:rFonts w:ascii="Arial" w:hAnsi="Arial" w:cs="Arial"/>
          <w:bCs/>
          <w:color w:val="000000" w:themeColor="text1"/>
          <w:sz w:val="22"/>
          <w:szCs w:val="22"/>
        </w:rPr>
        <w:t xml:space="preserve"> por el Gobierno Nacional.  </w:t>
      </w:r>
    </w:p>
    <w:p w14:paraId="5F90F615" w14:textId="77777777" w:rsidR="008914AA" w:rsidRPr="005045BF" w:rsidRDefault="008914AA" w:rsidP="00F41FCC">
      <w:pPr>
        <w:spacing w:after="200" w:line="276" w:lineRule="auto"/>
        <w:rPr>
          <w:rFonts w:ascii="Arial" w:hAnsi="Arial" w:cs="Arial"/>
          <w:b/>
          <w:sz w:val="22"/>
          <w:szCs w:val="22"/>
          <w:highlight w:val="yellow"/>
        </w:rPr>
      </w:pPr>
    </w:p>
    <w:p w14:paraId="69F66550" w14:textId="03ED7104" w:rsidR="00AA5CCE" w:rsidRPr="005045BF" w:rsidRDefault="003879F9" w:rsidP="00F41FCC">
      <w:pPr>
        <w:spacing w:after="200" w:line="276" w:lineRule="auto"/>
        <w:rPr>
          <w:rFonts w:ascii="Arial" w:hAnsi="Arial" w:cs="Arial"/>
          <w:b/>
          <w:sz w:val="22"/>
          <w:szCs w:val="22"/>
        </w:rPr>
      </w:pPr>
      <w:r w:rsidRPr="005045BF">
        <w:rPr>
          <w:rFonts w:ascii="Arial" w:hAnsi="Arial" w:cs="Arial"/>
          <w:b/>
          <w:sz w:val="22"/>
          <w:szCs w:val="22"/>
        </w:rPr>
        <w:t>7</w:t>
      </w:r>
      <w:r w:rsidR="000C38F1" w:rsidRPr="005045BF">
        <w:rPr>
          <w:rFonts w:ascii="Arial" w:hAnsi="Arial" w:cs="Arial"/>
          <w:b/>
          <w:sz w:val="22"/>
          <w:szCs w:val="22"/>
        </w:rPr>
        <w:t>.3</w:t>
      </w:r>
      <w:r w:rsidRPr="005045BF">
        <w:rPr>
          <w:rFonts w:ascii="Arial" w:hAnsi="Arial" w:cs="Arial"/>
          <w:b/>
          <w:sz w:val="22"/>
          <w:szCs w:val="22"/>
        </w:rPr>
        <w:t>.</w:t>
      </w:r>
      <w:r w:rsidR="000C38F1" w:rsidRPr="005045BF">
        <w:rPr>
          <w:rFonts w:ascii="Arial" w:hAnsi="Arial" w:cs="Arial"/>
          <w:b/>
          <w:sz w:val="22"/>
          <w:szCs w:val="22"/>
        </w:rPr>
        <w:t xml:space="preserve"> </w:t>
      </w:r>
      <w:r w:rsidR="00412E8A" w:rsidRPr="005045BF">
        <w:rPr>
          <w:rFonts w:ascii="Arial" w:hAnsi="Arial" w:cs="Arial"/>
          <w:b/>
          <w:sz w:val="22"/>
          <w:szCs w:val="22"/>
        </w:rPr>
        <w:t xml:space="preserve">TELEFONÍA MÓVIL CELULAR </w:t>
      </w:r>
    </w:p>
    <w:p w14:paraId="1997D3BD" w14:textId="6914E1EF" w:rsidR="00AA5CCE" w:rsidRPr="005045BF" w:rsidRDefault="00C51470" w:rsidP="00B84EB6">
      <w:pPr>
        <w:spacing w:line="288" w:lineRule="auto"/>
        <w:jc w:val="both"/>
        <w:rPr>
          <w:rFonts w:ascii="Arial" w:hAnsi="Arial" w:cs="Arial"/>
          <w:sz w:val="22"/>
          <w:szCs w:val="22"/>
        </w:rPr>
      </w:pPr>
      <w:r w:rsidRPr="005045BF">
        <w:rPr>
          <w:rFonts w:ascii="Arial" w:hAnsi="Arial" w:cs="Arial"/>
          <w:sz w:val="22"/>
          <w:szCs w:val="22"/>
        </w:rPr>
        <w:t xml:space="preserve">Con corte a 31 de marzo de 2020, </w:t>
      </w:r>
      <w:r w:rsidR="00AA5CCE" w:rsidRPr="005045BF">
        <w:rPr>
          <w:rFonts w:ascii="Arial" w:hAnsi="Arial" w:cs="Arial"/>
          <w:sz w:val="22"/>
          <w:szCs w:val="22"/>
        </w:rPr>
        <w:t xml:space="preserve">el Ministerio de Hacienda y Crédito Público tenía suscritos contratos para la prestación del servicio de telefonía celular con las siguientes empresas: </w:t>
      </w:r>
      <w:r w:rsidR="00510C72" w:rsidRPr="005045BF">
        <w:rPr>
          <w:rFonts w:ascii="Arial" w:hAnsi="Arial" w:cs="Arial"/>
          <w:sz w:val="22"/>
          <w:szCs w:val="22"/>
        </w:rPr>
        <w:t xml:space="preserve">Colombia Telecomunicaciones S.A </w:t>
      </w:r>
      <w:r w:rsidR="00AA5CCE" w:rsidRPr="005045BF">
        <w:rPr>
          <w:rFonts w:ascii="Arial" w:hAnsi="Arial" w:cs="Arial"/>
          <w:sz w:val="22"/>
          <w:szCs w:val="22"/>
        </w:rPr>
        <w:t>E.S.P</w:t>
      </w:r>
      <w:r w:rsidR="00510C72" w:rsidRPr="005045BF">
        <w:rPr>
          <w:rFonts w:ascii="Arial" w:hAnsi="Arial" w:cs="Arial"/>
          <w:sz w:val="22"/>
          <w:szCs w:val="22"/>
        </w:rPr>
        <w:t xml:space="preserve"> [Movistar]</w:t>
      </w:r>
      <w:r w:rsidR="00AA5CCE" w:rsidRPr="005045BF">
        <w:rPr>
          <w:rFonts w:ascii="Arial" w:hAnsi="Arial" w:cs="Arial"/>
          <w:sz w:val="22"/>
          <w:szCs w:val="22"/>
        </w:rPr>
        <w:t>, Avantel S A S y Comuni</w:t>
      </w:r>
      <w:r w:rsidR="00510C72" w:rsidRPr="005045BF">
        <w:rPr>
          <w:rFonts w:ascii="Arial" w:hAnsi="Arial" w:cs="Arial"/>
          <w:sz w:val="22"/>
          <w:szCs w:val="22"/>
        </w:rPr>
        <w:t>cación Celular S A Comcel S A [Claro]</w:t>
      </w:r>
      <w:r w:rsidRPr="005045BF">
        <w:rPr>
          <w:rFonts w:ascii="Arial" w:hAnsi="Arial" w:cs="Arial"/>
          <w:sz w:val="22"/>
          <w:szCs w:val="22"/>
        </w:rPr>
        <w:t xml:space="preserve">, contando con las siguientes líneas telefónicas activas: </w:t>
      </w:r>
    </w:p>
    <w:p w14:paraId="24140665" w14:textId="77777777" w:rsidR="00C51470" w:rsidRPr="005045BF" w:rsidRDefault="00C51470" w:rsidP="00B84EB6">
      <w:pPr>
        <w:spacing w:line="288" w:lineRule="auto"/>
        <w:jc w:val="both"/>
        <w:rPr>
          <w:rFonts w:ascii="Arial" w:hAnsi="Arial" w:cs="Arial"/>
          <w:sz w:val="22"/>
          <w:szCs w:val="22"/>
        </w:rPr>
      </w:pPr>
    </w:p>
    <w:p w14:paraId="54E37E29" w14:textId="2F334F29" w:rsidR="00245DCF" w:rsidRPr="005045BF" w:rsidRDefault="00245DCF" w:rsidP="00AA5CCE">
      <w:pPr>
        <w:rPr>
          <w:shd w:val="clear" w:color="auto" w:fill="FFFFFF" w:themeFill="background1"/>
          <w:lang w:eastAsia="en-US"/>
        </w:rPr>
      </w:pPr>
      <w:r w:rsidRPr="005045BF">
        <w:rPr>
          <w:noProof/>
          <w:shd w:val="clear" w:color="auto" w:fill="FFFFFF" w:themeFill="background1"/>
          <w:lang w:eastAsia="en-US"/>
        </w:rPr>
        <w:lastRenderedPageBreak/>
        <w:drawing>
          <wp:inline distT="0" distB="0" distL="0" distR="0" wp14:anchorId="1B095E91" wp14:editId="2297AACC">
            <wp:extent cx="6067425" cy="2162175"/>
            <wp:effectExtent l="0" t="57150" r="0" b="104775"/>
            <wp:docPr id="27" name="Diagrama 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7" r:lo="rId38" r:qs="rId39" r:cs="rId40"/>
              </a:graphicData>
            </a:graphic>
          </wp:inline>
        </w:drawing>
      </w:r>
    </w:p>
    <w:p w14:paraId="33CF6C58" w14:textId="77777777" w:rsidR="00B84EB6" w:rsidRDefault="00B84EB6" w:rsidP="00B84EB6">
      <w:pPr>
        <w:spacing w:line="192" w:lineRule="auto"/>
        <w:jc w:val="both"/>
        <w:rPr>
          <w:rFonts w:ascii="Arial" w:hAnsi="Arial" w:cs="Arial"/>
          <w:sz w:val="22"/>
          <w:szCs w:val="22"/>
        </w:rPr>
      </w:pPr>
    </w:p>
    <w:p w14:paraId="7CE24E13" w14:textId="2D2D096D" w:rsidR="00130C73" w:rsidRPr="005045BF" w:rsidRDefault="00AA5CCE" w:rsidP="009C05DD">
      <w:pPr>
        <w:jc w:val="both"/>
        <w:rPr>
          <w:rFonts w:ascii="Arial" w:hAnsi="Arial" w:cs="Arial"/>
          <w:sz w:val="22"/>
          <w:szCs w:val="22"/>
        </w:rPr>
      </w:pPr>
      <w:r w:rsidRPr="005045BF">
        <w:rPr>
          <w:rFonts w:ascii="Arial" w:hAnsi="Arial" w:cs="Arial"/>
          <w:sz w:val="22"/>
          <w:szCs w:val="22"/>
        </w:rPr>
        <w:t xml:space="preserve">Tomando como </w:t>
      </w:r>
      <w:r w:rsidR="00CC5DFB" w:rsidRPr="005045BF">
        <w:rPr>
          <w:rFonts w:ascii="Arial" w:hAnsi="Arial" w:cs="Arial"/>
          <w:sz w:val="22"/>
          <w:szCs w:val="22"/>
        </w:rPr>
        <w:t xml:space="preserve">base </w:t>
      </w:r>
      <w:r w:rsidR="00850442" w:rsidRPr="005045BF">
        <w:rPr>
          <w:rFonts w:ascii="Arial" w:hAnsi="Arial" w:cs="Arial"/>
          <w:sz w:val="22"/>
          <w:szCs w:val="22"/>
        </w:rPr>
        <w:t xml:space="preserve">las obligaciones registradas en el SIIF </w:t>
      </w:r>
      <w:r w:rsidR="0013650D" w:rsidRPr="005045BF">
        <w:rPr>
          <w:rFonts w:ascii="Arial" w:hAnsi="Arial" w:cs="Arial"/>
          <w:sz w:val="22"/>
          <w:szCs w:val="22"/>
        </w:rPr>
        <w:t>concernientes a l</w:t>
      </w:r>
      <w:r w:rsidR="00850442" w:rsidRPr="005045BF">
        <w:rPr>
          <w:rFonts w:ascii="Arial" w:hAnsi="Arial" w:cs="Arial"/>
          <w:sz w:val="22"/>
          <w:szCs w:val="22"/>
        </w:rPr>
        <w:t>os gastos de telefonía móvil para el consumo de los</w:t>
      </w:r>
      <w:r w:rsidR="00CC5DFB" w:rsidRPr="005045BF">
        <w:rPr>
          <w:rFonts w:ascii="Arial" w:hAnsi="Arial" w:cs="Arial"/>
          <w:sz w:val="22"/>
          <w:szCs w:val="22"/>
        </w:rPr>
        <w:t xml:space="preserve"> periodos correspondientes a </w:t>
      </w:r>
      <w:r w:rsidR="00850442" w:rsidRPr="005045BF">
        <w:rPr>
          <w:rFonts w:ascii="Arial" w:hAnsi="Arial" w:cs="Arial"/>
          <w:sz w:val="22"/>
          <w:szCs w:val="22"/>
        </w:rPr>
        <w:t>enero, febrero y marzo de 2020 y 2019</w:t>
      </w:r>
      <w:r w:rsidR="0013650D" w:rsidRPr="005045BF">
        <w:rPr>
          <w:rFonts w:ascii="Arial" w:hAnsi="Arial" w:cs="Arial"/>
          <w:sz w:val="22"/>
          <w:szCs w:val="22"/>
        </w:rPr>
        <w:t>,</w:t>
      </w:r>
      <w:r w:rsidR="00850442" w:rsidRPr="005045BF">
        <w:rPr>
          <w:rFonts w:ascii="Arial" w:hAnsi="Arial" w:cs="Arial"/>
          <w:sz w:val="22"/>
          <w:szCs w:val="22"/>
        </w:rPr>
        <w:t xml:space="preserve"> </w:t>
      </w:r>
      <w:r w:rsidR="00E81A6B" w:rsidRPr="005045BF">
        <w:rPr>
          <w:rFonts w:ascii="Arial" w:hAnsi="Arial" w:cs="Arial"/>
          <w:sz w:val="22"/>
          <w:szCs w:val="22"/>
        </w:rPr>
        <w:t xml:space="preserve">se efectúo </w:t>
      </w:r>
      <w:r w:rsidR="0013650D" w:rsidRPr="005045BF">
        <w:rPr>
          <w:rFonts w:ascii="Arial" w:hAnsi="Arial" w:cs="Arial"/>
          <w:sz w:val="22"/>
          <w:szCs w:val="22"/>
        </w:rPr>
        <w:t xml:space="preserve">la </w:t>
      </w:r>
      <w:r w:rsidR="00E81A6B" w:rsidRPr="005045BF">
        <w:rPr>
          <w:rFonts w:ascii="Arial" w:hAnsi="Arial" w:cs="Arial"/>
          <w:sz w:val="22"/>
          <w:szCs w:val="22"/>
        </w:rPr>
        <w:t xml:space="preserve">comparación con las facturas físicas emitidas </w:t>
      </w:r>
      <w:r w:rsidR="00956ADD" w:rsidRPr="005045BF">
        <w:rPr>
          <w:rFonts w:ascii="Arial" w:hAnsi="Arial" w:cs="Arial"/>
          <w:sz w:val="22"/>
          <w:szCs w:val="22"/>
        </w:rPr>
        <w:t xml:space="preserve">por cada proveedor </w:t>
      </w:r>
      <w:r w:rsidR="00BE5DE7" w:rsidRPr="005045BF">
        <w:rPr>
          <w:rFonts w:ascii="Arial" w:hAnsi="Arial" w:cs="Arial"/>
          <w:sz w:val="22"/>
          <w:szCs w:val="22"/>
        </w:rPr>
        <w:t xml:space="preserve">del servicio de telefonía </w:t>
      </w:r>
      <w:r w:rsidR="00442B0D" w:rsidRPr="005045BF">
        <w:rPr>
          <w:rFonts w:ascii="Arial" w:hAnsi="Arial" w:cs="Arial"/>
          <w:sz w:val="22"/>
          <w:szCs w:val="22"/>
        </w:rPr>
        <w:t>celular, así</w:t>
      </w:r>
      <w:r w:rsidR="00BE5DE7" w:rsidRPr="005045BF">
        <w:rPr>
          <w:rFonts w:ascii="Arial" w:hAnsi="Arial" w:cs="Arial"/>
          <w:sz w:val="22"/>
          <w:szCs w:val="22"/>
        </w:rPr>
        <w:t xml:space="preserve"> mismo, se establecieron las variaciones del valor del gasto por cada operador</w:t>
      </w:r>
      <w:r w:rsidR="00CC5DFB" w:rsidRPr="005045BF">
        <w:rPr>
          <w:rFonts w:ascii="Arial" w:hAnsi="Arial" w:cs="Arial"/>
          <w:sz w:val="22"/>
          <w:szCs w:val="22"/>
        </w:rPr>
        <w:t>.</w:t>
      </w:r>
    </w:p>
    <w:p w14:paraId="1ED1FF2C" w14:textId="77777777" w:rsidR="00130C73" w:rsidRPr="005045BF" w:rsidRDefault="00130C73" w:rsidP="009C05DD">
      <w:pPr>
        <w:spacing w:line="168" w:lineRule="auto"/>
        <w:jc w:val="both"/>
        <w:rPr>
          <w:rFonts w:ascii="Arial" w:hAnsi="Arial" w:cs="Arial"/>
          <w:sz w:val="22"/>
          <w:szCs w:val="22"/>
        </w:rPr>
      </w:pPr>
    </w:p>
    <w:p w14:paraId="111105B8" w14:textId="2688395E" w:rsidR="0015373D" w:rsidRPr="005045BF" w:rsidRDefault="006A7B64" w:rsidP="009C05DD">
      <w:pPr>
        <w:jc w:val="both"/>
        <w:rPr>
          <w:rFonts w:ascii="Arial" w:hAnsi="Arial" w:cs="Arial"/>
          <w:sz w:val="22"/>
          <w:szCs w:val="22"/>
        </w:rPr>
      </w:pPr>
      <w:r w:rsidRPr="005045BF">
        <w:rPr>
          <w:rFonts w:ascii="Arial" w:hAnsi="Arial" w:cs="Arial"/>
          <w:sz w:val="22"/>
          <w:szCs w:val="22"/>
        </w:rPr>
        <w:t>En este punto, e</w:t>
      </w:r>
      <w:r w:rsidR="00130C73" w:rsidRPr="005045BF">
        <w:rPr>
          <w:rFonts w:ascii="Arial" w:hAnsi="Arial" w:cs="Arial"/>
          <w:sz w:val="22"/>
          <w:szCs w:val="22"/>
        </w:rPr>
        <w:t>s importante mencionar que</w:t>
      </w:r>
      <w:r w:rsidRPr="005045BF">
        <w:rPr>
          <w:rFonts w:ascii="Arial" w:hAnsi="Arial" w:cs="Arial"/>
          <w:sz w:val="22"/>
          <w:szCs w:val="22"/>
        </w:rPr>
        <w:t xml:space="preserve"> </w:t>
      </w:r>
      <w:r w:rsidR="0015373D" w:rsidRPr="005045BF">
        <w:rPr>
          <w:rFonts w:ascii="Arial" w:hAnsi="Arial" w:cs="Arial"/>
          <w:sz w:val="22"/>
          <w:szCs w:val="22"/>
        </w:rPr>
        <w:t xml:space="preserve">derivado de la revisión efectuada por la Subdirección de Servicios al valor de los planes facturados, </w:t>
      </w:r>
      <w:r w:rsidR="00214370" w:rsidRPr="005045BF">
        <w:rPr>
          <w:rFonts w:ascii="Arial" w:hAnsi="Arial" w:cs="Arial"/>
          <w:sz w:val="22"/>
          <w:szCs w:val="22"/>
        </w:rPr>
        <w:t>dicha área i</w:t>
      </w:r>
      <w:r w:rsidR="0015373D" w:rsidRPr="005045BF">
        <w:rPr>
          <w:rFonts w:ascii="Arial" w:hAnsi="Arial" w:cs="Arial"/>
          <w:sz w:val="22"/>
          <w:szCs w:val="22"/>
        </w:rPr>
        <w:t xml:space="preserve">dentificó que </w:t>
      </w:r>
      <w:r w:rsidR="00CC5DFB" w:rsidRPr="005045BF">
        <w:rPr>
          <w:rFonts w:ascii="Arial" w:hAnsi="Arial" w:cs="Arial"/>
          <w:sz w:val="22"/>
          <w:szCs w:val="22"/>
        </w:rPr>
        <w:t xml:space="preserve">la empresa </w:t>
      </w:r>
      <w:r w:rsidR="0015373D" w:rsidRPr="005045BF">
        <w:rPr>
          <w:rFonts w:ascii="Arial" w:hAnsi="Arial" w:cs="Arial"/>
          <w:sz w:val="22"/>
          <w:szCs w:val="22"/>
        </w:rPr>
        <w:t>Movistar había cobrado un valor adicional durante todo el periodo de negociación</w:t>
      </w:r>
      <w:r w:rsidR="00CC5DFB" w:rsidRPr="005045BF">
        <w:rPr>
          <w:rFonts w:ascii="Arial" w:hAnsi="Arial" w:cs="Arial"/>
          <w:sz w:val="22"/>
          <w:szCs w:val="22"/>
        </w:rPr>
        <w:t xml:space="preserve"> </w:t>
      </w:r>
      <w:r w:rsidR="005D3DDC" w:rsidRPr="005045BF">
        <w:rPr>
          <w:rFonts w:ascii="Arial" w:hAnsi="Arial" w:cs="Arial"/>
          <w:sz w:val="22"/>
          <w:szCs w:val="22"/>
        </w:rPr>
        <w:t>de la</w:t>
      </w:r>
      <w:r w:rsidR="00CC5DFB" w:rsidRPr="005045BF">
        <w:rPr>
          <w:rFonts w:ascii="Arial" w:hAnsi="Arial" w:cs="Arial"/>
          <w:sz w:val="22"/>
          <w:szCs w:val="22"/>
        </w:rPr>
        <w:t xml:space="preserve"> vigencia 2019</w:t>
      </w:r>
      <w:r w:rsidR="005D3DDC" w:rsidRPr="005045BF">
        <w:rPr>
          <w:rFonts w:ascii="Arial" w:hAnsi="Arial" w:cs="Arial"/>
          <w:sz w:val="22"/>
          <w:szCs w:val="22"/>
        </w:rPr>
        <w:t xml:space="preserve">. En consecuencia, dicha empresa generó las </w:t>
      </w:r>
      <w:r w:rsidRPr="005045BF">
        <w:rPr>
          <w:rFonts w:ascii="Arial" w:hAnsi="Arial" w:cs="Arial"/>
          <w:sz w:val="22"/>
          <w:szCs w:val="22"/>
        </w:rPr>
        <w:t xml:space="preserve">respectivas </w:t>
      </w:r>
      <w:r w:rsidR="005D3DDC" w:rsidRPr="005045BF">
        <w:rPr>
          <w:rFonts w:ascii="Arial" w:hAnsi="Arial" w:cs="Arial"/>
          <w:sz w:val="22"/>
          <w:szCs w:val="22"/>
        </w:rPr>
        <w:t xml:space="preserve">notas crédito por valor de $ </w:t>
      </w:r>
      <w:bookmarkStart w:id="8" w:name="_Hlk44058296"/>
      <w:r w:rsidR="005D3DDC" w:rsidRPr="005045BF">
        <w:rPr>
          <w:rFonts w:ascii="Arial" w:hAnsi="Arial" w:cs="Arial"/>
          <w:sz w:val="22"/>
          <w:szCs w:val="22"/>
        </w:rPr>
        <w:t xml:space="preserve">4.327.957 </w:t>
      </w:r>
      <w:bookmarkEnd w:id="8"/>
      <w:r w:rsidR="005D3DDC" w:rsidRPr="005045BF">
        <w:rPr>
          <w:rFonts w:ascii="Arial" w:hAnsi="Arial" w:cs="Arial"/>
          <w:sz w:val="22"/>
          <w:szCs w:val="22"/>
        </w:rPr>
        <w:t>a favor de este Ministerio, las cuales fueron aplicadas en las facturas correspondientes a los consumos de los periodos de enero y febrero de 2020</w:t>
      </w:r>
      <w:r w:rsidRPr="005045BF">
        <w:rPr>
          <w:rFonts w:ascii="Arial" w:hAnsi="Arial" w:cs="Arial"/>
          <w:sz w:val="22"/>
          <w:szCs w:val="22"/>
        </w:rPr>
        <w:t xml:space="preserve">, es decir, </w:t>
      </w:r>
      <w:r w:rsidR="005D3DDC" w:rsidRPr="005045BF">
        <w:rPr>
          <w:rFonts w:ascii="Arial" w:hAnsi="Arial" w:cs="Arial"/>
          <w:sz w:val="22"/>
          <w:szCs w:val="22"/>
        </w:rPr>
        <w:t>para los periodos en cuestión no se registró en el SIIF obligación para pago</w:t>
      </w:r>
      <w:r w:rsidRPr="005045BF">
        <w:rPr>
          <w:rFonts w:ascii="Arial" w:hAnsi="Arial" w:cs="Arial"/>
          <w:sz w:val="22"/>
          <w:szCs w:val="22"/>
        </w:rPr>
        <w:t>, por tal motivo, las cifras tomadas para establecer las variaciones del gasto correspondieron al valor informado en las facturas del servicio de telefonía móvil</w:t>
      </w:r>
      <w:r w:rsidR="00B10CC2" w:rsidRPr="005045BF">
        <w:rPr>
          <w:rFonts w:ascii="Arial" w:hAnsi="Arial" w:cs="Arial"/>
          <w:sz w:val="22"/>
          <w:szCs w:val="22"/>
        </w:rPr>
        <w:t xml:space="preserve">. </w:t>
      </w:r>
      <w:r w:rsidRPr="005045BF">
        <w:rPr>
          <w:rFonts w:ascii="Arial" w:hAnsi="Arial" w:cs="Arial"/>
          <w:sz w:val="22"/>
          <w:szCs w:val="22"/>
        </w:rPr>
        <w:t xml:space="preserve"> </w:t>
      </w:r>
    </w:p>
    <w:p w14:paraId="2834938B" w14:textId="77777777" w:rsidR="0015373D" w:rsidRPr="005045BF" w:rsidRDefault="0015373D" w:rsidP="009C05DD">
      <w:pPr>
        <w:spacing w:line="168" w:lineRule="auto"/>
        <w:jc w:val="both"/>
        <w:rPr>
          <w:rFonts w:ascii="Arial" w:hAnsi="Arial" w:cs="Arial"/>
          <w:sz w:val="22"/>
          <w:szCs w:val="22"/>
        </w:rPr>
      </w:pPr>
    </w:p>
    <w:p w14:paraId="04E156F4" w14:textId="4408C269" w:rsidR="0015373D" w:rsidRPr="005045BF" w:rsidRDefault="00D60F59" w:rsidP="009C05DD">
      <w:pPr>
        <w:jc w:val="both"/>
        <w:rPr>
          <w:rFonts w:ascii="Arial" w:hAnsi="Arial" w:cs="Arial"/>
          <w:sz w:val="22"/>
          <w:szCs w:val="22"/>
        </w:rPr>
      </w:pPr>
      <w:r w:rsidRPr="005045BF">
        <w:rPr>
          <w:rFonts w:ascii="Arial" w:hAnsi="Arial" w:cs="Arial"/>
          <w:sz w:val="22"/>
          <w:szCs w:val="22"/>
        </w:rPr>
        <w:t xml:space="preserve">A </w:t>
      </w:r>
      <w:r w:rsidR="006B44C8" w:rsidRPr="005045BF">
        <w:rPr>
          <w:rFonts w:ascii="Arial" w:hAnsi="Arial" w:cs="Arial"/>
          <w:sz w:val="22"/>
          <w:szCs w:val="22"/>
        </w:rPr>
        <w:t>continuación,</w:t>
      </w:r>
      <w:r w:rsidRPr="005045BF">
        <w:rPr>
          <w:rFonts w:ascii="Arial" w:hAnsi="Arial" w:cs="Arial"/>
          <w:sz w:val="22"/>
          <w:szCs w:val="22"/>
        </w:rPr>
        <w:t xml:space="preserve"> se presentan las variaciones del gasto de telefonía móvil para el primer trimestre de 2020 comparado con el mismo periodo de 2019: </w:t>
      </w:r>
    </w:p>
    <w:p w14:paraId="53F44ACC" w14:textId="3EF82546" w:rsidR="00850442" w:rsidRPr="005045BF" w:rsidRDefault="00850442" w:rsidP="004644EC">
      <w:pPr>
        <w:jc w:val="both"/>
        <w:rPr>
          <w:rFonts w:ascii="Arial" w:hAnsi="Arial" w:cs="Arial"/>
          <w:sz w:val="22"/>
          <w:szCs w:val="22"/>
        </w:rPr>
      </w:pPr>
    </w:p>
    <w:tbl>
      <w:tblPr>
        <w:tblStyle w:val="Tablaconcuadrcula1clara-nfasis1"/>
        <w:tblW w:w="0" w:type="auto"/>
        <w:jc w:val="center"/>
        <w:tblLook w:val="04A0" w:firstRow="1" w:lastRow="0" w:firstColumn="1" w:lastColumn="0" w:noHBand="0" w:noVBand="1"/>
      </w:tblPr>
      <w:tblGrid>
        <w:gridCol w:w="2915"/>
        <w:gridCol w:w="2053"/>
        <w:gridCol w:w="2126"/>
        <w:gridCol w:w="1843"/>
      </w:tblGrid>
      <w:tr w:rsidR="001A6418" w:rsidRPr="005045BF" w14:paraId="4F6F8F5B" w14:textId="77777777" w:rsidTr="009C05DD">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915" w:type="dxa"/>
            <w:vMerge w:val="restart"/>
            <w:shd w:val="clear" w:color="auto" w:fill="4F81BD" w:themeFill="accent1"/>
            <w:noWrap/>
            <w:vAlign w:val="center"/>
            <w:hideMark/>
          </w:tcPr>
          <w:p w14:paraId="36FBB0E7" w14:textId="4C8C9901" w:rsidR="001A6418" w:rsidRPr="005045BF" w:rsidRDefault="001A6418" w:rsidP="009C05DD">
            <w:pPr>
              <w:spacing w:before="40" w:after="40"/>
              <w:jc w:val="center"/>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Periodo</w:t>
            </w:r>
            <w:r w:rsidR="00130C73" w:rsidRPr="005045BF">
              <w:rPr>
                <w:rStyle w:val="Refdenotaalpie"/>
                <w:rFonts w:ascii="Arial" w:hAnsi="Arial" w:cs="Arial"/>
                <w:color w:val="FFFFFF" w:themeColor="background1"/>
                <w:sz w:val="20"/>
                <w:szCs w:val="20"/>
              </w:rPr>
              <w:footnoteReference w:id="10"/>
            </w:r>
          </w:p>
          <w:p w14:paraId="5DD22FE1" w14:textId="70BE5253" w:rsidR="001A6418" w:rsidRPr="005045BF" w:rsidRDefault="001A6418" w:rsidP="009C05DD">
            <w:pPr>
              <w:spacing w:before="40" w:after="40"/>
              <w:jc w:val="center"/>
              <w:rPr>
                <w:rFonts w:ascii="Arial" w:hAnsi="Arial" w:cs="Arial"/>
                <w:color w:val="FFFFFF" w:themeColor="background1"/>
                <w:sz w:val="20"/>
                <w:szCs w:val="20"/>
              </w:rPr>
            </w:pPr>
            <w:r w:rsidRPr="005045BF">
              <w:rPr>
                <w:rFonts w:ascii="Arial" w:hAnsi="Arial" w:cs="Arial"/>
                <w:color w:val="000000"/>
                <w:sz w:val="20"/>
                <w:szCs w:val="20"/>
              </w:rPr>
              <w:t> </w:t>
            </w:r>
          </w:p>
        </w:tc>
        <w:tc>
          <w:tcPr>
            <w:tcW w:w="6022" w:type="dxa"/>
            <w:gridSpan w:val="3"/>
            <w:shd w:val="clear" w:color="auto" w:fill="4F81BD" w:themeFill="accent1"/>
            <w:noWrap/>
            <w:vAlign w:val="center"/>
            <w:hideMark/>
          </w:tcPr>
          <w:p w14:paraId="6383B97B" w14:textId="7734E7F2" w:rsidR="001A6418" w:rsidRPr="005045BF" w:rsidRDefault="005302F2" w:rsidP="009C05D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Valor Facturado I </w:t>
            </w:r>
            <w:r w:rsidR="001A6418" w:rsidRPr="005045BF">
              <w:rPr>
                <w:rFonts w:ascii="Arial" w:hAnsi="Arial" w:cs="Arial"/>
                <w:color w:val="FFFFFF" w:themeColor="background1"/>
                <w:sz w:val="20"/>
                <w:szCs w:val="20"/>
              </w:rPr>
              <w:t>Trimestre de 20</w:t>
            </w:r>
            <w:r w:rsidR="00130C73" w:rsidRPr="005045BF">
              <w:rPr>
                <w:rFonts w:ascii="Arial" w:hAnsi="Arial" w:cs="Arial"/>
                <w:color w:val="FFFFFF" w:themeColor="background1"/>
                <w:sz w:val="20"/>
                <w:szCs w:val="20"/>
              </w:rPr>
              <w:t>20</w:t>
            </w:r>
            <w:r w:rsidR="001A6418" w:rsidRPr="005045BF">
              <w:rPr>
                <w:rFonts w:ascii="Arial" w:hAnsi="Arial" w:cs="Arial"/>
                <w:color w:val="FFFFFF" w:themeColor="background1"/>
                <w:sz w:val="20"/>
                <w:szCs w:val="20"/>
              </w:rPr>
              <w:t xml:space="preserve"> ($)</w:t>
            </w:r>
          </w:p>
        </w:tc>
      </w:tr>
      <w:tr w:rsidR="001A6418" w:rsidRPr="005045BF" w14:paraId="6DE7C5CA"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vMerge/>
            <w:noWrap/>
            <w:vAlign w:val="center"/>
            <w:hideMark/>
          </w:tcPr>
          <w:p w14:paraId="05DB7093" w14:textId="504D0D15" w:rsidR="001A6418" w:rsidRPr="005045BF" w:rsidRDefault="001A6418" w:rsidP="009C05DD">
            <w:pPr>
              <w:spacing w:before="40" w:after="40"/>
              <w:jc w:val="center"/>
              <w:rPr>
                <w:rFonts w:ascii="Arial" w:hAnsi="Arial" w:cs="Arial"/>
                <w:color w:val="000000"/>
                <w:sz w:val="20"/>
                <w:szCs w:val="20"/>
              </w:rPr>
            </w:pPr>
          </w:p>
        </w:tc>
        <w:tc>
          <w:tcPr>
            <w:tcW w:w="2053" w:type="dxa"/>
            <w:shd w:val="clear" w:color="auto" w:fill="4F81BD" w:themeFill="accent1"/>
            <w:noWrap/>
            <w:vAlign w:val="center"/>
            <w:hideMark/>
          </w:tcPr>
          <w:p w14:paraId="4E7A7B10" w14:textId="77777777" w:rsidR="001A6418" w:rsidRPr="005045BF" w:rsidRDefault="001A6418"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Avantel</w:t>
            </w:r>
          </w:p>
        </w:tc>
        <w:tc>
          <w:tcPr>
            <w:tcW w:w="2126" w:type="dxa"/>
            <w:shd w:val="clear" w:color="auto" w:fill="4F81BD" w:themeFill="accent1"/>
            <w:noWrap/>
            <w:vAlign w:val="center"/>
            <w:hideMark/>
          </w:tcPr>
          <w:p w14:paraId="4BCFEF7A" w14:textId="77777777" w:rsidR="001A6418" w:rsidRPr="005045BF" w:rsidRDefault="001A6418"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Claro</w:t>
            </w:r>
          </w:p>
        </w:tc>
        <w:tc>
          <w:tcPr>
            <w:tcW w:w="1843" w:type="dxa"/>
            <w:shd w:val="clear" w:color="auto" w:fill="4F81BD" w:themeFill="accent1"/>
            <w:noWrap/>
            <w:vAlign w:val="center"/>
            <w:hideMark/>
          </w:tcPr>
          <w:p w14:paraId="0322ECEC" w14:textId="77777777" w:rsidR="001A6418" w:rsidRPr="005045BF" w:rsidRDefault="001A6418"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Movistar</w:t>
            </w:r>
          </w:p>
        </w:tc>
      </w:tr>
      <w:tr w:rsidR="00CB1C8B" w:rsidRPr="005045BF" w14:paraId="6B9B5066"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noWrap/>
            <w:vAlign w:val="center"/>
          </w:tcPr>
          <w:p w14:paraId="6F9BCF18" w14:textId="668221CA" w:rsidR="00CB1C8B" w:rsidRPr="002A730F" w:rsidRDefault="00CB1C8B"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Enero</w:t>
            </w:r>
          </w:p>
        </w:tc>
        <w:tc>
          <w:tcPr>
            <w:tcW w:w="2053" w:type="dxa"/>
            <w:noWrap/>
            <w:vAlign w:val="bottom"/>
          </w:tcPr>
          <w:p w14:paraId="4764AE19" w14:textId="0DB80861"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957.095 </w:t>
            </w:r>
          </w:p>
        </w:tc>
        <w:tc>
          <w:tcPr>
            <w:tcW w:w="2126" w:type="dxa"/>
            <w:noWrap/>
            <w:vAlign w:val="bottom"/>
          </w:tcPr>
          <w:p w14:paraId="7C77E1F3" w14:textId="1A24B49D"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856.120 </w:t>
            </w:r>
          </w:p>
        </w:tc>
        <w:tc>
          <w:tcPr>
            <w:tcW w:w="1843" w:type="dxa"/>
            <w:noWrap/>
            <w:vAlign w:val="center"/>
          </w:tcPr>
          <w:p w14:paraId="1E24248F" w14:textId="4640B180"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2.721.268</w:t>
            </w:r>
          </w:p>
        </w:tc>
      </w:tr>
      <w:tr w:rsidR="00CB1C8B" w:rsidRPr="005045BF" w14:paraId="4ACAED74"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noWrap/>
            <w:vAlign w:val="center"/>
          </w:tcPr>
          <w:p w14:paraId="406839B6" w14:textId="244C85FE" w:rsidR="00CB1C8B" w:rsidRPr="002A730F" w:rsidRDefault="00CB1C8B"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 xml:space="preserve">Febrero </w:t>
            </w:r>
          </w:p>
        </w:tc>
        <w:tc>
          <w:tcPr>
            <w:tcW w:w="2053" w:type="dxa"/>
            <w:noWrap/>
            <w:vAlign w:val="bottom"/>
          </w:tcPr>
          <w:p w14:paraId="797AE13E" w14:textId="576D5F33"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957.095 </w:t>
            </w:r>
          </w:p>
        </w:tc>
        <w:tc>
          <w:tcPr>
            <w:tcW w:w="2126" w:type="dxa"/>
            <w:noWrap/>
            <w:vAlign w:val="bottom"/>
          </w:tcPr>
          <w:p w14:paraId="7A1FF777" w14:textId="42BBD3E1"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856.120 </w:t>
            </w:r>
          </w:p>
        </w:tc>
        <w:tc>
          <w:tcPr>
            <w:tcW w:w="1843" w:type="dxa"/>
            <w:noWrap/>
            <w:vAlign w:val="center"/>
          </w:tcPr>
          <w:p w14:paraId="37657875" w14:textId="2F7EF222"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1.464.571</w:t>
            </w:r>
          </w:p>
        </w:tc>
      </w:tr>
      <w:tr w:rsidR="00CB1C8B" w:rsidRPr="005045BF" w14:paraId="06396492"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tcBorders>
              <w:bottom w:val="double" w:sz="4" w:space="0" w:color="4F81BD" w:themeColor="accent1"/>
            </w:tcBorders>
            <w:noWrap/>
            <w:vAlign w:val="center"/>
          </w:tcPr>
          <w:p w14:paraId="660469E2" w14:textId="0D8DAFB7" w:rsidR="00CB1C8B" w:rsidRPr="002A730F" w:rsidRDefault="00CB1C8B"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Marzo</w:t>
            </w:r>
          </w:p>
        </w:tc>
        <w:tc>
          <w:tcPr>
            <w:tcW w:w="2053" w:type="dxa"/>
            <w:tcBorders>
              <w:bottom w:val="double" w:sz="4" w:space="0" w:color="4F81BD" w:themeColor="accent1"/>
            </w:tcBorders>
            <w:noWrap/>
            <w:vAlign w:val="bottom"/>
          </w:tcPr>
          <w:p w14:paraId="525EEEC6" w14:textId="0C387DC6"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957.095 </w:t>
            </w:r>
          </w:p>
        </w:tc>
        <w:tc>
          <w:tcPr>
            <w:tcW w:w="2126" w:type="dxa"/>
            <w:tcBorders>
              <w:bottom w:val="double" w:sz="4" w:space="0" w:color="4F81BD" w:themeColor="accent1"/>
            </w:tcBorders>
            <w:noWrap/>
            <w:vAlign w:val="bottom"/>
          </w:tcPr>
          <w:p w14:paraId="1EFAFC72" w14:textId="5696A8EA"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 xml:space="preserve">               856.120 </w:t>
            </w:r>
          </w:p>
        </w:tc>
        <w:tc>
          <w:tcPr>
            <w:tcW w:w="1843" w:type="dxa"/>
            <w:tcBorders>
              <w:bottom w:val="double" w:sz="4" w:space="0" w:color="4F81BD" w:themeColor="accent1"/>
            </w:tcBorders>
            <w:noWrap/>
            <w:vAlign w:val="center"/>
          </w:tcPr>
          <w:p w14:paraId="1DB36514" w14:textId="2CACEC09" w:rsidR="00CB1C8B" w:rsidRPr="002A730F" w:rsidRDefault="00CB1C8B"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1.513.444</w:t>
            </w:r>
          </w:p>
        </w:tc>
      </w:tr>
      <w:tr w:rsidR="006B44C8" w:rsidRPr="005045BF" w14:paraId="6B4893BE"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tcBorders>
              <w:top w:val="double" w:sz="4" w:space="0" w:color="4F81BD" w:themeColor="accent1"/>
              <w:bottom w:val="double" w:sz="4" w:space="0" w:color="4F81BD" w:themeColor="accent1"/>
            </w:tcBorders>
            <w:noWrap/>
            <w:vAlign w:val="center"/>
          </w:tcPr>
          <w:p w14:paraId="62D3E045" w14:textId="58151A75" w:rsidR="006B44C8" w:rsidRPr="002A730F" w:rsidRDefault="006B44C8"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Total</w:t>
            </w:r>
          </w:p>
        </w:tc>
        <w:tc>
          <w:tcPr>
            <w:tcW w:w="2053" w:type="dxa"/>
            <w:tcBorders>
              <w:top w:val="double" w:sz="4" w:space="0" w:color="4F81BD" w:themeColor="accent1"/>
              <w:bottom w:val="double" w:sz="4" w:space="0" w:color="4F81BD" w:themeColor="accent1"/>
            </w:tcBorders>
            <w:noWrap/>
            <w:vAlign w:val="center"/>
          </w:tcPr>
          <w:p w14:paraId="754FAFD9" w14:textId="317A7F26"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254061"/>
                <w:sz w:val="20"/>
                <w:szCs w:val="20"/>
              </w:rPr>
              <w:t>2.871.285</w:t>
            </w:r>
          </w:p>
        </w:tc>
        <w:tc>
          <w:tcPr>
            <w:tcW w:w="2126" w:type="dxa"/>
            <w:tcBorders>
              <w:top w:val="double" w:sz="4" w:space="0" w:color="4F81BD" w:themeColor="accent1"/>
              <w:bottom w:val="double" w:sz="4" w:space="0" w:color="4F81BD" w:themeColor="accent1"/>
            </w:tcBorders>
            <w:noWrap/>
            <w:vAlign w:val="center"/>
          </w:tcPr>
          <w:p w14:paraId="0D1A108C" w14:textId="38B1A16E"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254061"/>
                <w:sz w:val="20"/>
                <w:szCs w:val="20"/>
              </w:rPr>
              <w:t>2.568.360</w:t>
            </w:r>
          </w:p>
        </w:tc>
        <w:tc>
          <w:tcPr>
            <w:tcW w:w="1843" w:type="dxa"/>
            <w:tcBorders>
              <w:top w:val="double" w:sz="4" w:space="0" w:color="4F81BD" w:themeColor="accent1"/>
            </w:tcBorders>
            <w:noWrap/>
            <w:vAlign w:val="center"/>
          </w:tcPr>
          <w:p w14:paraId="3BF96FF3" w14:textId="12677AF2"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254061"/>
                <w:sz w:val="20"/>
                <w:szCs w:val="20"/>
              </w:rPr>
              <w:t>5.701.294</w:t>
            </w:r>
          </w:p>
        </w:tc>
      </w:tr>
      <w:tr w:rsidR="00352897" w:rsidRPr="005045BF" w14:paraId="05FA65F0"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vMerge w:val="restart"/>
            <w:tcBorders>
              <w:top w:val="double" w:sz="4" w:space="0" w:color="4F81BD" w:themeColor="accent1"/>
            </w:tcBorders>
            <w:shd w:val="clear" w:color="auto" w:fill="4F81BD" w:themeFill="accent1"/>
            <w:noWrap/>
            <w:vAlign w:val="center"/>
            <w:hideMark/>
          </w:tcPr>
          <w:p w14:paraId="5A58D163" w14:textId="77777777" w:rsidR="00352897" w:rsidRPr="005045BF" w:rsidRDefault="00352897" w:rsidP="009C05DD">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Periodo</w:t>
            </w:r>
          </w:p>
        </w:tc>
        <w:tc>
          <w:tcPr>
            <w:tcW w:w="6022" w:type="dxa"/>
            <w:gridSpan w:val="3"/>
            <w:tcBorders>
              <w:top w:val="double" w:sz="4" w:space="0" w:color="4F81BD" w:themeColor="accent1"/>
            </w:tcBorders>
            <w:shd w:val="clear" w:color="auto" w:fill="4F81BD" w:themeFill="accent1"/>
            <w:noWrap/>
            <w:vAlign w:val="center"/>
            <w:hideMark/>
          </w:tcPr>
          <w:p w14:paraId="1C65BC6D" w14:textId="0A265076" w:rsidR="00352897" w:rsidRPr="005045BF" w:rsidRDefault="00352897"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Valor Facturado </w:t>
            </w:r>
            <w:r w:rsidR="0079219A" w:rsidRPr="005045BF">
              <w:rPr>
                <w:rFonts w:ascii="Arial" w:hAnsi="Arial" w:cs="Arial"/>
                <w:b/>
                <w:bCs/>
                <w:color w:val="FFFFFF" w:themeColor="background1"/>
                <w:sz w:val="20"/>
                <w:szCs w:val="20"/>
              </w:rPr>
              <w:t>I</w:t>
            </w:r>
            <w:r w:rsidR="005302F2" w:rsidRPr="005045BF">
              <w:rPr>
                <w:rFonts w:ascii="Arial" w:hAnsi="Arial" w:cs="Arial"/>
                <w:b/>
                <w:bCs/>
                <w:color w:val="FFFFFF" w:themeColor="background1"/>
                <w:sz w:val="20"/>
                <w:szCs w:val="20"/>
              </w:rPr>
              <w:t xml:space="preserve"> </w:t>
            </w:r>
            <w:r w:rsidRPr="005045BF">
              <w:rPr>
                <w:rFonts w:ascii="Arial" w:hAnsi="Arial" w:cs="Arial"/>
                <w:b/>
                <w:bCs/>
                <w:color w:val="FFFFFF" w:themeColor="background1"/>
                <w:sz w:val="20"/>
                <w:szCs w:val="20"/>
              </w:rPr>
              <w:t>Trimestre de 201</w:t>
            </w:r>
            <w:r w:rsidR="00B9632F" w:rsidRPr="005045BF">
              <w:rPr>
                <w:rFonts w:ascii="Arial" w:hAnsi="Arial" w:cs="Arial"/>
                <w:b/>
                <w:bCs/>
                <w:color w:val="FFFFFF" w:themeColor="background1"/>
                <w:sz w:val="20"/>
                <w:szCs w:val="20"/>
              </w:rPr>
              <w:t>9</w:t>
            </w:r>
            <w:r w:rsidRPr="005045BF">
              <w:rPr>
                <w:rFonts w:ascii="Arial" w:hAnsi="Arial" w:cs="Arial"/>
                <w:b/>
                <w:bCs/>
                <w:color w:val="FFFFFF" w:themeColor="background1"/>
                <w:sz w:val="20"/>
                <w:szCs w:val="20"/>
              </w:rPr>
              <w:t xml:space="preserve"> ($) </w:t>
            </w:r>
          </w:p>
        </w:tc>
      </w:tr>
      <w:tr w:rsidR="008F795D" w:rsidRPr="005045BF" w14:paraId="60EE4D79"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vMerge/>
            <w:shd w:val="clear" w:color="auto" w:fill="4F81BD" w:themeFill="accent1"/>
            <w:vAlign w:val="center"/>
            <w:hideMark/>
          </w:tcPr>
          <w:p w14:paraId="72254E79" w14:textId="77777777" w:rsidR="00352897" w:rsidRPr="005045BF" w:rsidRDefault="00352897" w:rsidP="009C05DD">
            <w:pPr>
              <w:spacing w:before="40" w:after="40"/>
              <w:rPr>
                <w:rFonts w:ascii="Arial" w:hAnsi="Arial" w:cs="Arial"/>
                <w:color w:val="FFFFFF" w:themeColor="background1"/>
                <w:sz w:val="20"/>
                <w:szCs w:val="20"/>
              </w:rPr>
            </w:pPr>
          </w:p>
        </w:tc>
        <w:tc>
          <w:tcPr>
            <w:tcW w:w="2053" w:type="dxa"/>
            <w:shd w:val="clear" w:color="auto" w:fill="4F81BD" w:themeFill="accent1"/>
            <w:noWrap/>
            <w:vAlign w:val="center"/>
            <w:hideMark/>
          </w:tcPr>
          <w:p w14:paraId="1C407132" w14:textId="0683EF77" w:rsidR="00352897" w:rsidRPr="005045BF" w:rsidRDefault="00352897"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Avantel</w:t>
            </w:r>
          </w:p>
        </w:tc>
        <w:tc>
          <w:tcPr>
            <w:tcW w:w="2126" w:type="dxa"/>
            <w:shd w:val="clear" w:color="auto" w:fill="4F81BD" w:themeFill="accent1"/>
            <w:noWrap/>
            <w:vAlign w:val="center"/>
            <w:hideMark/>
          </w:tcPr>
          <w:p w14:paraId="6F433ABE" w14:textId="540E79B3" w:rsidR="00352897" w:rsidRPr="005045BF" w:rsidRDefault="00352897"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Claro</w:t>
            </w:r>
          </w:p>
        </w:tc>
        <w:tc>
          <w:tcPr>
            <w:tcW w:w="1843" w:type="dxa"/>
            <w:shd w:val="clear" w:color="auto" w:fill="4F81BD" w:themeFill="accent1"/>
            <w:noWrap/>
            <w:vAlign w:val="center"/>
            <w:hideMark/>
          </w:tcPr>
          <w:p w14:paraId="013171FB" w14:textId="5421B8AE" w:rsidR="00352897" w:rsidRPr="005045BF" w:rsidRDefault="00352897" w:rsidP="009C05D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Movistar</w:t>
            </w:r>
          </w:p>
        </w:tc>
      </w:tr>
      <w:tr w:rsidR="006B44C8" w:rsidRPr="005045BF" w14:paraId="1B0241B2"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noWrap/>
            <w:vAlign w:val="center"/>
          </w:tcPr>
          <w:p w14:paraId="311F0A01" w14:textId="4BD2BBB5" w:rsidR="006B44C8" w:rsidRPr="002A730F" w:rsidRDefault="006B44C8"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Enero</w:t>
            </w:r>
          </w:p>
        </w:tc>
        <w:tc>
          <w:tcPr>
            <w:tcW w:w="2053" w:type="dxa"/>
            <w:noWrap/>
            <w:vAlign w:val="center"/>
          </w:tcPr>
          <w:p w14:paraId="0ECF8EA6" w14:textId="4C7E4567"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1.266.588</w:t>
            </w:r>
          </w:p>
        </w:tc>
        <w:tc>
          <w:tcPr>
            <w:tcW w:w="2126" w:type="dxa"/>
            <w:noWrap/>
            <w:vAlign w:val="center"/>
          </w:tcPr>
          <w:p w14:paraId="4BA03851" w14:textId="6D170751"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856.120</w:t>
            </w:r>
          </w:p>
        </w:tc>
        <w:tc>
          <w:tcPr>
            <w:tcW w:w="1843" w:type="dxa"/>
            <w:noWrap/>
            <w:vAlign w:val="center"/>
          </w:tcPr>
          <w:p w14:paraId="5C9D563D" w14:textId="09BBE1A9"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3.236.401</w:t>
            </w:r>
          </w:p>
        </w:tc>
      </w:tr>
      <w:tr w:rsidR="006B44C8" w:rsidRPr="005045BF" w14:paraId="48D95DE5"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noWrap/>
            <w:vAlign w:val="center"/>
          </w:tcPr>
          <w:p w14:paraId="409F13D8" w14:textId="0C9284C9" w:rsidR="006B44C8" w:rsidRPr="002A730F" w:rsidRDefault="006B44C8"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 xml:space="preserve">Febrero </w:t>
            </w:r>
          </w:p>
        </w:tc>
        <w:tc>
          <w:tcPr>
            <w:tcW w:w="2053" w:type="dxa"/>
            <w:noWrap/>
            <w:vAlign w:val="center"/>
          </w:tcPr>
          <w:p w14:paraId="31C91891" w14:textId="54BCBC9B"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1.266.588</w:t>
            </w:r>
          </w:p>
        </w:tc>
        <w:tc>
          <w:tcPr>
            <w:tcW w:w="2126" w:type="dxa"/>
            <w:noWrap/>
            <w:vAlign w:val="center"/>
          </w:tcPr>
          <w:p w14:paraId="0AC03704" w14:textId="776EA8F6"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856.120</w:t>
            </w:r>
          </w:p>
        </w:tc>
        <w:tc>
          <w:tcPr>
            <w:tcW w:w="1843" w:type="dxa"/>
            <w:noWrap/>
            <w:vAlign w:val="center"/>
          </w:tcPr>
          <w:p w14:paraId="0B0B3ABF" w14:textId="32C7060F"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3.585.068</w:t>
            </w:r>
          </w:p>
        </w:tc>
      </w:tr>
      <w:tr w:rsidR="006B44C8" w:rsidRPr="005045BF" w14:paraId="52C0534D"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tcBorders>
              <w:bottom w:val="double" w:sz="4" w:space="0" w:color="4F81BD" w:themeColor="accent1"/>
            </w:tcBorders>
            <w:noWrap/>
            <w:vAlign w:val="center"/>
          </w:tcPr>
          <w:p w14:paraId="55F3EFFC" w14:textId="5AD38DC2" w:rsidR="006B44C8" w:rsidRPr="002A730F" w:rsidRDefault="006B44C8"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Marzo</w:t>
            </w:r>
          </w:p>
        </w:tc>
        <w:tc>
          <w:tcPr>
            <w:tcW w:w="2053" w:type="dxa"/>
            <w:tcBorders>
              <w:bottom w:val="double" w:sz="4" w:space="0" w:color="4F81BD" w:themeColor="accent1"/>
            </w:tcBorders>
            <w:noWrap/>
            <w:vAlign w:val="center"/>
          </w:tcPr>
          <w:p w14:paraId="0A4A6F91" w14:textId="760427A7"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1.266.588</w:t>
            </w:r>
          </w:p>
        </w:tc>
        <w:tc>
          <w:tcPr>
            <w:tcW w:w="2126" w:type="dxa"/>
            <w:tcBorders>
              <w:bottom w:val="double" w:sz="4" w:space="0" w:color="4F81BD" w:themeColor="accent1"/>
            </w:tcBorders>
            <w:noWrap/>
            <w:vAlign w:val="center"/>
          </w:tcPr>
          <w:p w14:paraId="64A6B90F" w14:textId="708B42C6"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856.120</w:t>
            </w:r>
          </w:p>
        </w:tc>
        <w:tc>
          <w:tcPr>
            <w:tcW w:w="1843" w:type="dxa"/>
            <w:tcBorders>
              <w:bottom w:val="double" w:sz="4" w:space="0" w:color="4F81BD" w:themeColor="accent1"/>
            </w:tcBorders>
            <w:noWrap/>
            <w:vAlign w:val="center"/>
          </w:tcPr>
          <w:p w14:paraId="6B1654CE" w14:textId="368AC1CC"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2A730F">
              <w:rPr>
                <w:rFonts w:ascii="Arial" w:hAnsi="Arial" w:cs="Arial"/>
                <w:color w:val="0F243E" w:themeColor="text2" w:themeShade="80"/>
                <w:sz w:val="20"/>
                <w:szCs w:val="20"/>
              </w:rPr>
              <w:t>3.159.323</w:t>
            </w:r>
          </w:p>
        </w:tc>
      </w:tr>
      <w:tr w:rsidR="006B44C8" w:rsidRPr="005045BF" w14:paraId="3FBFD226"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tcBorders>
              <w:top w:val="double" w:sz="4" w:space="0" w:color="4F81BD" w:themeColor="accent1"/>
              <w:bottom w:val="double" w:sz="4" w:space="0" w:color="4F81BD" w:themeColor="accent1"/>
            </w:tcBorders>
            <w:noWrap/>
            <w:vAlign w:val="center"/>
          </w:tcPr>
          <w:p w14:paraId="3748A38A" w14:textId="16D6564F" w:rsidR="006B44C8" w:rsidRPr="002A730F" w:rsidRDefault="006B44C8" w:rsidP="009C05DD">
            <w:pPr>
              <w:spacing w:before="40" w:after="40"/>
              <w:rPr>
                <w:rFonts w:ascii="Arial" w:hAnsi="Arial" w:cs="Arial"/>
                <w:color w:val="0F243E" w:themeColor="text2" w:themeShade="80"/>
                <w:sz w:val="20"/>
                <w:szCs w:val="20"/>
              </w:rPr>
            </w:pPr>
            <w:r w:rsidRPr="002A730F">
              <w:rPr>
                <w:rFonts w:ascii="Arial" w:hAnsi="Arial" w:cs="Arial"/>
                <w:b w:val="0"/>
                <w:bCs w:val="0"/>
                <w:color w:val="0F243E" w:themeColor="text2" w:themeShade="80"/>
                <w:sz w:val="20"/>
                <w:szCs w:val="20"/>
              </w:rPr>
              <w:t>Total</w:t>
            </w:r>
          </w:p>
        </w:tc>
        <w:tc>
          <w:tcPr>
            <w:tcW w:w="2053" w:type="dxa"/>
            <w:tcBorders>
              <w:top w:val="double" w:sz="4" w:space="0" w:color="4F81BD" w:themeColor="accent1"/>
              <w:bottom w:val="double" w:sz="4" w:space="0" w:color="4F81BD" w:themeColor="accent1"/>
            </w:tcBorders>
            <w:noWrap/>
            <w:vAlign w:val="center"/>
          </w:tcPr>
          <w:p w14:paraId="78B6B48E" w14:textId="2C78D8C6"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A730F">
              <w:rPr>
                <w:rFonts w:ascii="Arial" w:hAnsi="Arial" w:cs="Arial"/>
                <w:b/>
                <w:bCs/>
                <w:color w:val="0F243E" w:themeColor="text2" w:themeShade="80"/>
                <w:sz w:val="20"/>
                <w:szCs w:val="20"/>
              </w:rPr>
              <w:t>3.799.764</w:t>
            </w:r>
          </w:p>
        </w:tc>
        <w:tc>
          <w:tcPr>
            <w:tcW w:w="2126" w:type="dxa"/>
            <w:tcBorders>
              <w:top w:val="double" w:sz="4" w:space="0" w:color="4F81BD" w:themeColor="accent1"/>
              <w:bottom w:val="double" w:sz="4" w:space="0" w:color="4F81BD" w:themeColor="accent1"/>
            </w:tcBorders>
            <w:noWrap/>
            <w:vAlign w:val="center"/>
          </w:tcPr>
          <w:p w14:paraId="14399A1C" w14:textId="0F954FB4"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A730F">
              <w:rPr>
                <w:rFonts w:ascii="Arial" w:hAnsi="Arial" w:cs="Arial"/>
                <w:b/>
                <w:bCs/>
                <w:color w:val="0F243E" w:themeColor="text2" w:themeShade="80"/>
                <w:sz w:val="20"/>
                <w:szCs w:val="20"/>
              </w:rPr>
              <w:t>2.568.360</w:t>
            </w:r>
          </w:p>
        </w:tc>
        <w:tc>
          <w:tcPr>
            <w:tcW w:w="1843" w:type="dxa"/>
            <w:tcBorders>
              <w:top w:val="double" w:sz="4" w:space="0" w:color="4F81BD" w:themeColor="accent1"/>
              <w:bottom w:val="double" w:sz="4" w:space="0" w:color="4F81BD" w:themeColor="accent1"/>
            </w:tcBorders>
            <w:noWrap/>
            <w:vAlign w:val="center"/>
          </w:tcPr>
          <w:p w14:paraId="00D9D4A8" w14:textId="470C1E08" w:rsidR="006B44C8" w:rsidRPr="002A730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2A730F">
              <w:rPr>
                <w:rFonts w:ascii="Arial" w:hAnsi="Arial" w:cs="Arial"/>
                <w:b/>
                <w:bCs/>
                <w:color w:val="0F243E" w:themeColor="text2" w:themeShade="80"/>
                <w:sz w:val="20"/>
                <w:szCs w:val="20"/>
              </w:rPr>
              <w:t>9.980.792</w:t>
            </w:r>
          </w:p>
        </w:tc>
      </w:tr>
      <w:tr w:rsidR="006B44C8" w:rsidRPr="005045BF" w14:paraId="4EEBE04D"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vMerge w:val="restart"/>
            <w:tcBorders>
              <w:top w:val="double" w:sz="4" w:space="0" w:color="4F81BD" w:themeColor="accent1"/>
            </w:tcBorders>
            <w:shd w:val="clear" w:color="auto" w:fill="4F81BD" w:themeFill="accent1"/>
            <w:noWrap/>
            <w:vAlign w:val="center"/>
            <w:hideMark/>
          </w:tcPr>
          <w:p w14:paraId="3CEDE096" w14:textId="77777777" w:rsidR="006B44C8" w:rsidRPr="005045BF" w:rsidRDefault="006B44C8" w:rsidP="009C05DD">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2053" w:type="dxa"/>
            <w:tcBorders>
              <w:top w:val="double" w:sz="4" w:space="0" w:color="4F81BD" w:themeColor="accent1"/>
            </w:tcBorders>
            <w:shd w:val="clear" w:color="auto" w:fill="4F81BD" w:themeFill="accent1"/>
            <w:noWrap/>
            <w:vAlign w:val="center"/>
          </w:tcPr>
          <w:p w14:paraId="0CCDA533" w14:textId="536B68D9"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(928.479)</w:t>
            </w:r>
          </w:p>
        </w:tc>
        <w:tc>
          <w:tcPr>
            <w:tcW w:w="2126" w:type="dxa"/>
            <w:tcBorders>
              <w:top w:val="double" w:sz="4" w:space="0" w:color="4F81BD" w:themeColor="accent1"/>
            </w:tcBorders>
            <w:shd w:val="clear" w:color="auto" w:fill="4F81BD" w:themeFill="accent1"/>
            <w:noWrap/>
            <w:vAlign w:val="center"/>
          </w:tcPr>
          <w:p w14:paraId="48474CAD" w14:textId="728DEA0B"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0</w:t>
            </w:r>
          </w:p>
        </w:tc>
        <w:tc>
          <w:tcPr>
            <w:tcW w:w="1843" w:type="dxa"/>
            <w:tcBorders>
              <w:top w:val="double" w:sz="4" w:space="0" w:color="4F81BD" w:themeColor="accent1"/>
            </w:tcBorders>
            <w:shd w:val="clear" w:color="auto" w:fill="4F81BD" w:themeFill="accent1"/>
            <w:noWrap/>
            <w:vAlign w:val="center"/>
          </w:tcPr>
          <w:p w14:paraId="725556B2" w14:textId="27932A58"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w:t>
            </w:r>
            <w:r w:rsidR="00CB1C8B" w:rsidRPr="005045BF">
              <w:rPr>
                <w:rFonts w:ascii="Arial" w:hAnsi="Arial" w:cs="Arial"/>
                <w:b/>
                <w:bCs/>
                <w:color w:val="FFFFFF"/>
                <w:sz w:val="20"/>
                <w:szCs w:val="20"/>
              </w:rPr>
              <w:t>4.281.509</w:t>
            </w:r>
            <w:r w:rsidRPr="005045BF">
              <w:rPr>
                <w:rFonts w:ascii="Arial" w:hAnsi="Arial" w:cs="Arial"/>
                <w:b/>
                <w:bCs/>
                <w:color w:val="FFFFFF"/>
                <w:sz w:val="20"/>
                <w:szCs w:val="20"/>
              </w:rPr>
              <w:t>)</w:t>
            </w:r>
          </w:p>
        </w:tc>
      </w:tr>
      <w:tr w:rsidR="006B44C8" w:rsidRPr="005045BF" w14:paraId="5C124175" w14:textId="77777777" w:rsidTr="009C05DD">
        <w:trPr>
          <w:cantSplit/>
          <w:jc w:val="center"/>
        </w:trPr>
        <w:tc>
          <w:tcPr>
            <w:cnfStyle w:val="001000000000" w:firstRow="0" w:lastRow="0" w:firstColumn="1" w:lastColumn="0" w:oddVBand="0" w:evenVBand="0" w:oddHBand="0" w:evenHBand="0" w:firstRowFirstColumn="0" w:firstRowLastColumn="0" w:lastRowFirstColumn="0" w:lastRowLastColumn="0"/>
            <w:tcW w:w="2915" w:type="dxa"/>
            <w:vMerge/>
            <w:shd w:val="clear" w:color="auto" w:fill="4F81BD" w:themeFill="accent1"/>
            <w:vAlign w:val="center"/>
            <w:hideMark/>
          </w:tcPr>
          <w:p w14:paraId="4A08CAB4" w14:textId="77777777" w:rsidR="006B44C8" w:rsidRPr="005045BF" w:rsidRDefault="006B44C8" w:rsidP="009C05DD">
            <w:pPr>
              <w:spacing w:before="40" w:after="40"/>
              <w:rPr>
                <w:rFonts w:ascii="Arial" w:hAnsi="Arial" w:cs="Arial"/>
                <w:color w:val="FFFFFF" w:themeColor="background1"/>
                <w:sz w:val="20"/>
                <w:szCs w:val="20"/>
              </w:rPr>
            </w:pPr>
          </w:p>
        </w:tc>
        <w:tc>
          <w:tcPr>
            <w:tcW w:w="2053" w:type="dxa"/>
            <w:shd w:val="clear" w:color="auto" w:fill="4F81BD" w:themeFill="accent1"/>
            <w:noWrap/>
            <w:vAlign w:val="center"/>
          </w:tcPr>
          <w:p w14:paraId="4E554856" w14:textId="2C7CE387"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(24%)</w:t>
            </w:r>
          </w:p>
        </w:tc>
        <w:tc>
          <w:tcPr>
            <w:tcW w:w="2126" w:type="dxa"/>
            <w:shd w:val="clear" w:color="auto" w:fill="4F81BD" w:themeFill="accent1"/>
            <w:noWrap/>
            <w:vAlign w:val="center"/>
          </w:tcPr>
          <w:p w14:paraId="38C4E921" w14:textId="72AF3B9A"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0%</w:t>
            </w:r>
          </w:p>
        </w:tc>
        <w:tc>
          <w:tcPr>
            <w:tcW w:w="1843" w:type="dxa"/>
            <w:shd w:val="clear" w:color="auto" w:fill="4F81BD" w:themeFill="accent1"/>
            <w:noWrap/>
            <w:vAlign w:val="center"/>
          </w:tcPr>
          <w:p w14:paraId="75306150" w14:textId="7956A243" w:rsidR="006B44C8" w:rsidRPr="005045BF" w:rsidRDefault="006B44C8" w:rsidP="009C05D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(43%)</w:t>
            </w:r>
          </w:p>
        </w:tc>
      </w:tr>
    </w:tbl>
    <w:p w14:paraId="01DC96B7" w14:textId="175F6FE3" w:rsidR="00C51470" w:rsidRPr="005045BF" w:rsidRDefault="00F22A7B" w:rsidP="00F25A26">
      <w:pPr>
        <w:jc w:val="both"/>
        <w:rPr>
          <w:rFonts w:ascii="Arial" w:hAnsi="Arial" w:cs="Arial"/>
          <w:sz w:val="22"/>
          <w:szCs w:val="22"/>
        </w:rPr>
      </w:pPr>
      <w:r w:rsidRPr="005045BF">
        <w:rPr>
          <w:rFonts w:ascii="Arial" w:hAnsi="Arial" w:cs="Arial"/>
          <w:sz w:val="22"/>
          <w:szCs w:val="22"/>
        </w:rPr>
        <w:lastRenderedPageBreak/>
        <w:t xml:space="preserve">De las variaciones antes relacionadas, </w:t>
      </w:r>
      <w:r w:rsidR="00AA5CCE" w:rsidRPr="005045BF">
        <w:rPr>
          <w:rFonts w:ascii="Arial" w:hAnsi="Arial" w:cs="Arial"/>
          <w:sz w:val="22"/>
          <w:szCs w:val="22"/>
        </w:rPr>
        <w:t xml:space="preserve">se </w:t>
      </w:r>
      <w:r w:rsidR="004B41FE" w:rsidRPr="005045BF">
        <w:rPr>
          <w:rFonts w:ascii="Arial" w:hAnsi="Arial" w:cs="Arial"/>
          <w:sz w:val="22"/>
          <w:szCs w:val="22"/>
        </w:rPr>
        <w:t>eviden</w:t>
      </w:r>
      <w:r w:rsidR="006B44C8" w:rsidRPr="005045BF">
        <w:rPr>
          <w:rFonts w:ascii="Arial" w:hAnsi="Arial" w:cs="Arial"/>
          <w:sz w:val="22"/>
          <w:szCs w:val="22"/>
        </w:rPr>
        <w:t xml:space="preserve">ció que el </w:t>
      </w:r>
      <w:r w:rsidR="00113CD8" w:rsidRPr="005045BF">
        <w:rPr>
          <w:rFonts w:ascii="Arial" w:hAnsi="Arial" w:cs="Arial"/>
          <w:sz w:val="22"/>
          <w:szCs w:val="22"/>
        </w:rPr>
        <w:t xml:space="preserve">valor del </w:t>
      </w:r>
      <w:r w:rsidR="006B44C8" w:rsidRPr="005045BF">
        <w:rPr>
          <w:rFonts w:ascii="Arial" w:hAnsi="Arial" w:cs="Arial"/>
          <w:sz w:val="22"/>
          <w:szCs w:val="22"/>
        </w:rPr>
        <w:t xml:space="preserve">gasto </w:t>
      </w:r>
      <w:r w:rsidR="00113CD8" w:rsidRPr="005045BF">
        <w:rPr>
          <w:rFonts w:ascii="Arial" w:hAnsi="Arial" w:cs="Arial"/>
          <w:sz w:val="22"/>
          <w:szCs w:val="22"/>
        </w:rPr>
        <w:t>de</w:t>
      </w:r>
      <w:r w:rsidR="006B44C8" w:rsidRPr="005045BF">
        <w:rPr>
          <w:rFonts w:ascii="Arial" w:hAnsi="Arial" w:cs="Arial"/>
          <w:sz w:val="22"/>
          <w:szCs w:val="22"/>
        </w:rPr>
        <w:t xml:space="preserve"> telefonía móvil prestado por Claro, no presentó variación </w:t>
      </w:r>
      <w:r w:rsidR="007F3EFB">
        <w:rPr>
          <w:rFonts w:ascii="Arial" w:hAnsi="Arial" w:cs="Arial"/>
          <w:sz w:val="22"/>
          <w:szCs w:val="22"/>
        </w:rPr>
        <w:t xml:space="preserve">en </w:t>
      </w:r>
      <w:r w:rsidR="006B44C8" w:rsidRPr="005045BF">
        <w:rPr>
          <w:rFonts w:ascii="Arial" w:hAnsi="Arial" w:cs="Arial"/>
          <w:sz w:val="22"/>
          <w:szCs w:val="22"/>
        </w:rPr>
        <w:t xml:space="preserve">los periodos comparados. Para el servicio facturado por Avantel y Movistar, se observó variaciones negativas equivalentes a </w:t>
      </w:r>
      <w:r w:rsidR="006B44C8" w:rsidRPr="005045BF">
        <w:rPr>
          <w:rFonts w:ascii="Arial" w:hAnsi="Arial" w:cs="Arial"/>
          <w:b/>
          <w:bCs/>
          <w:sz w:val="22"/>
          <w:szCs w:val="22"/>
        </w:rPr>
        <w:t xml:space="preserve">disminuciones </w:t>
      </w:r>
      <w:r w:rsidR="006B44C8" w:rsidRPr="005045BF">
        <w:rPr>
          <w:rFonts w:ascii="Arial" w:hAnsi="Arial" w:cs="Arial"/>
          <w:sz w:val="22"/>
          <w:szCs w:val="22"/>
        </w:rPr>
        <w:t xml:space="preserve">del 24% y 43%, respectivamente. </w:t>
      </w:r>
    </w:p>
    <w:p w14:paraId="2554D3F4" w14:textId="4253ED35" w:rsidR="00C51470" w:rsidRPr="005045BF" w:rsidRDefault="00C51470" w:rsidP="0070175D">
      <w:pPr>
        <w:spacing w:line="168" w:lineRule="auto"/>
        <w:jc w:val="both"/>
        <w:rPr>
          <w:rFonts w:ascii="Arial" w:hAnsi="Arial" w:cs="Arial"/>
          <w:sz w:val="22"/>
          <w:szCs w:val="22"/>
        </w:rPr>
      </w:pPr>
    </w:p>
    <w:p w14:paraId="28BFCFFA" w14:textId="79B050CE" w:rsidR="00C51470" w:rsidRPr="005045BF" w:rsidRDefault="00C51470" w:rsidP="00F25A26">
      <w:pPr>
        <w:jc w:val="both"/>
        <w:rPr>
          <w:rFonts w:ascii="Arial" w:hAnsi="Arial" w:cs="Arial"/>
          <w:sz w:val="22"/>
          <w:szCs w:val="22"/>
        </w:rPr>
      </w:pPr>
      <w:r w:rsidRPr="005045BF">
        <w:rPr>
          <w:rFonts w:ascii="Arial" w:hAnsi="Arial" w:cs="Arial"/>
          <w:sz w:val="22"/>
          <w:szCs w:val="22"/>
        </w:rPr>
        <w:t xml:space="preserve">Referente a la disminución del 24% del servicio de telefonía prestado por Avantel, la Subdirección de Servicios, informó que en el mes de enero y febrero de 2020 se solicitó la </w:t>
      </w:r>
      <w:r w:rsidR="00F82C4E" w:rsidRPr="005045BF">
        <w:rPr>
          <w:rFonts w:ascii="Arial" w:hAnsi="Arial" w:cs="Arial"/>
          <w:sz w:val="22"/>
          <w:szCs w:val="22"/>
        </w:rPr>
        <w:t xml:space="preserve">suspensión </w:t>
      </w:r>
      <w:r w:rsidRPr="005045BF">
        <w:rPr>
          <w:rFonts w:ascii="Arial" w:hAnsi="Arial" w:cs="Arial"/>
          <w:sz w:val="22"/>
          <w:szCs w:val="22"/>
        </w:rPr>
        <w:t xml:space="preserve">de tres líneas, es decir, pasando de 10 líneas que estaban disponibles a 31 de diciembre de 2019, quedando con 7 líneas activas. Posteriormente, </w:t>
      </w:r>
      <w:r w:rsidR="00867A21" w:rsidRPr="005045BF">
        <w:rPr>
          <w:rFonts w:ascii="Arial" w:hAnsi="Arial" w:cs="Arial"/>
          <w:sz w:val="22"/>
          <w:szCs w:val="22"/>
        </w:rPr>
        <w:t>a partir del 1° de</w:t>
      </w:r>
      <w:r w:rsidRPr="005045BF">
        <w:rPr>
          <w:rFonts w:ascii="Arial" w:hAnsi="Arial" w:cs="Arial"/>
          <w:sz w:val="22"/>
          <w:szCs w:val="22"/>
        </w:rPr>
        <w:t xml:space="preserve"> marzo de 2020 y continuando con las gestiones encaminadas a lograr ahorros en el servicio de telefonía móvil</w:t>
      </w:r>
      <w:r w:rsidR="00DF1A1B" w:rsidRPr="005045BF">
        <w:rPr>
          <w:rFonts w:ascii="Arial" w:hAnsi="Arial" w:cs="Arial"/>
          <w:sz w:val="22"/>
          <w:szCs w:val="22"/>
        </w:rPr>
        <w:t>,</w:t>
      </w:r>
      <w:r w:rsidRPr="005045BF">
        <w:rPr>
          <w:rFonts w:ascii="Arial" w:hAnsi="Arial" w:cs="Arial"/>
          <w:sz w:val="22"/>
          <w:szCs w:val="22"/>
        </w:rPr>
        <w:t xml:space="preserve"> </w:t>
      </w:r>
      <w:r w:rsidR="00867A21" w:rsidRPr="005045BF">
        <w:rPr>
          <w:rFonts w:ascii="Arial" w:hAnsi="Arial" w:cs="Arial"/>
          <w:sz w:val="22"/>
          <w:szCs w:val="22"/>
        </w:rPr>
        <w:t xml:space="preserve">dicha Subdirección </w:t>
      </w:r>
      <w:r w:rsidRPr="005045BF">
        <w:rPr>
          <w:rFonts w:ascii="Arial" w:hAnsi="Arial" w:cs="Arial"/>
          <w:sz w:val="22"/>
          <w:szCs w:val="22"/>
        </w:rPr>
        <w:t xml:space="preserve">solicitó la cancelación de </w:t>
      </w:r>
      <w:r w:rsidR="00DF1A1B" w:rsidRPr="005045BF">
        <w:rPr>
          <w:rFonts w:ascii="Arial" w:hAnsi="Arial" w:cs="Arial"/>
          <w:sz w:val="22"/>
          <w:szCs w:val="22"/>
        </w:rPr>
        <w:t xml:space="preserve">otras líneas que no estaban en uso, en consecuencia, finalmente a 31 de marzo de 2020 se contaba con 3 líneas activas, significando lo anterior, una disminución total de 7 líneas telefónicas.  </w:t>
      </w:r>
    </w:p>
    <w:p w14:paraId="6BFFD69F" w14:textId="50D9824E" w:rsidR="00C51470" w:rsidRPr="005045BF" w:rsidRDefault="00C51470" w:rsidP="0070175D">
      <w:pPr>
        <w:spacing w:line="168" w:lineRule="auto"/>
        <w:jc w:val="both"/>
        <w:rPr>
          <w:rFonts w:ascii="Arial" w:hAnsi="Arial" w:cs="Arial"/>
          <w:sz w:val="22"/>
          <w:szCs w:val="22"/>
        </w:rPr>
      </w:pPr>
    </w:p>
    <w:p w14:paraId="12A067C5" w14:textId="0C4D2CEC" w:rsidR="005927DA" w:rsidRPr="005045BF" w:rsidRDefault="006B44C8" w:rsidP="00F25A26">
      <w:pPr>
        <w:jc w:val="both"/>
        <w:rPr>
          <w:rFonts w:ascii="Arial" w:hAnsi="Arial" w:cs="Arial"/>
          <w:sz w:val="22"/>
          <w:szCs w:val="22"/>
        </w:rPr>
      </w:pPr>
      <w:r w:rsidRPr="005045BF">
        <w:rPr>
          <w:rFonts w:ascii="Arial" w:hAnsi="Arial" w:cs="Arial"/>
          <w:sz w:val="22"/>
          <w:szCs w:val="22"/>
        </w:rPr>
        <w:t>Con respecto a la variación negativa</w:t>
      </w:r>
      <w:r w:rsidR="00B234DB" w:rsidRPr="005045BF">
        <w:rPr>
          <w:rFonts w:ascii="Arial" w:hAnsi="Arial" w:cs="Arial"/>
          <w:sz w:val="22"/>
          <w:szCs w:val="22"/>
        </w:rPr>
        <w:t xml:space="preserve"> obtenida para el servicio de telefonía móvil ofrecido por </w:t>
      </w:r>
      <w:r w:rsidRPr="005045BF">
        <w:rPr>
          <w:rFonts w:ascii="Arial" w:hAnsi="Arial" w:cs="Arial"/>
          <w:sz w:val="22"/>
          <w:szCs w:val="22"/>
        </w:rPr>
        <w:t xml:space="preserve">Movistar, se </w:t>
      </w:r>
      <w:r w:rsidR="00A85166" w:rsidRPr="005045BF">
        <w:rPr>
          <w:rFonts w:ascii="Arial" w:hAnsi="Arial" w:cs="Arial"/>
          <w:sz w:val="22"/>
          <w:szCs w:val="22"/>
        </w:rPr>
        <w:t xml:space="preserve">deduce que se </w:t>
      </w:r>
      <w:r w:rsidRPr="005045BF">
        <w:rPr>
          <w:rFonts w:ascii="Arial" w:hAnsi="Arial" w:cs="Arial"/>
          <w:sz w:val="22"/>
          <w:szCs w:val="22"/>
        </w:rPr>
        <w:t xml:space="preserve">derivó de la negociación acordada entre </w:t>
      </w:r>
      <w:r w:rsidR="0070260A" w:rsidRPr="005045BF">
        <w:rPr>
          <w:rFonts w:ascii="Arial" w:hAnsi="Arial" w:cs="Arial"/>
          <w:sz w:val="22"/>
          <w:szCs w:val="22"/>
        </w:rPr>
        <w:t>el Ministerio de Hacienda y Crédito Público y la citada empresa para la vigencia 2020, la cual empezó a regir a par</w:t>
      </w:r>
      <w:r w:rsidR="00DA757A">
        <w:rPr>
          <w:rFonts w:ascii="Arial" w:hAnsi="Arial" w:cs="Arial"/>
          <w:sz w:val="22"/>
          <w:szCs w:val="22"/>
        </w:rPr>
        <w:t>tir</w:t>
      </w:r>
      <w:r w:rsidR="0070260A" w:rsidRPr="005045BF">
        <w:rPr>
          <w:rFonts w:ascii="Arial" w:hAnsi="Arial" w:cs="Arial"/>
          <w:sz w:val="22"/>
          <w:szCs w:val="22"/>
        </w:rPr>
        <w:t xml:space="preserve"> del periodo </w:t>
      </w:r>
      <w:r w:rsidR="00113CD8" w:rsidRPr="005045BF">
        <w:rPr>
          <w:rFonts w:ascii="Arial" w:hAnsi="Arial" w:cs="Arial"/>
          <w:sz w:val="22"/>
          <w:szCs w:val="22"/>
        </w:rPr>
        <w:t xml:space="preserve">de febrero de 2020. </w:t>
      </w:r>
    </w:p>
    <w:p w14:paraId="21C03837" w14:textId="77777777" w:rsidR="005927DA" w:rsidRPr="005045BF" w:rsidRDefault="005927DA" w:rsidP="0070175D">
      <w:pPr>
        <w:spacing w:line="168" w:lineRule="auto"/>
        <w:jc w:val="both"/>
        <w:rPr>
          <w:rFonts w:ascii="Arial" w:hAnsi="Arial" w:cs="Arial"/>
          <w:sz w:val="22"/>
          <w:szCs w:val="22"/>
        </w:rPr>
      </w:pPr>
    </w:p>
    <w:p w14:paraId="40FDFC49" w14:textId="0AF3129D" w:rsidR="005F467B" w:rsidRPr="005045BF" w:rsidRDefault="00AA5CCE" w:rsidP="00F25A26">
      <w:pPr>
        <w:jc w:val="both"/>
        <w:rPr>
          <w:rFonts w:ascii="Arial" w:hAnsi="Arial" w:cs="Arial"/>
          <w:sz w:val="22"/>
          <w:szCs w:val="22"/>
        </w:rPr>
      </w:pPr>
      <w:r w:rsidRPr="005045BF">
        <w:rPr>
          <w:rFonts w:ascii="Arial" w:hAnsi="Arial" w:cs="Arial"/>
          <w:sz w:val="22"/>
          <w:szCs w:val="22"/>
        </w:rPr>
        <w:t xml:space="preserve">En </w:t>
      </w:r>
      <w:r w:rsidR="00474D2D" w:rsidRPr="005045BF">
        <w:rPr>
          <w:rFonts w:ascii="Arial" w:hAnsi="Arial" w:cs="Arial"/>
          <w:sz w:val="22"/>
          <w:szCs w:val="22"/>
        </w:rPr>
        <w:t xml:space="preserve">términos globales, </w:t>
      </w:r>
      <w:r w:rsidRPr="005045BF">
        <w:rPr>
          <w:rFonts w:ascii="Arial" w:hAnsi="Arial" w:cs="Arial"/>
          <w:sz w:val="22"/>
          <w:szCs w:val="22"/>
        </w:rPr>
        <w:t>para el</w:t>
      </w:r>
      <w:r w:rsidR="009E72D4" w:rsidRPr="005045BF">
        <w:rPr>
          <w:rFonts w:ascii="Arial" w:hAnsi="Arial" w:cs="Arial"/>
          <w:sz w:val="22"/>
          <w:szCs w:val="22"/>
        </w:rPr>
        <w:t xml:space="preserve"> primer </w:t>
      </w:r>
      <w:r w:rsidR="001E521F" w:rsidRPr="005045BF">
        <w:rPr>
          <w:rFonts w:ascii="Arial" w:hAnsi="Arial" w:cs="Arial"/>
          <w:sz w:val="22"/>
          <w:szCs w:val="22"/>
        </w:rPr>
        <w:t xml:space="preserve">trimestre </w:t>
      </w:r>
      <w:r w:rsidR="00F14EC5" w:rsidRPr="005045BF">
        <w:rPr>
          <w:rFonts w:ascii="Arial" w:hAnsi="Arial" w:cs="Arial"/>
          <w:sz w:val="22"/>
          <w:szCs w:val="22"/>
        </w:rPr>
        <w:t>de</w:t>
      </w:r>
      <w:r w:rsidRPr="005045BF">
        <w:rPr>
          <w:rFonts w:ascii="Arial" w:hAnsi="Arial" w:cs="Arial"/>
          <w:sz w:val="22"/>
          <w:szCs w:val="22"/>
        </w:rPr>
        <w:t xml:space="preserve"> 20</w:t>
      </w:r>
      <w:r w:rsidR="009E72D4" w:rsidRPr="005045BF">
        <w:rPr>
          <w:rFonts w:ascii="Arial" w:hAnsi="Arial" w:cs="Arial"/>
          <w:sz w:val="22"/>
          <w:szCs w:val="22"/>
        </w:rPr>
        <w:t>20</w:t>
      </w:r>
      <w:r w:rsidRPr="005045BF">
        <w:rPr>
          <w:rFonts w:ascii="Arial" w:hAnsi="Arial" w:cs="Arial"/>
          <w:sz w:val="22"/>
          <w:szCs w:val="22"/>
        </w:rPr>
        <w:t xml:space="preserve"> comparado con la vigencia 201</w:t>
      </w:r>
      <w:r w:rsidR="009E72D4" w:rsidRPr="005045BF">
        <w:rPr>
          <w:rFonts w:ascii="Arial" w:hAnsi="Arial" w:cs="Arial"/>
          <w:sz w:val="22"/>
          <w:szCs w:val="22"/>
        </w:rPr>
        <w:t>9</w:t>
      </w:r>
      <w:r w:rsidRPr="005045BF">
        <w:rPr>
          <w:rFonts w:ascii="Arial" w:hAnsi="Arial" w:cs="Arial"/>
          <w:sz w:val="22"/>
          <w:szCs w:val="22"/>
        </w:rPr>
        <w:t xml:space="preserve">, </w:t>
      </w:r>
      <w:r w:rsidR="00474D2D" w:rsidRPr="005045BF">
        <w:rPr>
          <w:rFonts w:ascii="Arial" w:hAnsi="Arial" w:cs="Arial"/>
          <w:sz w:val="22"/>
          <w:szCs w:val="22"/>
        </w:rPr>
        <w:t xml:space="preserve">el servicio de telefonía celular </w:t>
      </w:r>
      <w:r w:rsidR="007E3EF1" w:rsidRPr="005045BF">
        <w:rPr>
          <w:rFonts w:ascii="Arial" w:hAnsi="Arial" w:cs="Arial"/>
          <w:sz w:val="22"/>
          <w:szCs w:val="22"/>
        </w:rPr>
        <w:t xml:space="preserve">presentó una </w:t>
      </w:r>
      <w:r w:rsidR="007E3EF1" w:rsidRPr="005045BF">
        <w:rPr>
          <w:rFonts w:ascii="Arial" w:hAnsi="Arial" w:cs="Arial"/>
          <w:b/>
          <w:bCs/>
          <w:sz w:val="22"/>
          <w:szCs w:val="22"/>
        </w:rPr>
        <w:t xml:space="preserve">reducción </w:t>
      </w:r>
      <w:r w:rsidR="007E3EF1" w:rsidRPr="005045BF">
        <w:rPr>
          <w:rFonts w:ascii="Arial" w:hAnsi="Arial" w:cs="Arial"/>
          <w:sz w:val="22"/>
          <w:szCs w:val="22"/>
        </w:rPr>
        <w:t>de $</w:t>
      </w:r>
      <w:r w:rsidR="0030744A" w:rsidRPr="005045BF">
        <w:rPr>
          <w:rFonts w:ascii="Arial" w:hAnsi="Arial" w:cs="Arial"/>
          <w:sz w:val="22"/>
          <w:szCs w:val="22"/>
        </w:rPr>
        <w:t>5.209.988</w:t>
      </w:r>
      <w:r w:rsidR="001E521F" w:rsidRPr="005045BF">
        <w:rPr>
          <w:rFonts w:ascii="Arial" w:hAnsi="Arial" w:cs="Arial"/>
          <w:sz w:val="22"/>
          <w:szCs w:val="22"/>
        </w:rPr>
        <w:t xml:space="preserve">, representando el </w:t>
      </w:r>
      <w:r w:rsidR="0030744A" w:rsidRPr="005045BF">
        <w:rPr>
          <w:rFonts w:ascii="Arial" w:hAnsi="Arial" w:cs="Arial"/>
          <w:sz w:val="22"/>
          <w:szCs w:val="22"/>
        </w:rPr>
        <w:t>32</w:t>
      </w:r>
      <w:r w:rsidR="007E3EF1" w:rsidRPr="005045BF">
        <w:rPr>
          <w:rFonts w:ascii="Arial" w:hAnsi="Arial" w:cs="Arial"/>
          <w:sz w:val="22"/>
          <w:szCs w:val="22"/>
        </w:rPr>
        <w:t xml:space="preserve">%. </w:t>
      </w:r>
    </w:p>
    <w:p w14:paraId="2A1DB8C0" w14:textId="77777777" w:rsidR="002D01F6" w:rsidRPr="005045BF" w:rsidRDefault="002D01F6" w:rsidP="00F25A26">
      <w:pPr>
        <w:jc w:val="both"/>
        <w:rPr>
          <w:rFonts w:ascii="Arial" w:hAnsi="Arial" w:cs="Arial"/>
          <w:sz w:val="22"/>
          <w:szCs w:val="22"/>
        </w:rPr>
      </w:pPr>
    </w:p>
    <w:p w14:paraId="5995E2D4" w14:textId="662BB362" w:rsidR="00F074C7" w:rsidRPr="005045BF" w:rsidRDefault="00F074C7" w:rsidP="0070175D">
      <w:pPr>
        <w:spacing w:line="168" w:lineRule="auto"/>
        <w:jc w:val="both"/>
        <w:rPr>
          <w:rFonts w:ascii="Arial" w:hAnsi="Arial" w:cs="Arial"/>
          <w:sz w:val="22"/>
          <w:szCs w:val="22"/>
        </w:rPr>
      </w:pPr>
    </w:p>
    <w:tbl>
      <w:tblPr>
        <w:tblW w:w="12540" w:type="dxa"/>
        <w:tblCellMar>
          <w:left w:w="70" w:type="dxa"/>
          <w:right w:w="70" w:type="dxa"/>
        </w:tblCellMar>
        <w:tblLook w:val="04A0" w:firstRow="1" w:lastRow="0" w:firstColumn="1" w:lastColumn="0" w:noHBand="0" w:noVBand="1"/>
      </w:tblPr>
      <w:tblGrid>
        <w:gridCol w:w="1266"/>
        <w:gridCol w:w="1276"/>
        <w:gridCol w:w="1843"/>
        <w:gridCol w:w="2383"/>
        <w:gridCol w:w="1348"/>
        <w:gridCol w:w="1348"/>
        <w:gridCol w:w="1468"/>
        <w:gridCol w:w="1608"/>
      </w:tblGrid>
      <w:tr w:rsidR="00F074C7" w:rsidRPr="005045BF" w14:paraId="0497F59F" w14:textId="77777777" w:rsidTr="00F074C7">
        <w:trPr>
          <w:trHeight w:val="780"/>
        </w:trPr>
        <w:tc>
          <w:tcPr>
            <w:tcW w:w="4385" w:type="dxa"/>
            <w:gridSpan w:val="3"/>
            <w:tcBorders>
              <w:top w:val="single" w:sz="8" w:space="0" w:color="B8CCE4"/>
              <w:left w:val="single" w:sz="8" w:space="0" w:color="B8CCE4"/>
              <w:bottom w:val="single" w:sz="12" w:space="0" w:color="95B3D7"/>
              <w:right w:val="single" w:sz="8" w:space="0" w:color="B8CCE4"/>
            </w:tcBorders>
            <w:shd w:val="clear" w:color="000000" w:fill="4F81BD"/>
            <w:vAlign w:val="center"/>
            <w:hideMark/>
          </w:tcPr>
          <w:p w14:paraId="1CF52AE2" w14:textId="0FBA01F9" w:rsidR="00F074C7" w:rsidRPr="005045BF" w:rsidRDefault="00F074C7" w:rsidP="00F074C7">
            <w:pPr>
              <w:jc w:val="center"/>
              <w:rPr>
                <w:rFonts w:ascii="Arial" w:hAnsi="Arial" w:cs="Arial"/>
                <w:b/>
                <w:bCs/>
                <w:color w:val="FFFFFF"/>
                <w:sz w:val="20"/>
                <w:szCs w:val="20"/>
              </w:rPr>
            </w:pPr>
            <w:r w:rsidRPr="005045BF">
              <w:rPr>
                <w:rFonts w:ascii="Arial" w:hAnsi="Arial" w:cs="Arial"/>
                <w:b/>
                <w:bCs/>
                <w:color w:val="FFFFFF"/>
                <w:sz w:val="20"/>
                <w:szCs w:val="20"/>
              </w:rPr>
              <w:t>Variaciones Servicio Telefonía Móvil ($)</w:t>
            </w:r>
          </w:p>
        </w:tc>
        <w:tc>
          <w:tcPr>
            <w:tcW w:w="2383" w:type="dxa"/>
            <w:tcBorders>
              <w:top w:val="nil"/>
              <w:left w:val="nil"/>
              <w:bottom w:val="nil"/>
              <w:right w:val="nil"/>
            </w:tcBorders>
            <w:shd w:val="clear" w:color="auto" w:fill="auto"/>
            <w:noWrap/>
            <w:vAlign w:val="bottom"/>
            <w:hideMark/>
          </w:tcPr>
          <w:p w14:paraId="047ADA2D" w14:textId="5DB8B83C" w:rsidR="00F074C7" w:rsidRPr="005045BF" w:rsidRDefault="00F074C7" w:rsidP="00F074C7">
            <w:pPr>
              <w:rPr>
                <w:rFonts w:ascii="Calibri" w:hAnsi="Calibri" w:cs="Calibri"/>
                <w:color w:val="000000"/>
                <w:sz w:val="22"/>
                <w:szCs w:val="22"/>
              </w:rPr>
            </w:pPr>
            <w:r w:rsidRPr="005045BF">
              <w:rPr>
                <w:rFonts w:ascii="Calibri" w:hAnsi="Calibri" w:cs="Calibri"/>
                <w:noProof/>
                <w:color w:val="000000"/>
                <w:sz w:val="22"/>
                <w:szCs w:val="22"/>
              </w:rPr>
              <w:drawing>
                <wp:anchor distT="0" distB="0" distL="114300" distR="114300" simplePos="0" relativeHeight="252227584" behindDoc="0" locked="0" layoutInCell="1" allowOverlap="1" wp14:anchorId="685B9878" wp14:editId="63E1805E">
                  <wp:simplePos x="0" y="0"/>
                  <wp:positionH relativeFrom="column">
                    <wp:posOffset>36195</wp:posOffset>
                  </wp:positionH>
                  <wp:positionV relativeFrom="paragraph">
                    <wp:posOffset>7620</wp:posOffset>
                  </wp:positionV>
                  <wp:extent cx="3238500" cy="2533650"/>
                  <wp:effectExtent l="0" t="0" r="0" b="0"/>
                  <wp:wrapNone/>
                  <wp:docPr id="22" name="Gráfico 22">
                    <a:extLst xmlns:a="http://schemas.openxmlformats.org/drawingml/2006/main">
                      <a:ext uri="{FF2B5EF4-FFF2-40B4-BE49-F238E27FC236}">
                        <a16:creationId xmlns:a16="http://schemas.microsoft.com/office/drawing/2014/main" id="{8A559ABC-02C9-441D-8F60-F3E27592351B}"/>
                      </a:ext>
                    </a:extLst>
                  </wp:docPr>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00"/>
            </w:tblGrid>
            <w:tr w:rsidR="00F074C7" w:rsidRPr="005045BF" w14:paraId="30195675" w14:textId="77777777">
              <w:trPr>
                <w:trHeight w:val="780"/>
                <w:tblCellSpacing w:w="0" w:type="dxa"/>
              </w:trPr>
              <w:tc>
                <w:tcPr>
                  <w:tcW w:w="1500" w:type="dxa"/>
                  <w:tcBorders>
                    <w:top w:val="nil"/>
                    <w:left w:val="nil"/>
                    <w:bottom w:val="nil"/>
                    <w:right w:val="nil"/>
                  </w:tcBorders>
                  <w:shd w:val="clear" w:color="auto" w:fill="auto"/>
                  <w:noWrap/>
                  <w:vAlign w:val="bottom"/>
                  <w:hideMark/>
                </w:tcPr>
                <w:p w14:paraId="78109B0E" w14:textId="0A32E646" w:rsidR="00F074C7" w:rsidRPr="005045BF" w:rsidRDefault="00F074C7" w:rsidP="00F074C7">
                  <w:pPr>
                    <w:rPr>
                      <w:rFonts w:ascii="Calibri" w:hAnsi="Calibri" w:cs="Calibri"/>
                      <w:color w:val="000000"/>
                      <w:sz w:val="22"/>
                      <w:szCs w:val="22"/>
                    </w:rPr>
                  </w:pPr>
                </w:p>
              </w:tc>
            </w:tr>
          </w:tbl>
          <w:p w14:paraId="57168F68" w14:textId="77777777" w:rsidR="00F074C7" w:rsidRPr="005045BF" w:rsidRDefault="00F074C7" w:rsidP="00F074C7">
            <w:pPr>
              <w:rPr>
                <w:rFonts w:ascii="Calibri" w:hAnsi="Calibri" w:cs="Calibri"/>
                <w:color w:val="000000"/>
                <w:sz w:val="22"/>
                <w:szCs w:val="22"/>
              </w:rPr>
            </w:pPr>
          </w:p>
        </w:tc>
        <w:tc>
          <w:tcPr>
            <w:tcW w:w="1348" w:type="dxa"/>
            <w:tcBorders>
              <w:top w:val="nil"/>
              <w:left w:val="nil"/>
              <w:bottom w:val="nil"/>
              <w:right w:val="nil"/>
            </w:tcBorders>
            <w:shd w:val="clear" w:color="auto" w:fill="auto"/>
            <w:noWrap/>
            <w:vAlign w:val="bottom"/>
            <w:hideMark/>
          </w:tcPr>
          <w:p w14:paraId="17887EDF" w14:textId="77777777" w:rsidR="00F074C7" w:rsidRPr="005045BF" w:rsidRDefault="00F074C7" w:rsidP="00F074C7">
            <w:pPr>
              <w:rPr>
                <w:sz w:val="20"/>
                <w:szCs w:val="20"/>
              </w:rPr>
            </w:pPr>
          </w:p>
        </w:tc>
        <w:tc>
          <w:tcPr>
            <w:tcW w:w="1348" w:type="dxa"/>
            <w:tcBorders>
              <w:top w:val="nil"/>
              <w:left w:val="nil"/>
              <w:bottom w:val="nil"/>
              <w:right w:val="nil"/>
            </w:tcBorders>
            <w:shd w:val="clear" w:color="auto" w:fill="auto"/>
            <w:noWrap/>
            <w:vAlign w:val="bottom"/>
            <w:hideMark/>
          </w:tcPr>
          <w:p w14:paraId="6A77EEAD" w14:textId="77777777" w:rsidR="00F074C7" w:rsidRPr="005045BF" w:rsidRDefault="00F074C7" w:rsidP="00F074C7">
            <w:pPr>
              <w:rPr>
                <w:sz w:val="20"/>
                <w:szCs w:val="20"/>
              </w:rPr>
            </w:pPr>
          </w:p>
        </w:tc>
        <w:tc>
          <w:tcPr>
            <w:tcW w:w="1468" w:type="dxa"/>
            <w:tcBorders>
              <w:top w:val="nil"/>
              <w:left w:val="nil"/>
              <w:bottom w:val="nil"/>
              <w:right w:val="nil"/>
            </w:tcBorders>
            <w:shd w:val="clear" w:color="auto" w:fill="auto"/>
            <w:noWrap/>
            <w:vAlign w:val="bottom"/>
            <w:hideMark/>
          </w:tcPr>
          <w:p w14:paraId="160C4F7F" w14:textId="77777777" w:rsidR="00F074C7" w:rsidRPr="005045BF" w:rsidRDefault="00F074C7" w:rsidP="00F074C7">
            <w:pPr>
              <w:rPr>
                <w:sz w:val="20"/>
                <w:szCs w:val="20"/>
              </w:rPr>
            </w:pPr>
          </w:p>
        </w:tc>
        <w:tc>
          <w:tcPr>
            <w:tcW w:w="1608" w:type="dxa"/>
            <w:tcBorders>
              <w:top w:val="nil"/>
              <w:left w:val="nil"/>
              <w:bottom w:val="nil"/>
              <w:right w:val="nil"/>
            </w:tcBorders>
            <w:shd w:val="clear" w:color="auto" w:fill="auto"/>
            <w:noWrap/>
            <w:vAlign w:val="bottom"/>
            <w:hideMark/>
          </w:tcPr>
          <w:p w14:paraId="71527D25" w14:textId="77777777" w:rsidR="00F074C7" w:rsidRPr="005045BF" w:rsidRDefault="00F074C7" w:rsidP="00F074C7">
            <w:pPr>
              <w:rPr>
                <w:sz w:val="20"/>
                <w:szCs w:val="20"/>
              </w:rPr>
            </w:pPr>
          </w:p>
        </w:tc>
      </w:tr>
      <w:tr w:rsidR="00F074C7" w:rsidRPr="005045BF" w14:paraId="7BF96653" w14:textId="77777777" w:rsidTr="00F074C7">
        <w:trPr>
          <w:trHeight w:val="825"/>
        </w:trPr>
        <w:tc>
          <w:tcPr>
            <w:tcW w:w="1266" w:type="dxa"/>
            <w:tcBorders>
              <w:top w:val="nil"/>
              <w:left w:val="single" w:sz="8" w:space="0" w:color="B8CCE4"/>
              <w:bottom w:val="single" w:sz="8" w:space="0" w:color="B8CCE4"/>
              <w:right w:val="single" w:sz="8" w:space="0" w:color="B8CCE4"/>
            </w:tcBorders>
            <w:shd w:val="clear" w:color="000000" w:fill="4F81BD"/>
            <w:vAlign w:val="center"/>
            <w:hideMark/>
          </w:tcPr>
          <w:p w14:paraId="54B68DEE" w14:textId="77777777" w:rsidR="00F074C7" w:rsidRPr="005045BF" w:rsidRDefault="00F074C7" w:rsidP="00F074C7">
            <w:pPr>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276" w:type="dxa"/>
            <w:tcBorders>
              <w:top w:val="nil"/>
              <w:left w:val="nil"/>
              <w:bottom w:val="single" w:sz="8" w:space="0" w:color="B8CCE4"/>
              <w:right w:val="single" w:sz="8" w:space="0" w:color="B8CCE4"/>
            </w:tcBorders>
            <w:shd w:val="clear" w:color="000000" w:fill="4F81BD"/>
            <w:vAlign w:val="center"/>
            <w:hideMark/>
          </w:tcPr>
          <w:p w14:paraId="7A6FD400" w14:textId="77777777" w:rsidR="00F074C7" w:rsidRPr="005045BF" w:rsidRDefault="00F074C7" w:rsidP="00F074C7">
            <w:pPr>
              <w:jc w:val="center"/>
              <w:rPr>
                <w:rFonts w:ascii="Arial" w:hAnsi="Arial" w:cs="Arial"/>
                <w:b/>
                <w:bCs/>
                <w:color w:val="FFFFFF"/>
                <w:sz w:val="20"/>
                <w:szCs w:val="20"/>
              </w:rPr>
            </w:pPr>
            <w:r w:rsidRPr="005045BF">
              <w:rPr>
                <w:rFonts w:ascii="Arial" w:hAnsi="Arial" w:cs="Arial"/>
                <w:b/>
                <w:bCs/>
                <w:color w:val="FFFFFF"/>
                <w:sz w:val="20"/>
                <w:szCs w:val="20"/>
              </w:rPr>
              <w:t>I Trimestre de 2020</w:t>
            </w:r>
          </w:p>
        </w:tc>
        <w:tc>
          <w:tcPr>
            <w:tcW w:w="1843" w:type="dxa"/>
            <w:tcBorders>
              <w:top w:val="nil"/>
              <w:left w:val="nil"/>
              <w:bottom w:val="single" w:sz="8" w:space="0" w:color="B8CCE4"/>
              <w:right w:val="single" w:sz="8" w:space="0" w:color="B8CCE4"/>
            </w:tcBorders>
            <w:shd w:val="clear" w:color="000000" w:fill="4F81BD"/>
            <w:vAlign w:val="center"/>
            <w:hideMark/>
          </w:tcPr>
          <w:p w14:paraId="2F24FD76" w14:textId="77777777" w:rsidR="00F074C7" w:rsidRPr="005045BF" w:rsidRDefault="00F074C7" w:rsidP="00F074C7">
            <w:pPr>
              <w:jc w:val="center"/>
              <w:rPr>
                <w:rFonts w:ascii="Arial" w:hAnsi="Arial" w:cs="Arial"/>
                <w:b/>
                <w:bCs/>
                <w:color w:val="FFFFFF"/>
                <w:sz w:val="20"/>
                <w:szCs w:val="20"/>
              </w:rPr>
            </w:pPr>
            <w:r w:rsidRPr="005045BF">
              <w:rPr>
                <w:rFonts w:ascii="Arial" w:hAnsi="Arial" w:cs="Arial"/>
                <w:b/>
                <w:bCs/>
                <w:color w:val="FFFFFF"/>
                <w:sz w:val="20"/>
                <w:szCs w:val="20"/>
              </w:rPr>
              <w:t>I Trimestre de 2019</w:t>
            </w:r>
          </w:p>
        </w:tc>
        <w:tc>
          <w:tcPr>
            <w:tcW w:w="2383" w:type="dxa"/>
            <w:tcBorders>
              <w:top w:val="nil"/>
              <w:left w:val="nil"/>
              <w:bottom w:val="nil"/>
              <w:right w:val="nil"/>
            </w:tcBorders>
            <w:shd w:val="clear" w:color="auto" w:fill="auto"/>
            <w:noWrap/>
            <w:vAlign w:val="bottom"/>
            <w:hideMark/>
          </w:tcPr>
          <w:p w14:paraId="391C5C47" w14:textId="77777777" w:rsidR="00F074C7" w:rsidRPr="005045BF" w:rsidRDefault="00F074C7" w:rsidP="00F074C7">
            <w:pPr>
              <w:jc w:val="center"/>
              <w:rPr>
                <w:rFonts w:ascii="Arial" w:hAnsi="Arial" w:cs="Arial"/>
                <w:b/>
                <w:bCs/>
                <w:color w:val="FFFFFF"/>
                <w:sz w:val="20"/>
                <w:szCs w:val="20"/>
              </w:rPr>
            </w:pPr>
          </w:p>
        </w:tc>
        <w:tc>
          <w:tcPr>
            <w:tcW w:w="1348" w:type="dxa"/>
            <w:tcBorders>
              <w:top w:val="nil"/>
              <w:left w:val="nil"/>
              <w:bottom w:val="nil"/>
              <w:right w:val="nil"/>
            </w:tcBorders>
            <w:shd w:val="clear" w:color="auto" w:fill="auto"/>
            <w:noWrap/>
            <w:vAlign w:val="bottom"/>
            <w:hideMark/>
          </w:tcPr>
          <w:p w14:paraId="100CE36B" w14:textId="77777777" w:rsidR="00F074C7" w:rsidRPr="005045BF" w:rsidRDefault="00F074C7" w:rsidP="00F074C7">
            <w:pPr>
              <w:rPr>
                <w:sz w:val="20"/>
                <w:szCs w:val="20"/>
              </w:rPr>
            </w:pPr>
          </w:p>
        </w:tc>
        <w:tc>
          <w:tcPr>
            <w:tcW w:w="1348" w:type="dxa"/>
            <w:tcBorders>
              <w:top w:val="nil"/>
              <w:left w:val="nil"/>
              <w:bottom w:val="nil"/>
              <w:right w:val="nil"/>
            </w:tcBorders>
            <w:shd w:val="clear" w:color="auto" w:fill="auto"/>
            <w:noWrap/>
            <w:vAlign w:val="bottom"/>
            <w:hideMark/>
          </w:tcPr>
          <w:p w14:paraId="597D2842" w14:textId="77777777" w:rsidR="00F074C7" w:rsidRPr="005045BF" w:rsidRDefault="00F074C7" w:rsidP="00F074C7">
            <w:pPr>
              <w:rPr>
                <w:sz w:val="20"/>
                <w:szCs w:val="20"/>
              </w:rPr>
            </w:pPr>
          </w:p>
        </w:tc>
        <w:tc>
          <w:tcPr>
            <w:tcW w:w="1468" w:type="dxa"/>
            <w:tcBorders>
              <w:top w:val="nil"/>
              <w:left w:val="nil"/>
              <w:bottom w:val="nil"/>
              <w:right w:val="nil"/>
            </w:tcBorders>
            <w:shd w:val="clear" w:color="auto" w:fill="auto"/>
            <w:noWrap/>
            <w:vAlign w:val="bottom"/>
            <w:hideMark/>
          </w:tcPr>
          <w:p w14:paraId="317E4225" w14:textId="77777777" w:rsidR="00F074C7" w:rsidRPr="005045BF" w:rsidRDefault="00F074C7" w:rsidP="00F074C7">
            <w:pPr>
              <w:rPr>
                <w:sz w:val="20"/>
                <w:szCs w:val="20"/>
              </w:rPr>
            </w:pPr>
          </w:p>
        </w:tc>
        <w:tc>
          <w:tcPr>
            <w:tcW w:w="1608" w:type="dxa"/>
            <w:tcBorders>
              <w:top w:val="nil"/>
              <w:left w:val="nil"/>
              <w:bottom w:val="nil"/>
              <w:right w:val="nil"/>
            </w:tcBorders>
            <w:shd w:val="clear" w:color="auto" w:fill="auto"/>
            <w:noWrap/>
            <w:vAlign w:val="bottom"/>
            <w:hideMark/>
          </w:tcPr>
          <w:p w14:paraId="53BC5AEF" w14:textId="77777777" w:rsidR="00F074C7" w:rsidRPr="005045BF" w:rsidRDefault="00F074C7" w:rsidP="00F074C7">
            <w:pPr>
              <w:rPr>
                <w:sz w:val="20"/>
                <w:szCs w:val="20"/>
              </w:rPr>
            </w:pPr>
          </w:p>
        </w:tc>
      </w:tr>
      <w:tr w:rsidR="00F074C7" w:rsidRPr="005045BF" w14:paraId="778539EE" w14:textId="77777777" w:rsidTr="0070175D">
        <w:trPr>
          <w:trHeight w:val="1046"/>
        </w:trPr>
        <w:tc>
          <w:tcPr>
            <w:tcW w:w="1266" w:type="dxa"/>
            <w:tcBorders>
              <w:top w:val="nil"/>
              <w:left w:val="single" w:sz="8" w:space="0" w:color="B8CCE4"/>
              <w:bottom w:val="double" w:sz="6" w:space="0" w:color="4F81BD"/>
              <w:right w:val="single" w:sz="8" w:space="0" w:color="B8CCE4"/>
            </w:tcBorders>
            <w:shd w:val="clear" w:color="auto" w:fill="auto"/>
            <w:vAlign w:val="center"/>
            <w:hideMark/>
          </w:tcPr>
          <w:p w14:paraId="29D786C0" w14:textId="778ED8BB" w:rsidR="00F074C7" w:rsidRPr="007F3EFB" w:rsidRDefault="00F074C7" w:rsidP="00F074C7">
            <w:pPr>
              <w:jc w:val="center"/>
              <w:rPr>
                <w:rFonts w:ascii="Arial" w:hAnsi="Arial" w:cs="Arial"/>
                <w:color w:val="0F243E" w:themeColor="text2" w:themeShade="80"/>
                <w:sz w:val="20"/>
                <w:szCs w:val="20"/>
              </w:rPr>
            </w:pPr>
            <w:r w:rsidRPr="007F3EFB">
              <w:rPr>
                <w:rFonts w:ascii="Arial" w:hAnsi="Arial" w:cs="Arial"/>
                <w:color w:val="0F243E" w:themeColor="text2" w:themeShade="80"/>
                <w:sz w:val="20"/>
                <w:szCs w:val="20"/>
              </w:rPr>
              <w:t>Total Servicio de Telefonía Celular</w:t>
            </w:r>
          </w:p>
        </w:tc>
        <w:tc>
          <w:tcPr>
            <w:tcW w:w="1276" w:type="dxa"/>
            <w:tcBorders>
              <w:top w:val="nil"/>
              <w:left w:val="nil"/>
              <w:bottom w:val="double" w:sz="6" w:space="0" w:color="4F81BD"/>
              <w:right w:val="single" w:sz="8" w:space="0" w:color="B8CCE4"/>
            </w:tcBorders>
            <w:shd w:val="clear" w:color="auto" w:fill="auto"/>
            <w:vAlign w:val="center"/>
            <w:hideMark/>
          </w:tcPr>
          <w:p w14:paraId="4C592C52" w14:textId="578BF086" w:rsidR="00F074C7" w:rsidRPr="007F3EFB" w:rsidRDefault="00EB56B7" w:rsidP="00EB56B7">
            <w:pPr>
              <w:jc w:val="center"/>
              <w:rPr>
                <w:rFonts w:ascii="Arial" w:hAnsi="Arial" w:cs="Arial"/>
                <w:color w:val="0F243E" w:themeColor="text2" w:themeShade="80"/>
                <w:sz w:val="20"/>
                <w:szCs w:val="20"/>
              </w:rPr>
            </w:pPr>
            <w:r w:rsidRPr="007F3EFB">
              <w:rPr>
                <w:rFonts w:ascii="Arial" w:hAnsi="Arial" w:cs="Arial"/>
                <w:color w:val="0F243E" w:themeColor="text2" w:themeShade="80"/>
                <w:sz w:val="20"/>
                <w:szCs w:val="20"/>
              </w:rPr>
              <w:t>11.138.928</w:t>
            </w:r>
          </w:p>
        </w:tc>
        <w:tc>
          <w:tcPr>
            <w:tcW w:w="1843" w:type="dxa"/>
            <w:tcBorders>
              <w:top w:val="nil"/>
              <w:left w:val="nil"/>
              <w:bottom w:val="double" w:sz="6" w:space="0" w:color="4F81BD"/>
              <w:right w:val="single" w:sz="8" w:space="0" w:color="B8CCE4"/>
            </w:tcBorders>
            <w:shd w:val="clear" w:color="auto" w:fill="auto"/>
            <w:vAlign w:val="center"/>
            <w:hideMark/>
          </w:tcPr>
          <w:p w14:paraId="140624F3" w14:textId="77777777" w:rsidR="00F074C7" w:rsidRPr="007F3EFB" w:rsidRDefault="00F074C7" w:rsidP="00F074C7">
            <w:pPr>
              <w:jc w:val="center"/>
              <w:rPr>
                <w:rFonts w:ascii="Arial" w:hAnsi="Arial" w:cs="Arial"/>
                <w:color w:val="0F243E" w:themeColor="text2" w:themeShade="80"/>
                <w:sz w:val="20"/>
                <w:szCs w:val="20"/>
              </w:rPr>
            </w:pPr>
            <w:r w:rsidRPr="007F3EFB">
              <w:rPr>
                <w:rFonts w:ascii="Arial" w:hAnsi="Arial" w:cs="Arial"/>
                <w:color w:val="0F243E" w:themeColor="text2" w:themeShade="80"/>
                <w:sz w:val="20"/>
                <w:szCs w:val="20"/>
              </w:rPr>
              <w:t>16.348.916</w:t>
            </w:r>
          </w:p>
        </w:tc>
        <w:tc>
          <w:tcPr>
            <w:tcW w:w="2383" w:type="dxa"/>
            <w:tcBorders>
              <w:top w:val="nil"/>
              <w:left w:val="nil"/>
              <w:bottom w:val="nil"/>
              <w:right w:val="nil"/>
            </w:tcBorders>
            <w:shd w:val="clear" w:color="auto" w:fill="auto"/>
            <w:noWrap/>
            <w:vAlign w:val="bottom"/>
            <w:hideMark/>
          </w:tcPr>
          <w:p w14:paraId="4AC44BFA" w14:textId="77777777" w:rsidR="00F074C7" w:rsidRPr="005045BF" w:rsidRDefault="00F074C7" w:rsidP="00F074C7">
            <w:pPr>
              <w:jc w:val="center"/>
              <w:rPr>
                <w:rFonts w:ascii="Arial" w:hAnsi="Arial" w:cs="Arial"/>
                <w:color w:val="254061"/>
                <w:sz w:val="20"/>
                <w:szCs w:val="20"/>
              </w:rPr>
            </w:pPr>
          </w:p>
        </w:tc>
        <w:tc>
          <w:tcPr>
            <w:tcW w:w="1348" w:type="dxa"/>
            <w:tcBorders>
              <w:top w:val="nil"/>
              <w:left w:val="nil"/>
              <w:bottom w:val="nil"/>
              <w:right w:val="nil"/>
            </w:tcBorders>
            <w:shd w:val="clear" w:color="auto" w:fill="auto"/>
            <w:noWrap/>
            <w:vAlign w:val="bottom"/>
            <w:hideMark/>
          </w:tcPr>
          <w:p w14:paraId="67A39D85" w14:textId="77777777" w:rsidR="00F074C7" w:rsidRPr="005045BF" w:rsidRDefault="00F074C7" w:rsidP="00F074C7">
            <w:pPr>
              <w:rPr>
                <w:sz w:val="20"/>
                <w:szCs w:val="20"/>
              </w:rPr>
            </w:pPr>
          </w:p>
        </w:tc>
        <w:tc>
          <w:tcPr>
            <w:tcW w:w="1348" w:type="dxa"/>
            <w:tcBorders>
              <w:top w:val="nil"/>
              <w:left w:val="nil"/>
              <w:bottom w:val="nil"/>
              <w:right w:val="nil"/>
            </w:tcBorders>
            <w:shd w:val="clear" w:color="auto" w:fill="auto"/>
            <w:noWrap/>
            <w:vAlign w:val="bottom"/>
            <w:hideMark/>
          </w:tcPr>
          <w:p w14:paraId="0ADEE025" w14:textId="77777777" w:rsidR="00F074C7" w:rsidRPr="005045BF" w:rsidRDefault="00F074C7" w:rsidP="00F074C7">
            <w:pPr>
              <w:rPr>
                <w:sz w:val="20"/>
                <w:szCs w:val="20"/>
              </w:rPr>
            </w:pPr>
          </w:p>
        </w:tc>
        <w:tc>
          <w:tcPr>
            <w:tcW w:w="1468" w:type="dxa"/>
            <w:tcBorders>
              <w:top w:val="nil"/>
              <w:left w:val="nil"/>
              <w:bottom w:val="nil"/>
              <w:right w:val="nil"/>
            </w:tcBorders>
            <w:shd w:val="clear" w:color="auto" w:fill="auto"/>
            <w:noWrap/>
            <w:vAlign w:val="bottom"/>
            <w:hideMark/>
          </w:tcPr>
          <w:p w14:paraId="2349A357" w14:textId="77777777" w:rsidR="00F074C7" w:rsidRPr="005045BF" w:rsidRDefault="00F074C7" w:rsidP="00F074C7">
            <w:pPr>
              <w:rPr>
                <w:sz w:val="20"/>
                <w:szCs w:val="20"/>
              </w:rPr>
            </w:pPr>
          </w:p>
        </w:tc>
        <w:tc>
          <w:tcPr>
            <w:tcW w:w="1608" w:type="dxa"/>
            <w:tcBorders>
              <w:top w:val="nil"/>
              <w:left w:val="nil"/>
              <w:bottom w:val="nil"/>
              <w:right w:val="nil"/>
            </w:tcBorders>
            <w:shd w:val="clear" w:color="auto" w:fill="auto"/>
            <w:noWrap/>
            <w:vAlign w:val="bottom"/>
            <w:hideMark/>
          </w:tcPr>
          <w:p w14:paraId="5B0C0769" w14:textId="77777777" w:rsidR="00F074C7" w:rsidRPr="005045BF" w:rsidRDefault="00F074C7" w:rsidP="00F074C7">
            <w:pPr>
              <w:rPr>
                <w:sz w:val="20"/>
                <w:szCs w:val="20"/>
              </w:rPr>
            </w:pPr>
          </w:p>
        </w:tc>
      </w:tr>
      <w:tr w:rsidR="00F074C7" w:rsidRPr="005045BF" w14:paraId="24AECCC2" w14:textId="77777777" w:rsidTr="0070175D">
        <w:trPr>
          <w:trHeight w:val="526"/>
        </w:trPr>
        <w:tc>
          <w:tcPr>
            <w:tcW w:w="1266" w:type="dxa"/>
            <w:tcBorders>
              <w:top w:val="nil"/>
              <w:left w:val="single" w:sz="8" w:space="0" w:color="B8CCE4"/>
              <w:bottom w:val="single" w:sz="8" w:space="0" w:color="B8CCE4"/>
              <w:right w:val="single" w:sz="8" w:space="0" w:color="B8CCE4"/>
            </w:tcBorders>
            <w:shd w:val="clear" w:color="auto" w:fill="auto"/>
            <w:vAlign w:val="center"/>
            <w:hideMark/>
          </w:tcPr>
          <w:p w14:paraId="4D0C6A27" w14:textId="77777777" w:rsidR="00F074C7" w:rsidRPr="007F3EFB" w:rsidRDefault="00F074C7" w:rsidP="00F074C7">
            <w:pPr>
              <w:jc w:val="center"/>
              <w:rPr>
                <w:rFonts w:ascii="Arial" w:hAnsi="Arial" w:cs="Arial"/>
                <w:color w:val="0F243E" w:themeColor="text2" w:themeShade="80"/>
                <w:sz w:val="20"/>
                <w:szCs w:val="20"/>
              </w:rPr>
            </w:pPr>
            <w:r w:rsidRPr="007F3EFB">
              <w:rPr>
                <w:rFonts w:ascii="Arial" w:hAnsi="Arial" w:cs="Arial"/>
                <w:color w:val="0F243E" w:themeColor="text2" w:themeShade="80"/>
                <w:sz w:val="20"/>
                <w:szCs w:val="20"/>
              </w:rPr>
              <w:t>Variación $</w:t>
            </w:r>
          </w:p>
        </w:tc>
        <w:tc>
          <w:tcPr>
            <w:tcW w:w="3119" w:type="dxa"/>
            <w:gridSpan w:val="2"/>
            <w:tcBorders>
              <w:top w:val="double" w:sz="6" w:space="0" w:color="4F81BD"/>
              <w:left w:val="nil"/>
              <w:bottom w:val="single" w:sz="8" w:space="0" w:color="B8CCE4"/>
              <w:right w:val="single" w:sz="8" w:space="0" w:color="B8CCE4"/>
            </w:tcBorders>
            <w:shd w:val="clear" w:color="auto" w:fill="auto"/>
            <w:vAlign w:val="center"/>
            <w:hideMark/>
          </w:tcPr>
          <w:p w14:paraId="70513C65" w14:textId="79E48FB1" w:rsidR="00F074C7" w:rsidRPr="007F3EFB" w:rsidRDefault="00F074C7" w:rsidP="00F074C7">
            <w:pPr>
              <w:jc w:val="center"/>
              <w:rPr>
                <w:rFonts w:ascii="Arial" w:hAnsi="Arial" w:cs="Arial"/>
                <w:b/>
                <w:bCs/>
                <w:color w:val="0F243E" w:themeColor="text2" w:themeShade="80"/>
                <w:sz w:val="20"/>
                <w:szCs w:val="20"/>
              </w:rPr>
            </w:pPr>
            <w:r w:rsidRPr="007F3EFB">
              <w:rPr>
                <w:rFonts w:ascii="Arial" w:hAnsi="Arial" w:cs="Arial"/>
                <w:b/>
                <w:bCs/>
                <w:color w:val="0F243E" w:themeColor="text2" w:themeShade="80"/>
                <w:sz w:val="20"/>
                <w:szCs w:val="20"/>
              </w:rPr>
              <w:t>(5.20</w:t>
            </w:r>
            <w:r w:rsidR="00EB56B7" w:rsidRPr="007F3EFB">
              <w:rPr>
                <w:rFonts w:ascii="Arial" w:hAnsi="Arial" w:cs="Arial"/>
                <w:b/>
                <w:bCs/>
                <w:color w:val="0F243E" w:themeColor="text2" w:themeShade="80"/>
                <w:sz w:val="20"/>
                <w:szCs w:val="20"/>
              </w:rPr>
              <w:t>9</w:t>
            </w:r>
            <w:r w:rsidRPr="007F3EFB">
              <w:rPr>
                <w:rFonts w:ascii="Arial" w:hAnsi="Arial" w:cs="Arial"/>
                <w:b/>
                <w:bCs/>
                <w:color w:val="0F243E" w:themeColor="text2" w:themeShade="80"/>
                <w:sz w:val="20"/>
                <w:szCs w:val="20"/>
              </w:rPr>
              <w:t>.9</w:t>
            </w:r>
            <w:r w:rsidR="00EB56B7" w:rsidRPr="007F3EFB">
              <w:rPr>
                <w:rFonts w:ascii="Arial" w:hAnsi="Arial" w:cs="Arial"/>
                <w:b/>
                <w:bCs/>
                <w:color w:val="0F243E" w:themeColor="text2" w:themeShade="80"/>
                <w:sz w:val="20"/>
                <w:szCs w:val="20"/>
              </w:rPr>
              <w:t>88</w:t>
            </w:r>
            <w:r w:rsidRPr="007F3EFB">
              <w:rPr>
                <w:rFonts w:ascii="Arial" w:hAnsi="Arial" w:cs="Arial"/>
                <w:b/>
                <w:bCs/>
                <w:color w:val="0F243E" w:themeColor="text2" w:themeShade="80"/>
                <w:sz w:val="20"/>
                <w:szCs w:val="20"/>
              </w:rPr>
              <w:t>)</w:t>
            </w:r>
          </w:p>
        </w:tc>
        <w:tc>
          <w:tcPr>
            <w:tcW w:w="2383" w:type="dxa"/>
            <w:tcBorders>
              <w:top w:val="nil"/>
              <w:left w:val="nil"/>
              <w:bottom w:val="nil"/>
              <w:right w:val="nil"/>
            </w:tcBorders>
            <w:shd w:val="clear" w:color="auto" w:fill="auto"/>
            <w:noWrap/>
            <w:vAlign w:val="bottom"/>
            <w:hideMark/>
          </w:tcPr>
          <w:p w14:paraId="7786F3E9" w14:textId="77777777" w:rsidR="00F074C7" w:rsidRPr="005045BF" w:rsidRDefault="00F074C7" w:rsidP="00F074C7">
            <w:pPr>
              <w:jc w:val="center"/>
              <w:rPr>
                <w:rFonts w:ascii="Arial" w:hAnsi="Arial" w:cs="Arial"/>
                <w:b/>
                <w:bCs/>
                <w:color w:val="254061"/>
                <w:sz w:val="20"/>
                <w:szCs w:val="20"/>
              </w:rPr>
            </w:pPr>
          </w:p>
        </w:tc>
        <w:tc>
          <w:tcPr>
            <w:tcW w:w="1348" w:type="dxa"/>
            <w:tcBorders>
              <w:top w:val="nil"/>
              <w:left w:val="nil"/>
              <w:bottom w:val="nil"/>
              <w:right w:val="nil"/>
            </w:tcBorders>
            <w:shd w:val="clear" w:color="auto" w:fill="auto"/>
            <w:noWrap/>
            <w:vAlign w:val="bottom"/>
            <w:hideMark/>
          </w:tcPr>
          <w:p w14:paraId="0F48305A" w14:textId="77777777" w:rsidR="00F074C7" w:rsidRPr="005045BF" w:rsidRDefault="00F074C7" w:rsidP="00F074C7">
            <w:pPr>
              <w:rPr>
                <w:sz w:val="20"/>
                <w:szCs w:val="20"/>
              </w:rPr>
            </w:pPr>
          </w:p>
        </w:tc>
        <w:tc>
          <w:tcPr>
            <w:tcW w:w="1348" w:type="dxa"/>
            <w:tcBorders>
              <w:top w:val="nil"/>
              <w:left w:val="nil"/>
              <w:bottom w:val="nil"/>
              <w:right w:val="nil"/>
            </w:tcBorders>
            <w:shd w:val="clear" w:color="auto" w:fill="auto"/>
            <w:noWrap/>
            <w:vAlign w:val="bottom"/>
            <w:hideMark/>
          </w:tcPr>
          <w:p w14:paraId="5F73A62A" w14:textId="77777777" w:rsidR="00F074C7" w:rsidRPr="005045BF" w:rsidRDefault="00F074C7" w:rsidP="00F074C7">
            <w:pPr>
              <w:rPr>
                <w:sz w:val="20"/>
                <w:szCs w:val="20"/>
              </w:rPr>
            </w:pPr>
          </w:p>
        </w:tc>
        <w:tc>
          <w:tcPr>
            <w:tcW w:w="1468" w:type="dxa"/>
            <w:tcBorders>
              <w:top w:val="nil"/>
              <w:left w:val="nil"/>
              <w:bottom w:val="nil"/>
              <w:right w:val="nil"/>
            </w:tcBorders>
            <w:shd w:val="clear" w:color="auto" w:fill="auto"/>
            <w:noWrap/>
            <w:vAlign w:val="bottom"/>
            <w:hideMark/>
          </w:tcPr>
          <w:p w14:paraId="72BA7F4F" w14:textId="77777777" w:rsidR="00F074C7" w:rsidRPr="005045BF" w:rsidRDefault="00F074C7" w:rsidP="00F074C7">
            <w:pPr>
              <w:rPr>
                <w:sz w:val="20"/>
                <w:szCs w:val="20"/>
              </w:rPr>
            </w:pPr>
          </w:p>
        </w:tc>
        <w:tc>
          <w:tcPr>
            <w:tcW w:w="1608" w:type="dxa"/>
            <w:tcBorders>
              <w:top w:val="nil"/>
              <w:left w:val="nil"/>
              <w:bottom w:val="nil"/>
              <w:right w:val="nil"/>
            </w:tcBorders>
            <w:shd w:val="clear" w:color="auto" w:fill="auto"/>
            <w:noWrap/>
            <w:vAlign w:val="bottom"/>
            <w:hideMark/>
          </w:tcPr>
          <w:p w14:paraId="77B2E2AC" w14:textId="77777777" w:rsidR="00F074C7" w:rsidRPr="005045BF" w:rsidRDefault="00F074C7" w:rsidP="00F074C7">
            <w:pPr>
              <w:rPr>
                <w:sz w:val="20"/>
                <w:szCs w:val="20"/>
              </w:rPr>
            </w:pPr>
          </w:p>
        </w:tc>
      </w:tr>
      <w:tr w:rsidR="00F074C7" w:rsidRPr="005045BF" w14:paraId="639CC392" w14:textId="77777777" w:rsidTr="0070175D">
        <w:trPr>
          <w:trHeight w:val="403"/>
        </w:trPr>
        <w:tc>
          <w:tcPr>
            <w:tcW w:w="1266" w:type="dxa"/>
            <w:tcBorders>
              <w:top w:val="nil"/>
              <w:left w:val="single" w:sz="8" w:space="0" w:color="B8CCE4"/>
              <w:bottom w:val="double" w:sz="6" w:space="0" w:color="4F81BD"/>
              <w:right w:val="single" w:sz="8" w:space="0" w:color="B8CCE4"/>
            </w:tcBorders>
            <w:shd w:val="clear" w:color="auto" w:fill="auto"/>
            <w:vAlign w:val="center"/>
            <w:hideMark/>
          </w:tcPr>
          <w:p w14:paraId="60F1F415" w14:textId="77777777" w:rsidR="00F074C7" w:rsidRPr="007F3EFB" w:rsidRDefault="00F074C7" w:rsidP="00F074C7">
            <w:pPr>
              <w:jc w:val="center"/>
              <w:rPr>
                <w:rFonts w:ascii="Arial" w:hAnsi="Arial" w:cs="Arial"/>
                <w:color w:val="0F243E" w:themeColor="text2" w:themeShade="80"/>
                <w:sz w:val="20"/>
                <w:szCs w:val="20"/>
              </w:rPr>
            </w:pPr>
            <w:r w:rsidRPr="007F3EFB">
              <w:rPr>
                <w:rFonts w:ascii="Arial" w:hAnsi="Arial" w:cs="Arial"/>
                <w:color w:val="0F243E" w:themeColor="text2" w:themeShade="80"/>
                <w:sz w:val="20"/>
                <w:szCs w:val="20"/>
              </w:rPr>
              <w:t>Variación %</w:t>
            </w:r>
          </w:p>
        </w:tc>
        <w:tc>
          <w:tcPr>
            <w:tcW w:w="3119" w:type="dxa"/>
            <w:gridSpan w:val="2"/>
            <w:tcBorders>
              <w:top w:val="single" w:sz="8" w:space="0" w:color="B8CCE4"/>
              <w:left w:val="nil"/>
              <w:bottom w:val="double" w:sz="6" w:space="0" w:color="4F81BD"/>
              <w:right w:val="single" w:sz="8" w:space="0" w:color="B8CCE4"/>
            </w:tcBorders>
            <w:shd w:val="clear" w:color="auto" w:fill="auto"/>
            <w:vAlign w:val="center"/>
            <w:hideMark/>
          </w:tcPr>
          <w:p w14:paraId="3D2DC004" w14:textId="08ADFBFB" w:rsidR="00F074C7" w:rsidRPr="007F3EFB" w:rsidRDefault="00F074C7" w:rsidP="00F074C7">
            <w:pPr>
              <w:jc w:val="center"/>
              <w:rPr>
                <w:rFonts w:ascii="Arial" w:hAnsi="Arial" w:cs="Arial"/>
                <w:b/>
                <w:bCs/>
                <w:color w:val="0F243E" w:themeColor="text2" w:themeShade="80"/>
                <w:sz w:val="20"/>
                <w:szCs w:val="20"/>
              </w:rPr>
            </w:pPr>
            <w:r w:rsidRPr="007F3EFB">
              <w:rPr>
                <w:rFonts w:ascii="Arial" w:hAnsi="Arial" w:cs="Arial"/>
                <w:b/>
                <w:bCs/>
                <w:color w:val="0F243E" w:themeColor="text2" w:themeShade="80"/>
                <w:sz w:val="20"/>
                <w:szCs w:val="20"/>
              </w:rPr>
              <w:t>(32%)</w:t>
            </w:r>
          </w:p>
        </w:tc>
        <w:tc>
          <w:tcPr>
            <w:tcW w:w="2383" w:type="dxa"/>
            <w:tcBorders>
              <w:top w:val="nil"/>
              <w:left w:val="nil"/>
              <w:bottom w:val="nil"/>
              <w:right w:val="nil"/>
            </w:tcBorders>
            <w:shd w:val="clear" w:color="auto" w:fill="auto"/>
            <w:noWrap/>
            <w:vAlign w:val="bottom"/>
            <w:hideMark/>
          </w:tcPr>
          <w:p w14:paraId="1F2C32FF" w14:textId="77777777" w:rsidR="00F074C7" w:rsidRPr="005045BF" w:rsidRDefault="00F074C7" w:rsidP="00F074C7">
            <w:pPr>
              <w:jc w:val="center"/>
              <w:rPr>
                <w:rFonts w:ascii="Arial" w:hAnsi="Arial" w:cs="Arial"/>
                <w:b/>
                <w:bCs/>
                <w:color w:val="254061"/>
                <w:sz w:val="20"/>
                <w:szCs w:val="20"/>
              </w:rPr>
            </w:pPr>
          </w:p>
        </w:tc>
        <w:tc>
          <w:tcPr>
            <w:tcW w:w="1348" w:type="dxa"/>
            <w:tcBorders>
              <w:top w:val="nil"/>
              <w:left w:val="nil"/>
              <w:bottom w:val="nil"/>
              <w:right w:val="nil"/>
            </w:tcBorders>
            <w:shd w:val="clear" w:color="auto" w:fill="auto"/>
            <w:noWrap/>
            <w:vAlign w:val="bottom"/>
            <w:hideMark/>
          </w:tcPr>
          <w:p w14:paraId="7DAD166F" w14:textId="77777777" w:rsidR="00F074C7" w:rsidRPr="005045BF" w:rsidRDefault="00F074C7" w:rsidP="00F074C7">
            <w:pPr>
              <w:rPr>
                <w:sz w:val="20"/>
                <w:szCs w:val="20"/>
              </w:rPr>
            </w:pPr>
          </w:p>
        </w:tc>
        <w:tc>
          <w:tcPr>
            <w:tcW w:w="1348" w:type="dxa"/>
            <w:tcBorders>
              <w:top w:val="nil"/>
              <w:left w:val="nil"/>
              <w:bottom w:val="nil"/>
              <w:right w:val="nil"/>
            </w:tcBorders>
            <w:shd w:val="clear" w:color="auto" w:fill="auto"/>
            <w:noWrap/>
            <w:vAlign w:val="bottom"/>
            <w:hideMark/>
          </w:tcPr>
          <w:p w14:paraId="74428A32" w14:textId="77777777" w:rsidR="00F074C7" w:rsidRPr="005045BF" w:rsidRDefault="00F074C7" w:rsidP="00F074C7">
            <w:pPr>
              <w:rPr>
                <w:sz w:val="20"/>
                <w:szCs w:val="20"/>
              </w:rPr>
            </w:pPr>
          </w:p>
        </w:tc>
        <w:tc>
          <w:tcPr>
            <w:tcW w:w="1468" w:type="dxa"/>
            <w:tcBorders>
              <w:top w:val="nil"/>
              <w:left w:val="nil"/>
              <w:bottom w:val="nil"/>
              <w:right w:val="nil"/>
            </w:tcBorders>
            <w:shd w:val="clear" w:color="auto" w:fill="auto"/>
            <w:noWrap/>
            <w:vAlign w:val="bottom"/>
            <w:hideMark/>
          </w:tcPr>
          <w:p w14:paraId="37BC9354" w14:textId="77777777" w:rsidR="00F074C7" w:rsidRPr="005045BF" w:rsidRDefault="00F074C7" w:rsidP="00F074C7">
            <w:pPr>
              <w:rPr>
                <w:sz w:val="20"/>
                <w:szCs w:val="20"/>
              </w:rPr>
            </w:pPr>
          </w:p>
        </w:tc>
        <w:tc>
          <w:tcPr>
            <w:tcW w:w="1608" w:type="dxa"/>
            <w:tcBorders>
              <w:top w:val="nil"/>
              <w:left w:val="nil"/>
              <w:bottom w:val="nil"/>
              <w:right w:val="nil"/>
            </w:tcBorders>
            <w:shd w:val="clear" w:color="auto" w:fill="auto"/>
            <w:noWrap/>
            <w:vAlign w:val="bottom"/>
            <w:hideMark/>
          </w:tcPr>
          <w:p w14:paraId="586CDE66" w14:textId="77777777" w:rsidR="00F074C7" w:rsidRPr="005045BF" w:rsidRDefault="00F074C7" w:rsidP="00F074C7">
            <w:pPr>
              <w:rPr>
                <w:sz w:val="20"/>
                <w:szCs w:val="20"/>
              </w:rPr>
            </w:pPr>
          </w:p>
        </w:tc>
      </w:tr>
    </w:tbl>
    <w:p w14:paraId="358DA4AC" w14:textId="15F32DCF" w:rsidR="00F074C7" w:rsidRPr="005045BF" w:rsidRDefault="00F074C7" w:rsidP="00F25A26">
      <w:pPr>
        <w:jc w:val="both"/>
        <w:rPr>
          <w:rFonts w:ascii="Arial" w:hAnsi="Arial" w:cs="Arial"/>
          <w:sz w:val="22"/>
          <w:szCs w:val="22"/>
        </w:rPr>
      </w:pPr>
    </w:p>
    <w:p w14:paraId="70176DA8" w14:textId="0D4F3D14" w:rsidR="00A85559" w:rsidRPr="005045BF" w:rsidRDefault="00C527AB" w:rsidP="00BA35FF">
      <w:pPr>
        <w:jc w:val="both"/>
        <w:rPr>
          <w:rFonts w:ascii="Arial" w:hAnsi="Arial" w:cs="Arial"/>
          <w:sz w:val="22"/>
          <w:szCs w:val="22"/>
        </w:rPr>
      </w:pPr>
      <w:r w:rsidRPr="005045BF">
        <w:rPr>
          <w:rFonts w:ascii="Arial" w:hAnsi="Arial" w:cs="Arial"/>
          <w:sz w:val="22"/>
          <w:szCs w:val="22"/>
        </w:rPr>
        <w:t xml:space="preserve">De lo anterior se deduce que, </w:t>
      </w:r>
      <w:r w:rsidR="00A85559" w:rsidRPr="00B84EB6">
        <w:rPr>
          <w:rFonts w:ascii="Arial" w:hAnsi="Arial" w:cs="Arial"/>
          <w:b/>
          <w:bCs/>
          <w:sz w:val="22"/>
          <w:szCs w:val="22"/>
        </w:rPr>
        <w:t>en parte el ahorro presentado</w:t>
      </w:r>
      <w:r w:rsidR="00A85559" w:rsidRPr="005045BF">
        <w:rPr>
          <w:rFonts w:ascii="Arial" w:hAnsi="Arial" w:cs="Arial"/>
          <w:sz w:val="22"/>
          <w:szCs w:val="22"/>
        </w:rPr>
        <w:t xml:space="preserve"> en el gasto de servicio de telefonía móvil para el trimestre objeto de análisis, obedec</w:t>
      </w:r>
      <w:r w:rsidRPr="005045BF">
        <w:rPr>
          <w:rFonts w:ascii="Arial" w:hAnsi="Arial" w:cs="Arial"/>
          <w:sz w:val="22"/>
          <w:szCs w:val="22"/>
        </w:rPr>
        <w:t>ió</w:t>
      </w:r>
      <w:r w:rsidR="00A85559" w:rsidRPr="005045BF">
        <w:rPr>
          <w:rFonts w:ascii="Arial" w:hAnsi="Arial" w:cs="Arial"/>
          <w:sz w:val="22"/>
          <w:szCs w:val="22"/>
        </w:rPr>
        <w:t xml:space="preserve"> a las gestiones adelantadas por la Subdirección de Servicios en cuanto </w:t>
      </w:r>
      <w:r w:rsidR="00BA29F5" w:rsidRPr="005045BF">
        <w:rPr>
          <w:rFonts w:ascii="Arial" w:hAnsi="Arial" w:cs="Arial"/>
          <w:sz w:val="22"/>
          <w:szCs w:val="22"/>
        </w:rPr>
        <w:t>a los nuevos beneficios otorgados por Movistar para los planes de telefonía móvil contratados para la vigencia 2020 correspondiente a 22 líneas de telefonía celular, asignadas a los Directivos</w:t>
      </w:r>
      <w:r w:rsidR="00F82C4E" w:rsidRPr="005045BF">
        <w:rPr>
          <w:rFonts w:ascii="Arial" w:hAnsi="Arial" w:cs="Arial"/>
          <w:sz w:val="22"/>
          <w:szCs w:val="22"/>
        </w:rPr>
        <w:t xml:space="preserve"> de este Ministerio</w:t>
      </w:r>
      <w:r w:rsidR="00BA29F5" w:rsidRPr="005045BF">
        <w:rPr>
          <w:rFonts w:ascii="Arial" w:hAnsi="Arial" w:cs="Arial"/>
          <w:sz w:val="22"/>
          <w:szCs w:val="22"/>
        </w:rPr>
        <w:t xml:space="preserve"> </w:t>
      </w:r>
      <w:r w:rsidR="004214A5" w:rsidRPr="005045BF">
        <w:rPr>
          <w:rFonts w:ascii="Arial" w:hAnsi="Arial" w:cs="Arial"/>
          <w:sz w:val="22"/>
          <w:szCs w:val="22"/>
        </w:rPr>
        <w:t xml:space="preserve">y </w:t>
      </w:r>
      <w:r w:rsidR="00F82C4E" w:rsidRPr="005045BF">
        <w:rPr>
          <w:rFonts w:ascii="Arial" w:hAnsi="Arial" w:cs="Arial"/>
          <w:sz w:val="22"/>
          <w:szCs w:val="22"/>
        </w:rPr>
        <w:t>servicios de comunicación por plantas</w:t>
      </w:r>
      <w:r w:rsidR="007F3EFB">
        <w:rPr>
          <w:rFonts w:ascii="Arial" w:hAnsi="Arial" w:cs="Arial"/>
          <w:sz w:val="22"/>
          <w:szCs w:val="22"/>
        </w:rPr>
        <w:t xml:space="preserve">, </w:t>
      </w:r>
      <w:r w:rsidR="00BA29F5" w:rsidRPr="005045BF">
        <w:rPr>
          <w:rFonts w:ascii="Arial" w:hAnsi="Arial" w:cs="Arial"/>
          <w:sz w:val="22"/>
          <w:szCs w:val="22"/>
        </w:rPr>
        <w:t xml:space="preserve">igualmente, se </w:t>
      </w:r>
      <w:r w:rsidR="00A85559" w:rsidRPr="005045BF">
        <w:rPr>
          <w:rFonts w:ascii="Arial" w:hAnsi="Arial" w:cs="Arial"/>
          <w:sz w:val="22"/>
          <w:szCs w:val="22"/>
        </w:rPr>
        <w:t>dismin</w:t>
      </w:r>
      <w:r w:rsidR="00BA29F5" w:rsidRPr="005045BF">
        <w:rPr>
          <w:rFonts w:ascii="Arial" w:hAnsi="Arial" w:cs="Arial"/>
          <w:sz w:val="22"/>
          <w:szCs w:val="22"/>
        </w:rPr>
        <w:t xml:space="preserve">uyó el número de líneas pasando de 24 a 22. </w:t>
      </w:r>
      <w:r w:rsidR="00A74302" w:rsidRPr="005045BF">
        <w:rPr>
          <w:rFonts w:ascii="Arial" w:hAnsi="Arial" w:cs="Arial"/>
          <w:sz w:val="22"/>
          <w:szCs w:val="22"/>
        </w:rPr>
        <w:t xml:space="preserve">Así mismo, la medida aplicada por Subdirección de Servicios en cuanto la reducción de 7 líneas telefónicas de Avantel </w:t>
      </w:r>
      <w:r w:rsidR="00F82C4E" w:rsidRPr="005045BF">
        <w:rPr>
          <w:rFonts w:ascii="Arial" w:hAnsi="Arial" w:cs="Arial"/>
          <w:sz w:val="22"/>
          <w:szCs w:val="22"/>
        </w:rPr>
        <w:t xml:space="preserve">por indicaciones del Jefe del esquema de seguridad del Ministro de Hacienda, </w:t>
      </w:r>
      <w:r w:rsidR="00A74302" w:rsidRPr="005045BF">
        <w:rPr>
          <w:rFonts w:ascii="Arial" w:hAnsi="Arial" w:cs="Arial"/>
          <w:sz w:val="22"/>
          <w:szCs w:val="22"/>
        </w:rPr>
        <w:t xml:space="preserve">contribuyó al ahorro en el gasto evidenciado para el servicio de telefonía móvil. </w:t>
      </w:r>
    </w:p>
    <w:p w14:paraId="31DECD6F" w14:textId="77777777" w:rsidR="00F82C4E" w:rsidRPr="005045BF" w:rsidRDefault="00F82C4E" w:rsidP="00BA35FF">
      <w:pPr>
        <w:jc w:val="both"/>
        <w:rPr>
          <w:rFonts w:ascii="Arial" w:hAnsi="Arial" w:cs="Arial"/>
          <w:sz w:val="22"/>
          <w:szCs w:val="22"/>
        </w:rPr>
      </w:pPr>
    </w:p>
    <w:p w14:paraId="2CF0E10B" w14:textId="4F0A0024" w:rsidR="00D1543A" w:rsidRPr="005045BF" w:rsidRDefault="004214A5" w:rsidP="003B2F1C">
      <w:pPr>
        <w:spacing w:after="120"/>
        <w:jc w:val="both"/>
        <w:rPr>
          <w:rFonts w:ascii="Arial" w:hAnsi="Arial" w:cs="Arial"/>
          <w:sz w:val="22"/>
          <w:szCs w:val="22"/>
        </w:rPr>
      </w:pPr>
      <w:bookmarkStart w:id="9" w:name="_Hlk35933883"/>
      <w:r w:rsidRPr="005045BF">
        <w:rPr>
          <w:rFonts w:ascii="Arial" w:hAnsi="Arial" w:cs="Arial"/>
          <w:sz w:val="22"/>
          <w:szCs w:val="22"/>
        </w:rPr>
        <w:t xml:space="preserve">En conclusión, </w:t>
      </w:r>
      <w:r w:rsidR="00D838A9" w:rsidRPr="005045BF">
        <w:rPr>
          <w:rFonts w:ascii="Arial" w:hAnsi="Arial" w:cs="Arial"/>
          <w:sz w:val="22"/>
          <w:szCs w:val="22"/>
        </w:rPr>
        <w:t>e</w:t>
      </w:r>
      <w:r w:rsidR="00B93CC2" w:rsidRPr="005045BF">
        <w:rPr>
          <w:rFonts w:ascii="Arial" w:hAnsi="Arial" w:cs="Arial"/>
          <w:sz w:val="22"/>
          <w:szCs w:val="22"/>
        </w:rPr>
        <w:t xml:space="preserve">l </w:t>
      </w:r>
      <w:r w:rsidR="00B46B05" w:rsidRPr="005045BF">
        <w:rPr>
          <w:rFonts w:ascii="Arial" w:hAnsi="Arial" w:cs="Arial"/>
          <w:sz w:val="22"/>
          <w:szCs w:val="22"/>
        </w:rPr>
        <w:t>Ministerio</w:t>
      </w:r>
      <w:r w:rsidR="00B93CC2" w:rsidRPr="005045BF">
        <w:rPr>
          <w:rFonts w:ascii="Arial" w:hAnsi="Arial" w:cs="Arial"/>
          <w:sz w:val="22"/>
          <w:szCs w:val="22"/>
        </w:rPr>
        <w:t xml:space="preserve"> de Hacienda y Crédito </w:t>
      </w:r>
      <w:r w:rsidR="00B65C32" w:rsidRPr="005045BF">
        <w:rPr>
          <w:rFonts w:ascii="Arial" w:hAnsi="Arial" w:cs="Arial"/>
          <w:sz w:val="22"/>
          <w:szCs w:val="22"/>
        </w:rPr>
        <w:t>Público implementó</w:t>
      </w:r>
      <w:r w:rsidR="00C34F8B" w:rsidRPr="005045BF">
        <w:rPr>
          <w:rFonts w:ascii="Arial" w:hAnsi="Arial" w:cs="Arial"/>
          <w:sz w:val="22"/>
          <w:szCs w:val="22"/>
        </w:rPr>
        <w:t xml:space="preserve"> durante </w:t>
      </w:r>
      <w:r w:rsidRPr="005045BF">
        <w:rPr>
          <w:rFonts w:ascii="Arial" w:hAnsi="Arial" w:cs="Arial"/>
          <w:sz w:val="22"/>
          <w:szCs w:val="22"/>
        </w:rPr>
        <w:t xml:space="preserve">el primer trimestre de 2020, </w:t>
      </w:r>
      <w:r w:rsidR="00B46B05" w:rsidRPr="005045BF">
        <w:rPr>
          <w:rFonts w:ascii="Arial" w:hAnsi="Arial" w:cs="Arial"/>
          <w:sz w:val="22"/>
          <w:szCs w:val="22"/>
        </w:rPr>
        <w:t>medidas encaminadas a cumplir las directrices del Gobierno Nacional en el marco de la austeridad del gasto</w:t>
      </w:r>
      <w:r w:rsidRPr="005045BF">
        <w:rPr>
          <w:rFonts w:ascii="Arial" w:hAnsi="Arial" w:cs="Arial"/>
          <w:sz w:val="22"/>
          <w:szCs w:val="22"/>
        </w:rPr>
        <w:t xml:space="preserve">. </w:t>
      </w:r>
    </w:p>
    <w:p w14:paraId="544A048E" w14:textId="0B6868F5" w:rsidR="00AA5CCE" w:rsidRPr="005045BF" w:rsidRDefault="007A0355" w:rsidP="00A65CC1">
      <w:pPr>
        <w:jc w:val="both"/>
        <w:rPr>
          <w:rFonts w:ascii="Arial" w:hAnsi="Arial" w:cs="Arial"/>
          <w:b/>
          <w:sz w:val="22"/>
          <w:szCs w:val="22"/>
        </w:rPr>
      </w:pPr>
      <w:r w:rsidRPr="005045BF">
        <w:rPr>
          <w:rFonts w:ascii="Arial" w:hAnsi="Arial" w:cs="Arial"/>
          <w:sz w:val="22"/>
          <w:szCs w:val="22"/>
        </w:rPr>
        <w:lastRenderedPageBreak/>
        <w:t xml:space="preserve"> </w:t>
      </w:r>
      <w:bookmarkEnd w:id="9"/>
      <w:r w:rsidR="003879F9" w:rsidRPr="005045BF">
        <w:rPr>
          <w:rFonts w:ascii="Arial" w:hAnsi="Arial" w:cs="Arial"/>
          <w:b/>
          <w:sz w:val="22"/>
          <w:szCs w:val="22"/>
        </w:rPr>
        <w:t>7</w:t>
      </w:r>
      <w:r w:rsidR="000B4333" w:rsidRPr="005045BF">
        <w:rPr>
          <w:rFonts w:ascii="Arial" w:hAnsi="Arial" w:cs="Arial"/>
          <w:b/>
          <w:sz w:val="22"/>
          <w:szCs w:val="22"/>
        </w:rPr>
        <w:t xml:space="preserve">.3.1 </w:t>
      </w:r>
      <w:r w:rsidR="00412E8A" w:rsidRPr="005045BF">
        <w:rPr>
          <w:rFonts w:ascii="Arial" w:hAnsi="Arial" w:cs="Arial"/>
          <w:b/>
          <w:sz w:val="22"/>
          <w:szCs w:val="22"/>
        </w:rPr>
        <w:t xml:space="preserve">Líneas de </w:t>
      </w:r>
      <w:r w:rsidR="00950EE8" w:rsidRPr="005045BF">
        <w:rPr>
          <w:rFonts w:ascii="Arial" w:hAnsi="Arial" w:cs="Arial"/>
          <w:b/>
          <w:sz w:val="22"/>
          <w:szCs w:val="22"/>
        </w:rPr>
        <w:t>C</w:t>
      </w:r>
      <w:r w:rsidR="00AA5CCE" w:rsidRPr="005045BF">
        <w:rPr>
          <w:rFonts w:ascii="Arial" w:hAnsi="Arial" w:cs="Arial"/>
          <w:b/>
          <w:sz w:val="22"/>
          <w:szCs w:val="22"/>
        </w:rPr>
        <w:t xml:space="preserve">elulares </w:t>
      </w:r>
      <w:r w:rsidR="00950EE8" w:rsidRPr="005045BF">
        <w:rPr>
          <w:rFonts w:ascii="Arial" w:hAnsi="Arial" w:cs="Arial"/>
          <w:b/>
          <w:sz w:val="22"/>
          <w:szCs w:val="22"/>
        </w:rPr>
        <w:t>A</w:t>
      </w:r>
      <w:r w:rsidR="00AA5CCE" w:rsidRPr="005045BF">
        <w:rPr>
          <w:rFonts w:ascii="Arial" w:hAnsi="Arial" w:cs="Arial"/>
          <w:b/>
          <w:sz w:val="22"/>
          <w:szCs w:val="22"/>
        </w:rPr>
        <w:t>signados a Directores</w:t>
      </w:r>
    </w:p>
    <w:p w14:paraId="4E71C1A9" w14:textId="77777777" w:rsidR="00016B10" w:rsidRPr="005045BF" w:rsidRDefault="00016B10" w:rsidP="00A65CC1">
      <w:pPr>
        <w:rPr>
          <w:rFonts w:ascii="Arial" w:hAnsi="Arial" w:cs="Arial"/>
          <w:b/>
          <w:sz w:val="22"/>
          <w:szCs w:val="22"/>
        </w:rPr>
      </w:pPr>
    </w:p>
    <w:p w14:paraId="2EEE6D17" w14:textId="0375F3A3" w:rsidR="00283C91" w:rsidRPr="005045BF" w:rsidRDefault="00DA44F5" w:rsidP="00A65CC1">
      <w:pPr>
        <w:jc w:val="both"/>
        <w:rPr>
          <w:rFonts w:ascii="Arial" w:hAnsi="Arial" w:cs="Arial"/>
          <w:sz w:val="22"/>
          <w:szCs w:val="22"/>
        </w:rPr>
      </w:pPr>
      <w:r w:rsidRPr="005045BF">
        <w:rPr>
          <w:rFonts w:ascii="Arial" w:hAnsi="Arial" w:cs="Arial"/>
          <w:sz w:val="22"/>
          <w:szCs w:val="22"/>
        </w:rPr>
        <w:t>Con base en el listado de</w:t>
      </w:r>
      <w:r w:rsidR="00283C91" w:rsidRPr="005045BF">
        <w:rPr>
          <w:rFonts w:ascii="Arial" w:hAnsi="Arial" w:cs="Arial"/>
          <w:sz w:val="22"/>
          <w:szCs w:val="22"/>
        </w:rPr>
        <w:t xml:space="preserve"> </w:t>
      </w:r>
      <w:r w:rsidRPr="005045BF">
        <w:rPr>
          <w:rFonts w:ascii="Arial" w:hAnsi="Arial" w:cs="Arial"/>
          <w:sz w:val="22"/>
          <w:szCs w:val="22"/>
        </w:rPr>
        <w:t>l</w:t>
      </w:r>
      <w:r w:rsidR="00283C91" w:rsidRPr="005045BF">
        <w:rPr>
          <w:rFonts w:ascii="Arial" w:hAnsi="Arial" w:cs="Arial"/>
          <w:sz w:val="22"/>
          <w:szCs w:val="22"/>
        </w:rPr>
        <w:t xml:space="preserve">os servicios </w:t>
      </w:r>
      <w:r w:rsidRPr="005045BF">
        <w:rPr>
          <w:rFonts w:ascii="Arial" w:hAnsi="Arial" w:cs="Arial"/>
          <w:sz w:val="22"/>
          <w:szCs w:val="22"/>
        </w:rPr>
        <w:t>facturado</w:t>
      </w:r>
      <w:r w:rsidR="00283C91" w:rsidRPr="005045BF">
        <w:rPr>
          <w:rFonts w:ascii="Arial" w:hAnsi="Arial" w:cs="Arial"/>
          <w:sz w:val="22"/>
          <w:szCs w:val="22"/>
        </w:rPr>
        <w:t>s</w:t>
      </w:r>
      <w:r w:rsidRPr="005045BF">
        <w:rPr>
          <w:rFonts w:ascii="Arial" w:hAnsi="Arial" w:cs="Arial"/>
          <w:sz w:val="22"/>
          <w:szCs w:val="22"/>
        </w:rPr>
        <w:t xml:space="preserve"> por telefonía móvil</w:t>
      </w:r>
      <w:r w:rsidR="00AA5CCE" w:rsidRPr="005045BF">
        <w:rPr>
          <w:rFonts w:ascii="Arial" w:hAnsi="Arial" w:cs="Arial"/>
          <w:sz w:val="22"/>
          <w:szCs w:val="22"/>
        </w:rPr>
        <w:t xml:space="preserve"> allegada a esta Oficina, se procedió a verificar las facturas físicas emitidas por</w:t>
      </w:r>
      <w:r w:rsidR="00BE724C" w:rsidRPr="005045BF">
        <w:rPr>
          <w:rFonts w:ascii="Arial" w:hAnsi="Arial" w:cs="Arial"/>
          <w:sz w:val="22"/>
          <w:szCs w:val="22"/>
        </w:rPr>
        <w:t xml:space="preserve"> Avantel, Claro y Movistar</w:t>
      </w:r>
      <w:r w:rsidR="004B253D" w:rsidRPr="005045BF">
        <w:rPr>
          <w:rFonts w:ascii="Arial" w:hAnsi="Arial" w:cs="Arial"/>
          <w:sz w:val="22"/>
          <w:szCs w:val="22"/>
        </w:rPr>
        <w:t xml:space="preserve"> correspondientes al </w:t>
      </w:r>
      <w:r w:rsidR="00773E06" w:rsidRPr="005045BF">
        <w:rPr>
          <w:rFonts w:ascii="Arial" w:hAnsi="Arial" w:cs="Arial"/>
          <w:sz w:val="22"/>
          <w:szCs w:val="22"/>
        </w:rPr>
        <w:t xml:space="preserve">primer </w:t>
      </w:r>
      <w:r w:rsidR="004B253D" w:rsidRPr="005045BF">
        <w:rPr>
          <w:rFonts w:ascii="Arial" w:hAnsi="Arial" w:cs="Arial"/>
          <w:sz w:val="22"/>
          <w:szCs w:val="22"/>
        </w:rPr>
        <w:t>trimestre de 20</w:t>
      </w:r>
      <w:r w:rsidR="00773E06" w:rsidRPr="005045BF">
        <w:rPr>
          <w:rFonts w:ascii="Arial" w:hAnsi="Arial" w:cs="Arial"/>
          <w:sz w:val="22"/>
          <w:szCs w:val="22"/>
        </w:rPr>
        <w:t>20</w:t>
      </w:r>
      <w:r w:rsidR="000B4333" w:rsidRPr="005045BF">
        <w:rPr>
          <w:rFonts w:ascii="Arial" w:hAnsi="Arial" w:cs="Arial"/>
          <w:sz w:val="22"/>
          <w:szCs w:val="22"/>
        </w:rPr>
        <w:t xml:space="preserve">. </w:t>
      </w:r>
      <w:r w:rsidR="00A01989" w:rsidRPr="005045BF">
        <w:rPr>
          <w:rFonts w:ascii="Arial" w:hAnsi="Arial" w:cs="Arial"/>
          <w:sz w:val="22"/>
          <w:szCs w:val="22"/>
        </w:rPr>
        <w:t>De la anterior prueba se obtuvo el siguiente resultado:</w:t>
      </w:r>
    </w:p>
    <w:p w14:paraId="1205C242" w14:textId="347CB311" w:rsidR="00A01989" w:rsidRPr="005045BF" w:rsidRDefault="00A01989" w:rsidP="00A65CC1">
      <w:pPr>
        <w:jc w:val="both"/>
        <w:rPr>
          <w:rFonts w:ascii="Arial" w:hAnsi="Arial" w:cs="Arial"/>
          <w:sz w:val="22"/>
          <w:szCs w:val="22"/>
          <w:highlight w:val="yellow"/>
        </w:rPr>
      </w:pPr>
      <w:r w:rsidRPr="005045BF">
        <w:rPr>
          <w:rFonts w:ascii="Arial" w:hAnsi="Arial" w:cs="Arial"/>
          <w:sz w:val="22"/>
          <w:szCs w:val="22"/>
          <w:highlight w:val="yellow"/>
        </w:rPr>
        <w:t xml:space="preserve"> </w:t>
      </w:r>
    </w:p>
    <w:p w14:paraId="060E3E16" w14:textId="350A0ECC" w:rsidR="00A65CC1" w:rsidRPr="005045BF" w:rsidRDefault="00A01989" w:rsidP="0075560E">
      <w:pPr>
        <w:pStyle w:val="Prrafodelista"/>
        <w:numPr>
          <w:ilvl w:val="0"/>
          <w:numId w:val="19"/>
        </w:numPr>
        <w:ind w:left="284" w:hanging="284"/>
        <w:contextualSpacing w:val="0"/>
        <w:rPr>
          <w:rFonts w:ascii="Arial" w:hAnsi="Arial" w:cs="Arial"/>
          <w:sz w:val="22"/>
          <w:szCs w:val="22"/>
        </w:rPr>
      </w:pPr>
      <w:bookmarkStart w:id="10" w:name="_Hlk35933916"/>
      <w:r w:rsidRPr="005045BF">
        <w:rPr>
          <w:rFonts w:ascii="Arial" w:hAnsi="Arial" w:cs="Arial"/>
          <w:sz w:val="22"/>
          <w:szCs w:val="22"/>
        </w:rPr>
        <w:t xml:space="preserve">Se </w:t>
      </w:r>
      <w:r w:rsidR="000730CD" w:rsidRPr="005045BF">
        <w:rPr>
          <w:rFonts w:ascii="Arial" w:hAnsi="Arial" w:cs="Arial"/>
          <w:sz w:val="22"/>
          <w:szCs w:val="22"/>
        </w:rPr>
        <w:t xml:space="preserve">comparó </w:t>
      </w:r>
      <w:r w:rsidRPr="005045BF">
        <w:rPr>
          <w:rFonts w:ascii="Arial" w:hAnsi="Arial" w:cs="Arial"/>
          <w:sz w:val="22"/>
          <w:szCs w:val="22"/>
        </w:rPr>
        <w:t>los</w:t>
      </w:r>
      <w:r w:rsidR="000730CD" w:rsidRPr="005045BF">
        <w:rPr>
          <w:rFonts w:ascii="Arial" w:hAnsi="Arial" w:cs="Arial"/>
          <w:sz w:val="22"/>
          <w:szCs w:val="22"/>
        </w:rPr>
        <w:t xml:space="preserve"> gastos </w:t>
      </w:r>
      <w:r w:rsidRPr="005045BF">
        <w:rPr>
          <w:rFonts w:ascii="Arial" w:hAnsi="Arial" w:cs="Arial"/>
          <w:sz w:val="22"/>
          <w:szCs w:val="22"/>
        </w:rPr>
        <w:t>registrados en las obligacio</w:t>
      </w:r>
      <w:r w:rsidR="000B4333" w:rsidRPr="005045BF">
        <w:rPr>
          <w:rFonts w:ascii="Arial" w:hAnsi="Arial" w:cs="Arial"/>
          <w:sz w:val="22"/>
          <w:szCs w:val="22"/>
        </w:rPr>
        <w:t xml:space="preserve">nes de pago en el SIIF </w:t>
      </w:r>
      <w:r w:rsidRPr="005045BF">
        <w:rPr>
          <w:rFonts w:ascii="Arial" w:hAnsi="Arial" w:cs="Arial"/>
          <w:sz w:val="22"/>
          <w:szCs w:val="22"/>
        </w:rPr>
        <w:t>con los valores facturados por las empresas qu</w:t>
      </w:r>
      <w:r w:rsidR="00D532E8" w:rsidRPr="005045BF">
        <w:rPr>
          <w:rFonts w:ascii="Arial" w:hAnsi="Arial" w:cs="Arial"/>
          <w:sz w:val="22"/>
          <w:szCs w:val="22"/>
        </w:rPr>
        <w:t>e prestan el servicio telefonía móvil</w:t>
      </w:r>
      <w:r w:rsidRPr="005045BF">
        <w:rPr>
          <w:rFonts w:ascii="Arial" w:hAnsi="Arial" w:cs="Arial"/>
          <w:sz w:val="22"/>
          <w:szCs w:val="22"/>
        </w:rPr>
        <w:t xml:space="preserve">. </w:t>
      </w:r>
      <w:r w:rsidR="000B4333" w:rsidRPr="005045BF">
        <w:rPr>
          <w:rFonts w:ascii="Arial" w:hAnsi="Arial" w:cs="Arial"/>
          <w:sz w:val="22"/>
          <w:szCs w:val="22"/>
        </w:rPr>
        <w:t xml:space="preserve">Como resultado se evidenció que, para el mes </w:t>
      </w:r>
      <w:r w:rsidR="00B632F3" w:rsidRPr="005045BF">
        <w:rPr>
          <w:rFonts w:ascii="Arial" w:hAnsi="Arial" w:cs="Arial"/>
          <w:sz w:val="22"/>
          <w:szCs w:val="22"/>
        </w:rPr>
        <w:t xml:space="preserve">que conforman el trimestre analizado </w:t>
      </w:r>
      <w:r w:rsidR="000B4333" w:rsidRPr="005045BF">
        <w:rPr>
          <w:rFonts w:ascii="Arial" w:hAnsi="Arial" w:cs="Arial"/>
          <w:sz w:val="22"/>
          <w:szCs w:val="22"/>
        </w:rPr>
        <w:t>el valor facturado por los operadores de telefonía</w:t>
      </w:r>
      <w:r w:rsidR="003D28DA" w:rsidRPr="005045BF">
        <w:rPr>
          <w:rFonts w:ascii="Arial" w:hAnsi="Arial" w:cs="Arial"/>
          <w:sz w:val="22"/>
          <w:szCs w:val="22"/>
        </w:rPr>
        <w:t xml:space="preserve"> celular correspondió</w:t>
      </w:r>
      <w:r w:rsidR="000B4333" w:rsidRPr="005045BF">
        <w:rPr>
          <w:rFonts w:ascii="Arial" w:hAnsi="Arial" w:cs="Arial"/>
          <w:sz w:val="22"/>
          <w:szCs w:val="22"/>
        </w:rPr>
        <w:t xml:space="preserve"> con el gasto de las obligaciones registradas en el SIIF. </w:t>
      </w:r>
    </w:p>
    <w:p w14:paraId="541F5C66" w14:textId="77777777" w:rsidR="00A65CC1" w:rsidRPr="005045BF" w:rsidRDefault="00A65CC1" w:rsidP="00A65CC1">
      <w:pPr>
        <w:pStyle w:val="Prrafodelista"/>
        <w:ind w:left="357"/>
        <w:contextualSpacing w:val="0"/>
        <w:rPr>
          <w:rFonts w:ascii="Arial" w:hAnsi="Arial" w:cs="Arial"/>
          <w:sz w:val="22"/>
          <w:szCs w:val="22"/>
          <w:highlight w:val="yellow"/>
        </w:rPr>
      </w:pPr>
    </w:p>
    <w:p w14:paraId="0D0DFB65" w14:textId="55E9C87D" w:rsidR="006542BB" w:rsidRPr="005045BF" w:rsidRDefault="000B4333" w:rsidP="002F5459">
      <w:pPr>
        <w:pStyle w:val="Prrafodelista"/>
        <w:ind w:left="357"/>
        <w:contextualSpacing w:val="0"/>
        <w:rPr>
          <w:rFonts w:ascii="Arial" w:hAnsi="Arial" w:cs="Arial"/>
          <w:sz w:val="22"/>
          <w:szCs w:val="22"/>
        </w:rPr>
      </w:pPr>
      <w:r w:rsidRPr="005045BF">
        <w:rPr>
          <w:rFonts w:ascii="Arial" w:hAnsi="Arial" w:cs="Arial"/>
          <w:sz w:val="22"/>
          <w:szCs w:val="22"/>
        </w:rPr>
        <w:t xml:space="preserve">Para </w:t>
      </w:r>
      <w:r w:rsidR="006D5F38" w:rsidRPr="005045BF">
        <w:rPr>
          <w:rFonts w:ascii="Arial" w:hAnsi="Arial" w:cs="Arial"/>
          <w:sz w:val="22"/>
          <w:szCs w:val="22"/>
        </w:rPr>
        <w:t xml:space="preserve">los </w:t>
      </w:r>
      <w:r w:rsidR="00F862C4" w:rsidRPr="005045BF">
        <w:rPr>
          <w:rFonts w:ascii="Arial" w:hAnsi="Arial" w:cs="Arial"/>
          <w:sz w:val="22"/>
          <w:szCs w:val="22"/>
        </w:rPr>
        <w:t xml:space="preserve">consumos de los </w:t>
      </w:r>
      <w:r w:rsidR="006D5F38" w:rsidRPr="005045BF">
        <w:rPr>
          <w:rFonts w:ascii="Arial" w:hAnsi="Arial" w:cs="Arial"/>
          <w:sz w:val="22"/>
          <w:szCs w:val="22"/>
        </w:rPr>
        <w:t xml:space="preserve">periodos de </w:t>
      </w:r>
      <w:r w:rsidR="00F862C4" w:rsidRPr="005045BF">
        <w:rPr>
          <w:rFonts w:ascii="Arial" w:hAnsi="Arial" w:cs="Arial"/>
          <w:sz w:val="22"/>
          <w:szCs w:val="22"/>
        </w:rPr>
        <w:t>enero y febrero, facturados por Movistar se aplic</w:t>
      </w:r>
      <w:r w:rsidR="003F07EC" w:rsidRPr="005045BF">
        <w:rPr>
          <w:rFonts w:ascii="Arial" w:hAnsi="Arial" w:cs="Arial"/>
          <w:sz w:val="22"/>
          <w:szCs w:val="22"/>
        </w:rPr>
        <w:t>aron</w:t>
      </w:r>
      <w:r w:rsidR="00F862C4" w:rsidRPr="005045BF">
        <w:rPr>
          <w:rFonts w:ascii="Arial" w:hAnsi="Arial" w:cs="Arial"/>
          <w:sz w:val="22"/>
          <w:szCs w:val="22"/>
        </w:rPr>
        <w:t xml:space="preserve"> las notas créditos generadas por dicha empresa por valor de $4.</w:t>
      </w:r>
      <w:r w:rsidR="00D93A39" w:rsidRPr="005045BF">
        <w:rPr>
          <w:rFonts w:ascii="Arial" w:hAnsi="Arial" w:cs="Arial"/>
          <w:sz w:val="22"/>
          <w:szCs w:val="22"/>
        </w:rPr>
        <w:t xml:space="preserve">249.609, </w:t>
      </w:r>
      <w:r w:rsidR="00F862C4" w:rsidRPr="005045BF">
        <w:rPr>
          <w:rFonts w:ascii="Arial" w:hAnsi="Arial" w:cs="Arial"/>
          <w:sz w:val="22"/>
          <w:szCs w:val="22"/>
        </w:rPr>
        <w:t xml:space="preserve">quedando un valor pendiente de retorno de </w:t>
      </w:r>
      <w:r w:rsidR="00D93A39" w:rsidRPr="005045BF">
        <w:rPr>
          <w:rFonts w:ascii="Arial" w:hAnsi="Arial" w:cs="Arial"/>
          <w:sz w:val="22"/>
          <w:szCs w:val="22"/>
        </w:rPr>
        <w:t>$</w:t>
      </w:r>
      <w:r w:rsidR="00F862C4" w:rsidRPr="005045BF">
        <w:rPr>
          <w:rFonts w:ascii="Arial" w:hAnsi="Arial" w:cs="Arial"/>
          <w:sz w:val="22"/>
          <w:szCs w:val="22"/>
        </w:rPr>
        <w:t>78.348</w:t>
      </w:r>
      <w:r w:rsidR="00F70A23" w:rsidRPr="005045BF">
        <w:rPr>
          <w:rFonts w:ascii="Arial" w:hAnsi="Arial" w:cs="Arial"/>
          <w:sz w:val="22"/>
          <w:szCs w:val="22"/>
        </w:rPr>
        <w:t>.</w:t>
      </w:r>
      <w:r w:rsidR="00B632F3" w:rsidRPr="005045BF">
        <w:rPr>
          <w:rFonts w:ascii="Arial" w:hAnsi="Arial" w:cs="Arial"/>
          <w:sz w:val="22"/>
          <w:szCs w:val="22"/>
        </w:rPr>
        <w:t xml:space="preserve"> </w:t>
      </w:r>
      <w:r w:rsidR="00F70A23" w:rsidRPr="005045BF">
        <w:rPr>
          <w:rFonts w:ascii="Arial" w:hAnsi="Arial" w:cs="Arial"/>
          <w:sz w:val="22"/>
          <w:szCs w:val="22"/>
        </w:rPr>
        <w:t xml:space="preserve">La empresa Movistar en la factura EC-195806044 correspondiente al periodo del 02 de marzo de 2020 al 01 de abril de 2020, </w:t>
      </w:r>
      <w:r w:rsidR="00761CB6" w:rsidRPr="005045BF">
        <w:rPr>
          <w:rFonts w:ascii="Arial" w:hAnsi="Arial" w:cs="Arial"/>
          <w:sz w:val="22"/>
          <w:szCs w:val="22"/>
        </w:rPr>
        <w:t xml:space="preserve">aplicó un descuento de </w:t>
      </w:r>
      <w:r w:rsidR="00F70A23" w:rsidRPr="005045BF">
        <w:rPr>
          <w:rFonts w:ascii="Arial" w:hAnsi="Arial" w:cs="Arial"/>
          <w:sz w:val="22"/>
          <w:szCs w:val="22"/>
        </w:rPr>
        <w:t>$ 57.770</w:t>
      </w:r>
      <w:r w:rsidR="002F5459" w:rsidRPr="005045BF">
        <w:rPr>
          <w:rFonts w:ascii="Arial" w:hAnsi="Arial" w:cs="Arial"/>
          <w:sz w:val="22"/>
          <w:szCs w:val="22"/>
        </w:rPr>
        <w:t xml:space="preserve"> y el v</w:t>
      </w:r>
      <w:r w:rsidR="00761CB6" w:rsidRPr="005045BF">
        <w:rPr>
          <w:rFonts w:ascii="Arial" w:hAnsi="Arial" w:cs="Arial"/>
          <w:sz w:val="22"/>
          <w:szCs w:val="22"/>
        </w:rPr>
        <w:t>alor de $</w:t>
      </w:r>
      <w:r w:rsidR="00F70A23" w:rsidRPr="005045BF">
        <w:rPr>
          <w:rFonts w:ascii="Arial" w:hAnsi="Arial" w:cs="Arial"/>
          <w:sz w:val="22"/>
          <w:szCs w:val="22"/>
        </w:rPr>
        <w:t>20.578</w:t>
      </w:r>
      <w:r w:rsidR="002F5459" w:rsidRPr="005045BF">
        <w:rPr>
          <w:rFonts w:ascii="Arial" w:hAnsi="Arial" w:cs="Arial"/>
          <w:sz w:val="22"/>
          <w:szCs w:val="22"/>
        </w:rPr>
        <w:t xml:space="preserve"> fue aplicado en la facturación del periodo del mes de abril de 2020. </w:t>
      </w:r>
    </w:p>
    <w:p w14:paraId="6F455CE2" w14:textId="77777777" w:rsidR="006542BB" w:rsidRPr="005045BF" w:rsidRDefault="006542BB" w:rsidP="002F5459">
      <w:pPr>
        <w:pStyle w:val="Prrafodelista"/>
        <w:ind w:left="357"/>
        <w:contextualSpacing w:val="0"/>
        <w:rPr>
          <w:rFonts w:ascii="Arial" w:hAnsi="Arial" w:cs="Arial"/>
          <w:sz w:val="22"/>
          <w:szCs w:val="22"/>
        </w:rPr>
      </w:pPr>
    </w:p>
    <w:p w14:paraId="64C2B432" w14:textId="08B5FA94" w:rsidR="00761CB6" w:rsidRPr="005045BF" w:rsidRDefault="00761CB6" w:rsidP="002F5459">
      <w:pPr>
        <w:pStyle w:val="Prrafodelista"/>
        <w:ind w:left="357"/>
        <w:contextualSpacing w:val="0"/>
        <w:rPr>
          <w:rFonts w:ascii="Arial" w:hAnsi="Arial" w:cs="Arial"/>
          <w:sz w:val="22"/>
          <w:szCs w:val="22"/>
        </w:rPr>
      </w:pPr>
      <w:r w:rsidRPr="005045BF">
        <w:rPr>
          <w:rFonts w:ascii="Arial" w:hAnsi="Arial" w:cs="Arial"/>
          <w:sz w:val="22"/>
          <w:szCs w:val="22"/>
        </w:rPr>
        <w:t xml:space="preserve">Adicionalmente, se evidenció que, según Movistar el </w:t>
      </w:r>
      <w:r w:rsidR="00F70A23" w:rsidRPr="005045BF">
        <w:rPr>
          <w:rFonts w:ascii="Arial" w:hAnsi="Arial" w:cs="Arial"/>
          <w:sz w:val="22"/>
          <w:szCs w:val="22"/>
        </w:rPr>
        <w:t xml:space="preserve">total de facturas de los periodos </w:t>
      </w:r>
      <w:r w:rsidRPr="005045BF">
        <w:rPr>
          <w:rFonts w:ascii="Arial" w:hAnsi="Arial" w:cs="Arial"/>
          <w:sz w:val="22"/>
          <w:szCs w:val="22"/>
        </w:rPr>
        <w:t>de enero y febrero de 2020 ascendían a un total de $</w:t>
      </w:r>
      <w:r w:rsidR="00F70A23" w:rsidRPr="005045BF">
        <w:rPr>
          <w:rFonts w:ascii="Arial" w:hAnsi="Arial" w:cs="Arial"/>
          <w:sz w:val="22"/>
          <w:szCs w:val="22"/>
        </w:rPr>
        <w:t xml:space="preserve"> 4.191.839, no obstante, el valor del consumo de dichos periodos</w:t>
      </w:r>
      <w:r w:rsidRPr="005045BF">
        <w:rPr>
          <w:rFonts w:ascii="Arial" w:hAnsi="Arial" w:cs="Arial"/>
          <w:sz w:val="22"/>
          <w:szCs w:val="22"/>
        </w:rPr>
        <w:t xml:space="preserve"> según las facturas emitidas por </w:t>
      </w:r>
      <w:r w:rsidR="002F5459" w:rsidRPr="005045BF">
        <w:rPr>
          <w:rFonts w:ascii="Arial" w:hAnsi="Arial" w:cs="Arial"/>
          <w:sz w:val="22"/>
          <w:szCs w:val="22"/>
        </w:rPr>
        <w:t>dicha empresa</w:t>
      </w:r>
      <w:r w:rsidR="002C7FB0">
        <w:rPr>
          <w:rFonts w:ascii="Arial" w:hAnsi="Arial" w:cs="Arial"/>
          <w:sz w:val="22"/>
          <w:szCs w:val="22"/>
        </w:rPr>
        <w:t>,</w:t>
      </w:r>
      <w:r w:rsidR="002F5459" w:rsidRPr="005045BF">
        <w:rPr>
          <w:rFonts w:ascii="Arial" w:hAnsi="Arial" w:cs="Arial"/>
          <w:sz w:val="22"/>
          <w:szCs w:val="22"/>
        </w:rPr>
        <w:t xml:space="preserve"> </w:t>
      </w:r>
      <w:r w:rsidRPr="005045BF">
        <w:rPr>
          <w:rFonts w:ascii="Arial" w:hAnsi="Arial" w:cs="Arial"/>
          <w:sz w:val="22"/>
          <w:szCs w:val="22"/>
        </w:rPr>
        <w:t xml:space="preserve">el valor es de </w:t>
      </w:r>
      <w:r w:rsidR="00F70A23" w:rsidRPr="005045BF">
        <w:rPr>
          <w:rFonts w:ascii="Arial" w:hAnsi="Arial" w:cs="Arial"/>
          <w:sz w:val="22"/>
          <w:szCs w:val="22"/>
        </w:rPr>
        <w:t xml:space="preserve">$ 4.185.839, </w:t>
      </w:r>
      <w:r w:rsidR="002C7FB0">
        <w:rPr>
          <w:rFonts w:ascii="Arial" w:hAnsi="Arial" w:cs="Arial"/>
          <w:sz w:val="22"/>
          <w:szCs w:val="22"/>
        </w:rPr>
        <w:t xml:space="preserve">presentándose </w:t>
      </w:r>
      <w:r w:rsidR="00F70A23" w:rsidRPr="005045BF">
        <w:rPr>
          <w:rFonts w:ascii="Arial" w:hAnsi="Arial" w:cs="Arial"/>
          <w:sz w:val="22"/>
          <w:szCs w:val="22"/>
        </w:rPr>
        <w:t>una diferencia de $ 6.000.</w:t>
      </w:r>
      <w:r w:rsidR="002F5459" w:rsidRPr="005045BF">
        <w:rPr>
          <w:rFonts w:ascii="Arial" w:hAnsi="Arial" w:cs="Arial"/>
          <w:sz w:val="22"/>
          <w:szCs w:val="22"/>
        </w:rPr>
        <w:t xml:space="preserve"> </w:t>
      </w:r>
      <w:r w:rsidRPr="005045BF">
        <w:rPr>
          <w:rFonts w:ascii="Arial" w:hAnsi="Arial" w:cs="Arial"/>
          <w:sz w:val="22"/>
          <w:szCs w:val="22"/>
        </w:rPr>
        <w:t>Sobre el particular, la Subdirección de Servicios informó</w:t>
      </w:r>
      <w:r w:rsidR="005325F5" w:rsidRPr="005045BF">
        <w:rPr>
          <w:rFonts w:ascii="Arial" w:hAnsi="Arial" w:cs="Arial"/>
          <w:sz w:val="22"/>
          <w:szCs w:val="22"/>
        </w:rPr>
        <w:t xml:space="preserve">, </w:t>
      </w:r>
      <w:r w:rsidR="002C7FB0">
        <w:rPr>
          <w:rFonts w:ascii="Arial" w:hAnsi="Arial" w:cs="Arial"/>
          <w:sz w:val="22"/>
          <w:szCs w:val="22"/>
        </w:rPr>
        <w:t xml:space="preserve">que </w:t>
      </w:r>
      <w:r w:rsidR="005325F5" w:rsidRPr="005045BF">
        <w:rPr>
          <w:rFonts w:ascii="Arial" w:hAnsi="Arial" w:cs="Arial"/>
          <w:sz w:val="22"/>
          <w:szCs w:val="22"/>
        </w:rPr>
        <w:t xml:space="preserve">el mayor valor cobrado </w:t>
      </w:r>
      <w:r w:rsidR="00DF25C1" w:rsidRPr="005045BF">
        <w:rPr>
          <w:rFonts w:ascii="Arial" w:hAnsi="Arial" w:cs="Arial"/>
          <w:sz w:val="22"/>
          <w:szCs w:val="22"/>
        </w:rPr>
        <w:t xml:space="preserve">fue devuelto por la empresa Movistar. </w:t>
      </w:r>
    </w:p>
    <w:p w14:paraId="0A2810AE" w14:textId="77777777" w:rsidR="005550D8" w:rsidRPr="005045BF" w:rsidRDefault="005550D8" w:rsidP="002F5459">
      <w:pPr>
        <w:pStyle w:val="Prrafodelista"/>
        <w:ind w:left="357"/>
        <w:contextualSpacing w:val="0"/>
        <w:rPr>
          <w:rFonts w:ascii="Arial" w:hAnsi="Arial" w:cs="Arial"/>
          <w:sz w:val="22"/>
          <w:szCs w:val="22"/>
        </w:rPr>
      </w:pPr>
    </w:p>
    <w:bookmarkEnd w:id="10"/>
    <w:p w14:paraId="06A5DC0F" w14:textId="32F35117" w:rsidR="009F57CB" w:rsidRPr="005045BF" w:rsidRDefault="00A01989" w:rsidP="00A65CC1">
      <w:pPr>
        <w:pStyle w:val="Prrafodelista"/>
        <w:numPr>
          <w:ilvl w:val="0"/>
          <w:numId w:val="19"/>
        </w:numPr>
        <w:ind w:left="357" w:hanging="357"/>
        <w:contextualSpacing w:val="0"/>
        <w:rPr>
          <w:rFonts w:ascii="Arial" w:hAnsi="Arial" w:cs="Arial"/>
          <w:sz w:val="22"/>
          <w:szCs w:val="22"/>
        </w:rPr>
      </w:pPr>
      <w:r w:rsidRPr="005045BF">
        <w:rPr>
          <w:rFonts w:ascii="Arial" w:hAnsi="Arial" w:cs="Arial"/>
          <w:sz w:val="22"/>
          <w:szCs w:val="22"/>
        </w:rPr>
        <w:t>S</w:t>
      </w:r>
      <w:r w:rsidR="00BE724C" w:rsidRPr="005045BF">
        <w:rPr>
          <w:rFonts w:ascii="Arial" w:hAnsi="Arial" w:cs="Arial"/>
          <w:sz w:val="22"/>
          <w:szCs w:val="22"/>
        </w:rPr>
        <w:t xml:space="preserve">e verificó cada estado de cuenta de </w:t>
      </w:r>
      <w:r w:rsidR="00AA5CCE" w:rsidRPr="005045BF">
        <w:rPr>
          <w:rFonts w:ascii="Arial" w:hAnsi="Arial" w:cs="Arial"/>
          <w:sz w:val="22"/>
          <w:szCs w:val="22"/>
        </w:rPr>
        <w:t xml:space="preserve">las líneas asignadas a los Directivos </w:t>
      </w:r>
      <w:r w:rsidR="009F57CB" w:rsidRPr="005045BF">
        <w:rPr>
          <w:rFonts w:ascii="Arial" w:hAnsi="Arial" w:cs="Arial"/>
          <w:sz w:val="22"/>
          <w:szCs w:val="22"/>
        </w:rPr>
        <w:t xml:space="preserve">y </w:t>
      </w:r>
      <w:r w:rsidR="00283C91" w:rsidRPr="005045BF">
        <w:rPr>
          <w:rFonts w:ascii="Arial" w:hAnsi="Arial" w:cs="Arial"/>
          <w:sz w:val="22"/>
          <w:szCs w:val="22"/>
        </w:rPr>
        <w:t>funcionarios</w:t>
      </w:r>
      <w:r w:rsidR="00BE724C" w:rsidRPr="005045BF">
        <w:rPr>
          <w:rFonts w:ascii="Arial" w:hAnsi="Arial" w:cs="Arial"/>
          <w:sz w:val="22"/>
          <w:szCs w:val="22"/>
        </w:rPr>
        <w:t xml:space="preserve"> autorizados </w:t>
      </w:r>
      <w:r w:rsidR="00AA5CCE" w:rsidRPr="005045BF">
        <w:rPr>
          <w:rFonts w:ascii="Arial" w:hAnsi="Arial" w:cs="Arial"/>
          <w:sz w:val="22"/>
          <w:szCs w:val="22"/>
        </w:rPr>
        <w:t>de este Ministerio</w:t>
      </w:r>
      <w:r w:rsidR="009F57CB" w:rsidRPr="005045BF">
        <w:rPr>
          <w:rFonts w:ascii="Arial" w:hAnsi="Arial" w:cs="Arial"/>
          <w:sz w:val="22"/>
          <w:szCs w:val="22"/>
        </w:rPr>
        <w:t>, constatando que los valores allí facturados corresponden con los informados por la Subdirección de Servicios.</w:t>
      </w:r>
      <w:r w:rsidR="00AF2733" w:rsidRPr="005045BF">
        <w:rPr>
          <w:rFonts w:ascii="Arial" w:hAnsi="Arial" w:cs="Arial"/>
          <w:sz w:val="22"/>
          <w:szCs w:val="22"/>
        </w:rPr>
        <w:t xml:space="preserve"> De igual forma, se verificó </w:t>
      </w:r>
      <w:r w:rsidR="009F57CB" w:rsidRPr="005045BF">
        <w:rPr>
          <w:rFonts w:ascii="Arial" w:hAnsi="Arial" w:cs="Arial"/>
          <w:sz w:val="22"/>
          <w:szCs w:val="22"/>
        </w:rPr>
        <w:t>los servicios adicionales facturados duran</w:t>
      </w:r>
      <w:r w:rsidR="00AF2733" w:rsidRPr="005045BF">
        <w:rPr>
          <w:rFonts w:ascii="Arial" w:hAnsi="Arial" w:cs="Arial"/>
          <w:sz w:val="22"/>
          <w:szCs w:val="22"/>
        </w:rPr>
        <w:t xml:space="preserve">te el </w:t>
      </w:r>
      <w:r w:rsidR="00381C8F" w:rsidRPr="005045BF">
        <w:rPr>
          <w:rFonts w:ascii="Arial" w:hAnsi="Arial" w:cs="Arial"/>
          <w:sz w:val="22"/>
          <w:szCs w:val="22"/>
        </w:rPr>
        <w:t xml:space="preserve">primer trimestre de </w:t>
      </w:r>
      <w:r w:rsidR="00D154B1" w:rsidRPr="005045BF">
        <w:rPr>
          <w:rFonts w:ascii="Arial" w:hAnsi="Arial" w:cs="Arial"/>
          <w:sz w:val="22"/>
          <w:szCs w:val="22"/>
        </w:rPr>
        <w:t>2020 y la respectiva gestión de cobro por parte de</w:t>
      </w:r>
      <w:r w:rsidR="00860CC3" w:rsidRPr="005045BF">
        <w:rPr>
          <w:rFonts w:ascii="Arial" w:hAnsi="Arial" w:cs="Arial"/>
          <w:sz w:val="22"/>
          <w:szCs w:val="22"/>
        </w:rPr>
        <w:t>l</w:t>
      </w:r>
      <w:r w:rsidR="00D154B1" w:rsidRPr="005045BF">
        <w:rPr>
          <w:rFonts w:ascii="Arial" w:hAnsi="Arial" w:cs="Arial"/>
          <w:sz w:val="22"/>
          <w:szCs w:val="22"/>
        </w:rPr>
        <w:t xml:space="preserve"> Grupo de Logística y Servicios Especiales, así: </w:t>
      </w:r>
    </w:p>
    <w:p w14:paraId="19BE54A6" w14:textId="35C23348" w:rsidR="00A27F54" w:rsidRPr="005045BF" w:rsidRDefault="00A27F54" w:rsidP="00D154B1">
      <w:pPr>
        <w:rPr>
          <w:rFonts w:ascii="Arial" w:hAnsi="Arial" w:cs="Arial"/>
          <w:sz w:val="22"/>
          <w:szCs w:val="22"/>
        </w:rPr>
      </w:pPr>
    </w:p>
    <w:tbl>
      <w:tblPr>
        <w:tblStyle w:val="Tablaconcuadrcula1clara-nfasis1"/>
        <w:tblW w:w="0" w:type="auto"/>
        <w:tblInd w:w="279" w:type="dxa"/>
        <w:tblLayout w:type="fixed"/>
        <w:tblLook w:val="04A0" w:firstRow="1" w:lastRow="0" w:firstColumn="1" w:lastColumn="0" w:noHBand="0" w:noVBand="1"/>
      </w:tblPr>
      <w:tblGrid>
        <w:gridCol w:w="1883"/>
        <w:gridCol w:w="1235"/>
        <w:gridCol w:w="1134"/>
        <w:gridCol w:w="993"/>
        <w:gridCol w:w="4105"/>
      </w:tblGrid>
      <w:tr w:rsidR="00E22D51" w:rsidRPr="005045BF" w14:paraId="49A8A46E" w14:textId="77777777" w:rsidTr="00561C4C">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883" w:type="dxa"/>
            <w:vMerge w:val="restart"/>
            <w:shd w:val="clear" w:color="auto" w:fill="4F81BD" w:themeFill="accent1"/>
            <w:vAlign w:val="center"/>
            <w:hideMark/>
          </w:tcPr>
          <w:p w14:paraId="602DCBE4" w14:textId="77777777" w:rsidR="00E22D51" w:rsidRPr="005045BF" w:rsidRDefault="00E22D51" w:rsidP="00E22D51">
            <w:pPr>
              <w:spacing w:before="6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Dirección </w:t>
            </w:r>
          </w:p>
        </w:tc>
        <w:tc>
          <w:tcPr>
            <w:tcW w:w="2369" w:type="dxa"/>
            <w:gridSpan w:val="2"/>
            <w:shd w:val="clear" w:color="auto" w:fill="4F81BD" w:themeFill="accent1"/>
            <w:vAlign w:val="center"/>
            <w:hideMark/>
          </w:tcPr>
          <w:p w14:paraId="16D4E26A" w14:textId="77777777" w:rsidR="00561C4C" w:rsidRPr="005045BF" w:rsidRDefault="00E22D51" w:rsidP="00561C4C">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color w:val="FFFFFF" w:themeColor="background1"/>
                <w:sz w:val="20"/>
                <w:szCs w:val="20"/>
              </w:rPr>
              <w:t xml:space="preserve"> Cargos Adicionales </w:t>
            </w:r>
          </w:p>
          <w:p w14:paraId="57F3E695" w14:textId="1E8CB3A7" w:rsidR="00E22D51" w:rsidRPr="005045BF" w:rsidRDefault="00E22D51" w:rsidP="00561C4C">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I Trimestre de 2020 ($)</w:t>
            </w:r>
          </w:p>
        </w:tc>
        <w:tc>
          <w:tcPr>
            <w:tcW w:w="993" w:type="dxa"/>
            <w:vMerge w:val="restart"/>
            <w:shd w:val="clear" w:color="auto" w:fill="4F81BD" w:themeFill="accent1"/>
            <w:vAlign w:val="center"/>
            <w:hideMark/>
          </w:tcPr>
          <w:p w14:paraId="42E1CC87" w14:textId="7E746313" w:rsidR="00E22D51" w:rsidRPr="005045BF" w:rsidRDefault="00E22D51" w:rsidP="00E22D51">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Total ($)</w:t>
            </w:r>
          </w:p>
        </w:tc>
        <w:tc>
          <w:tcPr>
            <w:tcW w:w="4105" w:type="dxa"/>
            <w:vMerge w:val="restart"/>
            <w:shd w:val="clear" w:color="auto" w:fill="4F81BD" w:themeFill="accent1"/>
            <w:vAlign w:val="center"/>
            <w:hideMark/>
          </w:tcPr>
          <w:p w14:paraId="6B702E2F" w14:textId="77777777" w:rsidR="00E22D51" w:rsidRPr="005045BF" w:rsidRDefault="00E22D51" w:rsidP="00E22D51">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Gestión de Cobro</w:t>
            </w:r>
            <w:r w:rsidRPr="005045BF">
              <w:rPr>
                <w:rFonts w:ascii="Arial" w:hAnsi="Arial" w:cs="Arial"/>
                <w:color w:val="FFFFFF" w:themeColor="background1"/>
                <w:sz w:val="20"/>
                <w:szCs w:val="20"/>
              </w:rPr>
              <w:br/>
              <w:t xml:space="preserve"> Grupo de Logística y Servicios Especiales</w:t>
            </w:r>
          </w:p>
        </w:tc>
      </w:tr>
      <w:tr w:rsidR="00E22D51" w:rsidRPr="005045BF" w14:paraId="708B5EAC" w14:textId="77777777" w:rsidTr="00561C4C">
        <w:trPr>
          <w:cantSplit/>
        </w:trPr>
        <w:tc>
          <w:tcPr>
            <w:cnfStyle w:val="001000000000" w:firstRow="0" w:lastRow="0" w:firstColumn="1" w:lastColumn="0" w:oddVBand="0" w:evenVBand="0" w:oddHBand="0" w:evenHBand="0" w:firstRowFirstColumn="0" w:firstRowLastColumn="0" w:lastRowFirstColumn="0" w:lastRowLastColumn="0"/>
            <w:tcW w:w="1883" w:type="dxa"/>
            <w:vMerge/>
            <w:vAlign w:val="center"/>
            <w:hideMark/>
          </w:tcPr>
          <w:p w14:paraId="65B8E467" w14:textId="77777777" w:rsidR="00E22D51" w:rsidRPr="005045BF" w:rsidRDefault="00E22D51" w:rsidP="00E22D51">
            <w:pPr>
              <w:spacing w:before="60" w:after="40"/>
              <w:rPr>
                <w:rFonts w:ascii="Arial" w:hAnsi="Arial" w:cs="Arial"/>
                <w:color w:val="FFFFFF" w:themeColor="background1"/>
                <w:sz w:val="20"/>
                <w:szCs w:val="20"/>
              </w:rPr>
            </w:pPr>
          </w:p>
        </w:tc>
        <w:tc>
          <w:tcPr>
            <w:tcW w:w="1235" w:type="dxa"/>
            <w:shd w:val="clear" w:color="auto" w:fill="4F81BD" w:themeFill="accent1"/>
            <w:vAlign w:val="center"/>
            <w:hideMark/>
          </w:tcPr>
          <w:p w14:paraId="011F3876" w14:textId="77777777" w:rsidR="00E22D51" w:rsidRPr="005045BF" w:rsidRDefault="00E22D51" w:rsidP="00E22D51">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Enero </w:t>
            </w:r>
          </w:p>
        </w:tc>
        <w:tc>
          <w:tcPr>
            <w:tcW w:w="1134" w:type="dxa"/>
            <w:shd w:val="clear" w:color="auto" w:fill="4F81BD" w:themeFill="accent1"/>
            <w:vAlign w:val="center"/>
            <w:hideMark/>
          </w:tcPr>
          <w:p w14:paraId="25C5AFB4" w14:textId="77777777" w:rsidR="00E22D51" w:rsidRPr="005045BF" w:rsidRDefault="00E22D51" w:rsidP="00E22D51">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Marzo</w:t>
            </w:r>
          </w:p>
        </w:tc>
        <w:tc>
          <w:tcPr>
            <w:tcW w:w="993" w:type="dxa"/>
            <w:vMerge/>
            <w:vAlign w:val="center"/>
            <w:hideMark/>
          </w:tcPr>
          <w:p w14:paraId="2BF26602" w14:textId="77777777" w:rsidR="00E22D51" w:rsidRPr="005045BF" w:rsidRDefault="00E22D51" w:rsidP="00E22D51">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c>
          <w:tcPr>
            <w:tcW w:w="4105" w:type="dxa"/>
            <w:vMerge/>
            <w:vAlign w:val="center"/>
            <w:hideMark/>
          </w:tcPr>
          <w:p w14:paraId="0D402300" w14:textId="77777777" w:rsidR="00E22D51" w:rsidRPr="005045BF" w:rsidRDefault="00E22D51" w:rsidP="00E22D51">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p>
        </w:tc>
      </w:tr>
      <w:tr w:rsidR="00E22D51" w:rsidRPr="005045BF" w14:paraId="4A0298E3" w14:textId="77777777" w:rsidTr="00561C4C">
        <w:trPr>
          <w:cantSplit/>
        </w:trPr>
        <w:tc>
          <w:tcPr>
            <w:cnfStyle w:val="001000000000" w:firstRow="0" w:lastRow="0" w:firstColumn="1" w:lastColumn="0" w:oddVBand="0" w:evenVBand="0" w:oddHBand="0" w:evenHBand="0" w:firstRowFirstColumn="0" w:firstRowLastColumn="0" w:lastRowFirstColumn="0" w:lastRowLastColumn="0"/>
            <w:tcW w:w="1883" w:type="dxa"/>
            <w:vAlign w:val="center"/>
            <w:hideMark/>
          </w:tcPr>
          <w:p w14:paraId="2DBBE05D" w14:textId="77777777" w:rsidR="00E22D51" w:rsidRPr="001F0DE4" w:rsidRDefault="00E22D51" w:rsidP="00E22D51">
            <w:pPr>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Dirección General de Crédito Público y Tesoro Nacional </w:t>
            </w:r>
          </w:p>
        </w:tc>
        <w:tc>
          <w:tcPr>
            <w:tcW w:w="1235" w:type="dxa"/>
            <w:vAlign w:val="center"/>
            <w:hideMark/>
          </w:tcPr>
          <w:p w14:paraId="1B9B1300"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23.992</w:t>
            </w:r>
          </w:p>
        </w:tc>
        <w:tc>
          <w:tcPr>
            <w:tcW w:w="1134" w:type="dxa"/>
            <w:vAlign w:val="center"/>
            <w:hideMark/>
          </w:tcPr>
          <w:p w14:paraId="273497DB"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993" w:type="dxa"/>
            <w:vAlign w:val="center"/>
            <w:hideMark/>
          </w:tcPr>
          <w:p w14:paraId="27B27085"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23.992</w:t>
            </w:r>
          </w:p>
        </w:tc>
        <w:tc>
          <w:tcPr>
            <w:tcW w:w="4105" w:type="dxa"/>
            <w:vAlign w:val="center"/>
            <w:hideMark/>
          </w:tcPr>
          <w:p w14:paraId="03936E7E" w14:textId="76ECE964" w:rsidR="00E22D51" w:rsidRPr="001F0DE4" w:rsidRDefault="00E22D51" w:rsidP="00E22D51">
            <w:pPr>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Se remitió correo electrónico a la Dirección General de Crédito Público. Dicha Dirección mediante memorando 3-2020-006784 informó que los cobros adicionales fueron </w:t>
            </w:r>
            <w:r w:rsidR="001F0DE4">
              <w:rPr>
                <w:rFonts w:ascii="Arial" w:hAnsi="Arial" w:cs="Arial"/>
                <w:color w:val="0F243E" w:themeColor="text2" w:themeShade="80"/>
                <w:sz w:val="20"/>
                <w:szCs w:val="20"/>
              </w:rPr>
              <w:t>derivados del</w:t>
            </w:r>
            <w:r w:rsidRPr="001F0DE4">
              <w:rPr>
                <w:rFonts w:ascii="Arial" w:hAnsi="Arial" w:cs="Arial"/>
                <w:color w:val="0F243E" w:themeColor="text2" w:themeShade="80"/>
                <w:sz w:val="20"/>
                <w:szCs w:val="20"/>
              </w:rPr>
              <w:t xml:space="preserve"> desarrollo de las funciones asignadas. </w:t>
            </w:r>
          </w:p>
        </w:tc>
      </w:tr>
      <w:tr w:rsidR="00E22D51" w:rsidRPr="005045BF" w14:paraId="50373D9B" w14:textId="77777777" w:rsidTr="00561C4C">
        <w:trPr>
          <w:cantSplit/>
        </w:trPr>
        <w:tc>
          <w:tcPr>
            <w:cnfStyle w:val="001000000000" w:firstRow="0" w:lastRow="0" w:firstColumn="1" w:lastColumn="0" w:oddVBand="0" w:evenVBand="0" w:oddHBand="0" w:evenHBand="0" w:firstRowFirstColumn="0" w:firstRowLastColumn="0" w:lastRowFirstColumn="0" w:lastRowLastColumn="0"/>
            <w:tcW w:w="1883" w:type="dxa"/>
            <w:vAlign w:val="center"/>
            <w:hideMark/>
          </w:tcPr>
          <w:p w14:paraId="60B01062" w14:textId="77777777" w:rsidR="00E22D51" w:rsidRPr="001F0DE4" w:rsidRDefault="00E22D51" w:rsidP="00E22D51">
            <w:pPr>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Dirección Administrativa</w:t>
            </w:r>
          </w:p>
        </w:tc>
        <w:tc>
          <w:tcPr>
            <w:tcW w:w="1235" w:type="dxa"/>
            <w:vAlign w:val="center"/>
            <w:hideMark/>
          </w:tcPr>
          <w:p w14:paraId="5D716A39"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1134" w:type="dxa"/>
            <w:vAlign w:val="center"/>
            <w:hideMark/>
          </w:tcPr>
          <w:p w14:paraId="6304F8C0"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346</w:t>
            </w:r>
          </w:p>
        </w:tc>
        <w:tc>
          <w:tcPr>
            <w:tcW w:w="993" w:type="dxa"/>
            <w:vAlign w:val="center"/>
            <w:hideMark/>
          </w:tcPr>
          <w:p w14:paraId="50C7DB1B"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346</w:t>
            </w:r>
          </w:p>
        </w:tc>
        <w:tc>
          <w:tcPr>
            <w:tcW w:w="4105" w:type="dxa"/>
            <w:vAlign w:val="center"/>
            <w:hideMark/>
          </w:tcPr>
          <w:p w14:paraId="1E2D703B" w14:textId="51AF9EF4" w:rsidR="00E22D51" w:rsidRPr="001F0DE4" w:rsidRDefault="00E22D51" w:rsidP="00E22D51">
            <w:pPr>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Se remitió correo electrónico a la Dirección Administrativa el 22 de abril de 2020. El área reintegró el valor. Lo anterior se constató   mediante soporte de consignación. </w:t>
            </w:r>
          </w:p>
        </w:tc>
      </w:tr>
      <w:tr w:rsidR="00E22D51" w:rsidRPr="005045BF" w14:paraId="7A596ED6" w14:textId="77777777" w:rsidTr="00561C4C">
        <w:trPr>
          <w:cantSplit/>
        </w:trPr>
        <w:tc>
          <w:tcPr>
            <w:cnfStyle w:val="001000000000" w:firstRow="0" w:lastRow="0" w:firstColumn="1" w:lastColumn="0" w:oddVBand="0" w:evenVBand="0" w:oddHBand="0" w:evenHBand="0" w:firstRowFirstColumn="0" w:firstRowLastColumn="0" w:lastRowFirstColumn="0" w:lastRowLastColumn="0"/>
            <w:tcW w:w="1883" w:type="dxa"/>
            <w:vAlign w:val="center"/>
            <w:hideMark/>
          </w:tcPr>
          <w:p w14:paraId="724349A8" w14:textId="77777777" w:rsidR="00E22D51" w:rsidRPr="001F0DE4" w:rsidRDefault="00E22D51" w:rsidP="00E22D51">
            <w:pPr>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Dirección General de Participaciones Estatales</w:t>
            </w:r>
          </w:p>
        </w:tc>
        <w:tc>
          <w:tcPr>
            <w:tcW w:w="1235" w:type="dxa"/>
            <w:vAlign w:val="center"/>
            <w:hideMark/>
          </w:tcPr>
          <w:p w14:paraId="1A6DB6E2"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1134" w:type="dxa"/>
            <w:vAlign w:val="center"/>
            <w:hideMark/>
          </w:tcPr>
          <w:p w14:paraId="7E0DB186"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105.470</w:t>
            </w:r>
          </w:p>
        </w:tc>
        <w:tc>
          <w:tcPr>
            <w:tcW w:w="993" w:type="dxa"/>
            <w:vAlign w:val="center"/>
            <w:hideMark/>
          </w:tcPr>
          <w:p w14:paraId="6E604F13" w14:textId="77777777" w:rsidR="00E22D51" w:rsidRPr="001F0DE4" w:rsidRDefault="00E22D51" w:rsidP="00E22D51">
            <w:pPr>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105.470</w:t>
            </w:r>
          </w:p>
        </w:tc>
        <w:tc>
          <w:tcPr>
            <w:tcW w:w="4105" w:type="dxa"/>
            <w:vAlign w:val="center"/>
            <w:hideMark/>
          </w:tcPr>
          <w:p w14:paraId="7FC66D3B" w14:textId="01B62990" w:rsidR="00E22D51" w:rsidRPr="001F0DE4" w:rsidRDefault="00E22D51" w:rsidP="00E22D51">
            <w:pPr>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Se remitió correo electrónico a la Dirección General de Participaciones Estatales el 22 de abril de 2020, en respuesta, el área manifestó que los cargos adicionales obedecieron a la necesidad del servicio generados en la comisión de servicios de la Directora a Paris en el mes de marzo de 2020. </w:t>
            </w:r>
          </w:p>
        </w:tc>
      </w:tr>
    </w:tbl>
    <w:p w14:paraId="5C3E135E" w14:textId="55D05B1D" w:rsidR="00D154B1" w:rsidRPr="005045BF" w:rsidRDefault="00D154B1" w:rsidP="00D154B1">
      <w:pPr>
        <w:rPr>
          <w:rFonts w:ascii="Arial" w:hAnsi="Arial" w:cs="Arial"/>
          <w:sz w:val="22"/>
          <w:szCs w:val="22"/>
        </w:rPr>
      </w:pPr>
    </w:p>
    <w:p w14:paraId="620B5024" w14:textId="7574076D" w:rsidR="00D154B1" w:rsidRPr="005045BF" w:rsidRDefault="0075560E" w:rsidP="00FD2697">
      <w:pPr>
        <w:ind w:left="284" w:hanging="284"/>
        <w:jc w:val="both"/>
        <w:rPr>
          <w:rFonts w:ascii="Arial" w:hAnsi="Arial" w:cs="Arial"/>
          <w:sz w:val="22"/>
          <w:szCs w:val="22"/>
        </w:rPr>
      </w:pPr>
      <w:r w:rsidRPr="005045BF">
        <w:rPr>
          <w:rFonts w:ascii="Arial" w:hAnsi="Arial" w:cs="Arial"/>
          <w:sz w:val="22"/>
          <w:szCs w:val="22"/>
        </w:rPr>
        <w:lastRenderedPageBreak/>
        <w:t xml:space="preserve">     De </w:t>
      </w:r>
      <w:r w:rsidR="00600DF3" w:rsidRPr="005045BF">
        <w:rPr>
          <w:rFonts w:ascii="Arial" w:hAnsi="Arial" w:cs="Arial"/>
          <w:sz w:val="22"/>
          <w:szCs w:val="22"/>
        </w:rPr>
        <w:t xml:space="preserve">otra parte, </w:t>
      </w:r>
      <w:r w:rsidRPr="005045BF">
        <w:rPr>
          <w:rFonts w:ascii="Arial" w:hAnsi="Arial" w:cs="Arial"/>
          <w:sz w:val="22"/>
          <w:szCs w:val="22"/>
        </w:rPr>
        <w:t>se</w:t>
      </w:r>
      <w:r w:rsidR="00215B33" w:rsidRPr="005045BF">
        <w:rPr>
          <w:rFonts w:ascii="Arial" w:hAnsi="Arial" w:cs="Arial"/>
          <w:sz w:val="22"/>
          <w:szCs w:val="22"/>
        </w:rPr>
        <w:t xml:space="preserve"> </w:t>
      </w:r>
      <w:r w:rsidR="00A44BBD" w:rsidRPr="005045BF">
        <w:rPr>
          <w:rFonts w:ascii="Arial" w:hAnsi="Arial" w:cs="Arial"/>
          <w:sz w:val="22"/>
          <w:szCs w:val="22"/>
        </w:rPr>
        <w:t xml:space="preserve">realizó el seguimiento de </w:t>
      </w:r>
      <w:r w:rsidRPr="005045BF">
        <w:rPr>
          <w:rFonts w:ascii="Arial" w:hAnsi="Arial" w:cs="Arial"/>
          <w:sz w:val="22"/>
          <w:szCs w:val="22"/>
        </w:rPr>
        <w:t>la gestió</w:t>
      </w:r>
      <w:r w:rsidR="00FD2697" w:rsidRPr="005045BF">
        <w:rPr>
          <w:rFonts w:ascii="Arial" w:hAnsi="Arial" w:cs="Arial"/>
          <w:sz w:val="22"/>
          <w:szCs w:val="22"/>
        </w:rPr>
        <w:t xml:space="preserve">n </w:t>
      </w:r>
      <w:r w:rsidR="00A44BBD" w:rsidRPr="005045BF">
        <w:rPr>
          <w:rFonts w:ascii="Arial" w:hAnsi="Arial" w:cs="Arial"/>
          <w:sz w:val="22"/>
          <w:szCs w:val="22"/>
        </w:rPr>
        <w:t xml:space="preserve">efectuada </w:t>
      </w:r>
      <w:r w:rsidR="00FD2697" w:rsidRPr="005045BF">
        <w:rPr>
          <w:rFonts w:ascii="Arial" w:hAnsi="Arial" w:cs="Arial"/>
          <w:sz w:val="22"/>
          <w:szCs w:val="22"/>
        </w:rPr>
        <w:t xml:space="preserve">por </w:t>
      </w:r>
      <w:r w:rsidRPr="005045BF">
        <w:rPr>
          <w:rFonts w:ascii="Arial" w:hAnsi="Arial" w:cs="Arial"/>
          <w:sz w:val="22"/>
          <w:szCs w:val="22"/>
        </w:rPr>
        <w:t xml:space="preserve">la Subdirección de Servicios frente a los reintegros </w:t>
      </w:r>
      <w:r w:rsidR="00581319" w:rsidRPr="005045BF">
        <w:rPr>
          <w:rFonts w:ascii="Arial" w:hAnsi="Arial" w:cs="Arial"/>
          <w:sz w:val="22"/>
          <w:szCs w:val="22"/>
        </w:rPr>
        <w:t>de los</w:t>
      </w:r>
      <w:r w:rsidRPr="005045BF">
        <w:rPr>
          <w:rFonts w:ascii="Arial" w:hAnsi="Arial" w:cs="Arial"/>
          <w:sz w:val="22"/>
          <w:szCs w:val="22"/>
        </w:rPr>
        <w:t xml:space="preserve"> cobros adicionales </w:t>
      </w:r>
      <w:r w:rsidR="00581319" w:rsidRPr="005045BF">
        <w:rPr>
          <w:rFonts w:ascii="Arial" w:hAnsi="Arial" w:cs="Arial"/>
          <w:sz w:val="22"/>
          <w:szCs w:val="22"/>
        </w:rPr>
        <w:t>correspondientes al cuarto trimestre 2019</w:t>
      </w:r>
      <w:r w:rsidRPr="005045BF">
        <w:rPr>
          <w:rFonts w:ascii="Arial" w:hAnsi="Arial" w:cs="Arial"/>
          <w:sz w:val="22"/>
          <w:szCs w:val="22"/>
        </w:rPr>
        <w:t xml:space="preserve">, así: </w:t>
      </w:r>
    </w:p>
    <w:p w14:paraId="2BCDF558" w14:textId="77777777" w:rsidR="00D154B1" w:rsidRPr="005045BF" w:rsidRDefault="00D154B1" w:rsidP="00D154B1">
      <w:pPr>
        <w:rPr>
          <w:rFonts w:ascii="Arial" w:hAnsi="Arial" w:cs="Arial"/>
          <w:sz w:val="22"/>
          <w:szCs w:val="22"/>
        </w:rPr>
      </w:pPr>
    </w:p>
    <w:tbl>
      <w:tblPr>
        <w:tblStyle w:val="Tablaconcuadrcula1clara-nfasis1"/>
        <w:tblW w:w="0" w:type="auto"/>
        <w:tblInd w:w="279" w:type="dxa"/>
        <w:tblLook w:val="04A0" w:firstRow="1" w:lastRow="0" w:firstColumn="1" w:lastColumn="0" w:noHBand="0" w:noVBand="1"/>
      </w:tblPr>
      <w:tblGrid>
        <w:gridCol w:w="1994"/>
        <w:gridCol w:w="983"/>
        <w:gridCol w:w="1250"/>
        <w:gridCol w:w="1184"/>
        <w:gridCol w:w="3939"/>
      </w:tblGrid>
      <w:tr w:rsidR="00272F00" w:rsidRPr="005045BF" w14:paraId="205DBA49" w14:textId="77777777" w:rsidTr="00700F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994" w:type="dxa"/>
            <w:vMerge w:val="restart"/>
            <w:shd w:val="clear" w:color="auto" w:fill="4F81BD" w:themeFill="accent1"/>
            <w:vAlign w:val="center"/>
            <w:hideMark/>
          </w:tcPr>
          <w:p w14:paraId="041F1FBF" w14:textId="77777777" w:rsidR="00272F00" w:rsidRPr="005045BF" w:rsidRDefault="00272F00" w:rsidP="005550D8">
            <w:pPr>
              <w:spacing w:before="60" w:after="40"/>
              <w:jc w:val="center"/>
              <w:rPr>
                <w:rFonts w:ascii="Arial" w:hAnsi="Arial" w:cs="Arial"/>
                <w:color w:val="FFFFFF"/>
                <w:sz w:val="20"/>
                <w:szCs w:val="20"/>
              </w:rPr>
            </w:pPr>
            <w:bookmarkStart w:id="11" w:name="_Hlk35933950"/>
            <w:r w:rsidRPr="005045BF">
              <w:rPr>
                <w:rFonts w:ascii="Arial" w:hAnsi="Arial" w:cs="Arial"/>
                <w:color w:val="FFFFFF"/>
                <w:sz w:val="20"/>
                <w:szCs w:val="20"/>
              </w:rPr>
              <w:t xml:space="preserve">Dirección </w:t>
            </w:r>
          </w:p>
        </w:tc>
        <w:tc>
          <w:tcPr>
            <w:tcW w:w="0" w:type="auto"/>
            <w:gridSpan w:val="3"/>
            <w:shd w:val="clear" w:color="auto" w:fill="4F81BD" w:themeFill="accent1"/>
            <w:vAlign w:val="center"/>
            <w:hideMark/>
          </w:tcPr>
          <w:p w14:paraId="561D6418" w14:textId="1AF29E26" w:rsidR="00272F00" w:rsidRPr="005045BF" w:rsidRDefault="00272F00" w:rsidP="005550D8">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sz w:val="20"/>
                <w:szCs w:val="20"/>
              </w:rPr>
            </w:pPr>
            <w:r w:rsidRPr="005045BF">
              <w:rPr>
                <w:rFonts w:ascii="Arial" w:hAnsi="Arial" w:cs="Arial"/>
                <w:color w:val="FFFFFF"/>
                <w:sz w:val="20"/>
                <w:szCs w:val="20"/>
              </w:rPr>
              <w:t xml:space="preserve"> Cargos Adicionales </w:t>
            </w:r>
          </w:p>
          <w:p w14:paraId="39118D79" w14:textId="4D006936" w:rsidR="00272F00" w:rsidRPr="005045BF" w:rsidRDefault="00272F00" w:rsidP="005550D8">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I</w:t>
            </w:r>
            <w:r w:rsidR="00E4485E" w:rsidRPr="005045BF">
              <w:rPr>
                <w:rFonts w:ascii="Arial" w:hAnsi="Arial" w:cs="Arial"/>
                <w:color w:val="FFFFFF"/>
                <w:sz w:val="20"/>
                <w:szCs w:val="20"/>
              </w:rPr>
              <w:t>V</w:t>
            </w:r>
            <w:r w:rsidRPr="005045BF">
              <w:rPr>
                <w:rFonts w:ascii="Arial" w:hAnsi="Arial" w:cs="Arial"/>
                <w:color w:val="FFFFFF"/>
                <w:sz w:val="20"/>
                <w:szCs w:val="20"/>
              </w:rPr>
              <w:t xml:space="preserve"> Trimestre de 2019 ($)</w:t>
            </w:r>
          </w:p>
        </w:tc>
        <w:tc>
          <w:tcPr>
            <w:tcW w:w="0" w:type="auto"/>
            <w:vMerge w:val="restart"/>
            <w:shd w:val="clear" w:color="auto" w:fill="4F81BD" w:themeFill="accent1"/>
            <w:vAlign w:val="center"/>
            <w:hideMark/>
          </w:tcPr>
          <w:p w14:paraId="025C0CA5" w14:textId="77777777" w:rsidR="00272F00" w:rsidRPr="005045BF" w:rsidRDefault="00272F00" w:rsidP="005550D8">
            <w:pPr>
              <w:spacing w:before="6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Observación Frente a la Gestión de Cobro</w:t>
            </w:r>
          </w:p>
        </w:tc>
      </w:tr>
      <w:tr w:rsidR="00272F00" w:rsidRPr="005045BF" w14:paraId="638D81FE"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Merge/>
            <w:vAlign w:val="center"/>
            <w:hideMark/>
          </w:tcPr>
          <w:p w14:paraId="46C039AB" w14:textId="77777777" w:rsidR="00272F00" w:rsidRPr="005045BF" w:rsidRDefault="00272F00" w:rsidP="005550D8">
            <w:pPr>
              <w:spacing w:before="60" w:after="40"/>
              <w:rPr>
                <w:rFonts w:ascii="Arial" w:hAnsi="Arial" w:cs="Arial"/>
                <w:color w:val="FFFFFF"/>
                <w:sz w:val="20"/>
                <w:szCs w:val="20"/>
              </w:rPr>
            </w:pPr>
          </w:p>
        </w:tc>
        <w:tc>
          <w:tcPr>
            <w:tcW w:w="0" w:type="auto"/>
            <w:shd w:val="clear" w:color="auto" w:fill="4F81BD" w:themeFill="accent1"/>
            <w:vAlign w:val="center"/>
            <w:hideMark/>
          </w:tcPr>
          <w:p w14:paraId="577139F9" w14:textId="77777777" w:rsidR="00272F00" w:rsidRPr="005045BF" w:rsidRDefault="00272F00" w:rsidP="005550D8">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Octubre</w:t>
            </w:r>
          </w:p>
        </w:tc>
        <w:tc>
          <w:tcPr>
            <w:tcW w:w="0" w:type="auto"/>
            <w:shd w:val="clear" w:color="auto" w:fill="4F81BD" w:themeFill="accent1"/>
            <w:vAlign w:val="center"/>
            <w:hideMark/>
          </w:tcPr>
          <w:p w14:paraId="2DC9F208" w14:textId="77777777" w:rsidR="00272F00" w:rsidRPr="005045BF" w:rsidRDefault="00272F00" w:rsidP="005550D8">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Noviembre</w:t>
            </w:r>
          </w:p>
        </w:tc>
        <w:tc>
          <w:tcPr>
            <w:tcW w:w="0" w:type="auto"/>
            <w:shd w:val="clear" w:color="auto" w:fill="4F81BD" w:themeFill="accent1"/>
            <w:vAlign w:val="center"/>
            <w:hideMark/>
          </w:tcPr>
          <w:p w14:paraId="3756D7F3" w14:textId="77777777" w:rsidR="00272F00" w:rsidRPr="005045BF" w:rsidRDefault="00272F00" w:rsidP="005550D8">
            <w:pPr>
              <w:spacing w:before="6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Diciembre</w:t>
            </w:r>
          </w:p>
        </w:tc>
        <w:tc>
          <w:tcPr>
            <w:tcW w:w="0" w:type="auto"/>
            <w:vMerge/>
            <w:vAlign w:val="center"/>
            <w:hideMark/>
          </w:tcPr>
          <w:p w14:paraId="45BC4AC7" w14:textId="77777777" w:rsidR="00272F00" w:rsidRPr="005045BF" w:rsidRDefault="00272F00" w:rsidP="005550D8">
            <w:pPr>
              <w:spacing w:before="60" w:after="4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p>
        </w:tc>
      </w:tr>
      <w:tr w:rsidR="00272F00" w:rsidRPr="005045BF" w14:paraId="3D16870F"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46C0D4F9" w14:textId="77777777" w:rsidR="00272F00" w:rsidRPr="001F0DE4" w:rsidRDefault="00272F00" w:rsidP="005550D8">
            <w:pPr>
              <w:widowControl w:val="0"/>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Secretaría General </w:t>
            </w:r>
          </w:p>
        </w:tc>
        <w:tc>
          <w:tcPr>
            <w:tcW w:w="0" w:type="auto"/>
            <w:vAlign w:val="center"/>
            <w:hideMark/>
          </w:tcPr>
          <w:p w14:paraId="6EB73D47"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3.447</w:t>
            </w:r>
          </w:p>
        </w:tc>
        <w:tc>
          <w:tcPr>
            <w:tcW w:w="0" w:type="auto"/>
            <w:vAlign w:val="center"/>
            <w:hideMark/>
          </w:tcPr>
          <w:p w14:paraId="06B6D16B"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346</w:t>
            </w:r>
          </w:p>
        </w:tc>
        <w:tc>
          <w:tcPr>
            <w:tcW w:w="0" w:type="auto"/>
            <w:vAlign w:val="center"/>
            <w:hideMark/>
          </w:tcPr>
          <w:p w14:paraId="2E8CBCD4"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7.997</w:t>
            </w:r>
          </w:p>
        </w:tc>
        <w:tc>
          <w:tcPr>
            <w:tcW w:w="0" w:type="auto"/>
            <w:vAlign w:val="center"/>
            <w:hideMark/>
          </w:tcPr>
          <w:p w14:paraId="5136C453" w14:textId="3900FA50" w:rsidR="00272F00" w:rsidRPr="001F0DE4" w:rsidRDefault="003F07EC" w:rsidP="005550D8">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Respecto a los cobros adiciones de los meses de octubre, noviembre y diciembre de 2019, los mismos fueron reintegrados. Lo anterior, se constató mediante soportes de consignación.</w:t>
            </w:r>
          </w:p>
        </w:tc>
      </w:tr>
      <w:tr w:rsidR="00272F00" w:rsidRPr="005045BF" w14:paraId="785EF123"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24481B4D" w14:textId="77777777" w:rsidR="00272F00" w:rsidRPr="001F0DE4" w:rsidRDefault="00272F00" w:rsidP="005550D8">
            <w:pPr>
              <w:widowControl w:val="0"/>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Dirección General de Crédito Público y Tesoro Nacional </w:t>
            </w:r>
          </w:p>
        </w:tc>
        <w:tc>
          <w:tcPr>
            <w:tcW w:w="0" w:type="auto"/>
            <w:vAlign w:val="center"/>
            <w:hideMark/>
          </w:tcPr>
          <w:p w14:paraId="7D4C0C12"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453.009</w:t>
            </w:r>
          </w:p>
        </w:tc>
        <w:tc>
          <w:tcPr>
            <w:tcW w:w="0" w:type="auto"/>
            <w:vAlign w:val="center"/>
            <w:hideMark/>
          </w:tcPr>
          <w:p w14:paraId="69780A18"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3D2828CA"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616EF2A1" w14:textId="2907E564" w:rsidR="00272F00" w:rsidRPr="001F0DE4" w:rsidRDefault="00272F00" w:rsidP="005550D8">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Al respecto, la Subdirección de Servicios informó que a la fecha [30-06-2020], el área no había dado respuesta sobre el cobro adicional. </w:t>
            </w:r>
            <w:r w:rsidRPr="001F0DE4">
              <w:rPr>
                <w:rFonts w:ascii="Arial" w:hAnsi="Arial" w:cs="Arial"/>
                <w:b/>
                <w:bCs/>
                <w:color w:val="0F243E" w:themeColor="text2" w:themeShade="80"/>
                <w:sz w:val="20"/>
                <w:szCs w:val="20"/>
              </w:rPr>
              <w:t xml:space="preserve">Lo anterior, se verificará en el próximo seguimiento desarrollado por la OCI. </w:t>
            </w:r>
            <w:r w:rsidRPr="001F0DE4">
              <w:rPr>
                <w:rFonts w:ascii="Arial" w:hAnsi="Arial" w:cs="Arial"/>
                <w:color w:val="0F243E" w:themeColor="text2" w:themeShade="80"/>
                <w:sz w:val="20"/>
                <w:szCs w:val="20"/>
              </w:rPr>
              <w:t xml:space="preserve"> </w:t>
            </w:r>
          </w:p>
        </w:tc>
      </w:tr>
      <w:tr w:rsidR="00272F00" w:rsidRPr="005045BF" w14:paraId="12AE706D"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6D55C612" w14:textId="77777777" w:rsidR="00272F00" w:rsidRPr="001F0DE4" w:rsidRDefault="00272F00" w:rsidP="005550D8">
            <w:pPr>
              <w:widowControl w:val="0"/>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Dirección Administrativa</w:t>
            </w:r>
          </w:p>
        </w:tc>
        <w:tc>
          <w:tcPr>
            <w:tcW w:w="0" w:type="auto"/>
            <w:vAlign w:val="center"/>
            <w:hideMark/>
          </w:tcPr>
          <w:p w14:paraId="0E9C9235"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61.880</w:t>
            </w:r>
          </w:p>
        </w:tc>
        <w:tc>
          <w:tcPr>
            <w:tcW w:w="0" w:type="auto"/>
            <w:vAlign w:val="center"/>
            <w:hideMark/>
          </w:tcPr>
          <w:p w14:paraId="27A1C3DC"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03E3A924"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5709166E" w14:textId="5108E335" w:rsidR="00272F00" w:rsidRPr="001F0DE4" w:rsidRDefault="00535A26" w:rsidP="005550D8">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Respecto al cobro de servicios adicionales del mes de octubre de 2019, fue reintegrado. Lo anterior, se constató mediante soporte de consignación.</w:t>
            </w:r>
          </w:p>
        </w:tc>
      </w:tr>
      <w:tr w:rsidR="00272F00" w:rsidRPr="005045BF" w14:paraId="5943CE34"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491BBFBE" w14:textId="77777777" w:rsidR="00272F00" w:rsidRPr="001F0DE4" w:rsidRDefault="00272F00" w:rsidP="005550D8">
            <w:pPr>
              <w:widowControl w:val="0"/>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Dirección General de Política Macroeconómica</w:t>
            </w:r>
          </w:p>
        </w:tc>
        <w:tc>
          <w:tcPr>
            <w:tcW w:w="0" w:type="auto"/>
            <w:vAlign w:val="center"/>
            <w:hideMark/>
          </w:tcPr>
          <w:p w14:paraId="4897B410"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7EE3B40F"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007F9306"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5.595</w:t>
            </w:r>
          </w:p>
        </w:tc>
        <w:tc>
          <w:tcPr>
            <w:tcW w:w="0" w:type="auto"/>
            <w:vAlign w:val="center"/>
            <w:hideMark/>
          </w:tcPr>
          <w:p w14:paraId="316A6224" w14:textId="02EA1445" w:rsidR="00272F00" w:rsidRPr="001F0DE4" w:rsidRDefault="00272F00" w:rsidP="005550D8">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Sobre el particular, la Subdirección de Servicios informó que el área emitió la respuesta sobre el cobro adicional en medio físico el cual se encuentra en las instalaciones del MHCP. Dado la contingencia de aislamiento obligatorio preventivo en virtud de la emergencia de salud [Covid-19], no fue posible constatar la información, </w:t>
            </w:r>
            <w:r w:rsidRPr="001F0DE4">
              <w:rPr>
                <w:rFonts w:ascii="Arial" w:hAnsi="Arial" w:cs="Arial"/>
                <w:b/>
                <w:bCs/>
                <w:color w:val="0F243E" w:themeColor="text2" w:themeShade="80"/>
                <w:sz w:val="20"/>
                <w:szCs w:val="20"/>
              </w:rPr>
              <w:t xml:space="preserve">por lo cual, se verificará en el próximo seguimiento que desarrolle la OCI. </w:t>
            </w:r>
          </w:p>
        </w:tc>
      </w:tr>
      <w:tr w:rsidR="00272F00" w:rsidRPr="005045BF" w14:paraId="472FE5D4" w14:textId="77777777" w:rsidTr="00A44BBD">
        <w:trPr>
          <w:cantSplit/>
        </w:trPr>
        <w:tc>
          <w:tcPr>
            <w:cnfStyle w:val="001000000000" w:firstRow="0" w:lastRow="0" w:firstColumn="1" w:lastColumn="0" w:oddVBand="0" w:evenVBand="0" w:oddHBand="0" w:evenHBand="0" w:firstRowFirstColumn="0" w:firstRowLastColumn="0" w:lastRowFirstColumn="0" w:lastRowLastColumn="0"/>
            <w:tcW w:w="1994" w:type="dxa"/>
            <w:vAlign w:val="center"/>
            <w:hideMark/>
          </w:tcPr>
          <w:p w14:paraId="194A738A" w14:textId="77777777" w:rsidR="00272F00" w:rsidRPr="001F0DE4" w:rsidRDefault="00272F00" w:rsidP="005550D8">
            <w:pPr>
              <w:widowControl w:val="0"/>
              <w:spacing w:before="60" w:after="40"/>
              <w:jc w:val="center"/>
              <w:rPr>
                <w:rFonts w:ascii="Arial" w:hAnsi="Arial" w:cs="Arial"/>
                <w:color w:val="0F243E" w:themeColor="text2" w:themeShade="80"/>
                <w:sz w:val="20"/>
                <w:szCs w:val="20"/>
              </w:rPr>
            </w:pPr>
            <w:r w:rsidRPr="001F0DE4">
              <w:rPr>
                <w:rFonts w:ascii="Arial" w:hAnsi="Arial" w:cs="Arial"/>
                <w:color w:val="0F243E" w:themeColor="text2" w:themeShade="80"/>
                <w:sz w:val="20"/>
                <w:szCs w:val="20"/>
              </w:rPr>
              <w:t>Viceministerio Técnico</w:t>
            </w:r>
          </w:p>
        </w:tc>
        <w:tc>
          <w:tcPr>
            <w:tcW w:w="0" w:type="auto"/>
            <w:vAlign w:val="center"/>
            <w:hideMark/>
          </w:tcPr>
          <w:p w14:paraId="583F3605"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0C084333"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w:t>
            </w:r>
          </w:p>
        </w:tc>
        <w:tc>
          <w:tcPr>
            <w:tcW w:w="0" w:type="auto"/>
            <w:vAlign w:val="center"/>
            <w:hideMark/>
          </w:tcPr>
          <w:p w14:paraId="3406A5CA" w14:textId="77777777" w:rsidR="00272F00" w:rsidRPr="001F0DE4" w:rsidRDefault="00272F00" w:rsidP="005550D8">
            <w:pPr>
              <w:widowControl w:val="0"/>
              <w:spacing w:before="6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189.044</w:t>
            </w:r>
          </w:p>
        </w:tc>
        <w:tc>
          <w:tcPr>
            <w:tcW w:w="0" w:type="auto"/>
            <w:vAlign w:val="center"/>
            <w:hideMark/>
          </w:tcPr>
          <w:p w14:paraId="3931D11C" w14:textId="74792851" w:rsidR="00272F00" w:rsidRPr="001F0DE4" w:rsidRDefault="00272F00" w:rsidP="005550D8">
            <w:pPr>
              <w:widowControl w:val="0"/>
              <w:spacing w:before="6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1F0DE4">
              <w:rPr>
                <w:rFonts w:ascii="Arial" w:hAnsi="Arial" w:cs="Arial"/>
                <w:color w:val="0F243E" w:themeColor="text2" w:themeShade="80"/>
                <w:sz w:val="20"/>
                <w:szCs w:val="20"/>
              </w:rPr>
              <w:t xml:space="preserve">La Subdirección de Servicios informó que el Departamento Nacional de Planeación [DNP] realizó la gestión de pago, sin embargo, por inconvenientes internos en el DNP no se ha aprobado el mismo, motivo por el cual, este Ministerio no ha recibido </w:t>
            </w:r>
            <w:r w:rsidR="007B53AC">
              <w:rPr>
                <w:rFonts w:ascii="Arial" w:hAnsi="Arial" w:cs="Arial"/>
                <w:color w:val="0F243E" w:themeColor="text2" w:themeShade="80"/>
                <w:sz w:val="20"/>
                <w:szCs w:val="20"/>
              </w:rPr>
              <w:t xml:space="preserve">la </w:t>
            </w:r>
            <w:r w:rsidRPr="001F0DE4">
              <w:rPr>
                <w:rFonts w:ascii="Arial" w:hAnsi="Arial" w:cs="Arial"/>
                <w:color w:val="0F243E" w:themeColor="text2" w:themeShade="80"/>
                <w:sz w:val="20"/>
                <w:szCs w:val="20"/>
              </w:rPr>
              <w:t xml:space="preserve">confirmación del reintegro de estos recursos a nombre del Ex Viceministro. </w:t>
            </w:r>
            <w:r w:rsidRPr="001F0DE4">
              <w:rPr>
                <w:rFonts w:ascii="Arial" w:hAnsi="Arial" w:cs="Arial"/>
                <w:b/>
                <w:bCs/>
                <w:color w:val="0F243E" w:themeColor="text2" w:themeShade="80"/>
                <w:sz w:val="20"/>
                <w:szCs w:val="20"/>
              </w:rPr>
              <w:t xml:space="preserve">Por lo tanto, esta situación será objeto de verificación en el próximo seguimiento desarrollado por la OCI. </w:t>
            </w:r>
          </w:p>
        </w:tc>
      </w:tr>
    </w:tbl>
    <w:p w14:paraId="195604D6" w14:textId="52231542" w:rsidR="00215B33" w:rsidRPr="005045BF" w:rsidRDefault="00215B33" w:rsidP="001C3246">
      <w:pPr>
        <w:pStyle w:val="Prrafodelista"/>
        <w:ind w:left="357"/>
        <w:contextualSpacing w:val="0"/>
        <w:rPr>
          <w:rFonts w:ascii="Arial" w:hAnsi="Arial" w:cs="Arial"/>
          <w:color w:val="000000"/>
          <w:sz w:val="22"/>
          <w:szCs w:val="22"/>
          <w:highlight w:val="yellow"/>
          <w:shd w:val="clear" w:color="auto" w:fill="FFFFFF"/>
        </w:rPr>
      </w:pPr>
    </w:p>
    <w:p w14:paraId="0B9B080E" w14:textId="2499B113" w:rsidR="00E4485E" w:rsidRPr="007B53AC" w:rsidRDefault="00E4485E" w:rsidP="00A50C17">
      <w:pPr>
        <w:pStyle w:val="Prrafodelista"/>
        <w:ind w:left="284"/>
        <w:contextualSpacing w:val="0"/>
        <w:rPr>
          <w:rFonts w:ascii="Arial" w:hAnsi="Arial" w:cs="Arial"/>
          <w:color w:val="000000" w:themeColor="text1"/>
          <w:sz w:val="22"/>
          <w:szCs w:val="22"/>
          <w:shd w:val="clear" w:color="auto" w:fill="FFFFFF"/>
        </w:rPr>
      </w:pPr>
      <w:r w:rsidRPr="007B53AC">
        <w:rPr>
          <w:rFonts w:ascii="Arial" w:hAnsi="Arial" w:cs="Arial"/>
          <w:color w:val="000000" w:themeColor="text1"/>
          <w:sz w:val="22"/>
          <w:szCs w:val="22"/>
          <w:shd w:val="clear" w:color="auto" w:fill="FFFFFF"/>
        </w:rPr>
        <w:t>Frente a lo anterior, se evidenci</w:t>
      </w:r>
      <w:r w:rsidR="00E724EC" w:rsidRPr="007B53AC">
        <w:rPr>
          <w:rFonts w:ascii="Arial" w:hAnsi="Arial" w:cs="Arial"/>
          <w:color w:val="000000" w:themeColor="text1"/>
          <w:sz w:val="22"/>
          <w:szCs w:val="22"/>
          <w:shd w:val="clear" w:color="auto" w:fill="FFFFFF"/>
        </w:rPr>
        <w:t>aron</w:t>
      </w:r>
      <w:r w:rsidRPr="007B53AC">
        <w:rPr>
          <w:rFonts w:ascii="Arial" w:hAnsi="Arial" w:cs="Arial"/>
          <w:color w:val="000000" w:themeColor="text1"/>
          <w:sz w:val="22"/>
          <w:szCs w:val="22"/>
          <w:shd w:val="clear" w:color="auto" w:fill="FFFFFF"/>
        </w:rPr>
        <w:t xml:space="preserve"> la</w:t>
      </w:r>
      <w:r w:rsidR="00E724EC" w:rsidRPr="007B53AC">
        <w:rPr>
          <w:rFonts w:ascii="Arial" w:hAnsi="Arial" w:cs="Arial"/>
          <w:color w:val="000000" w:themeColor="text1"/>
          <w:sz w:val="22"/>
          <w:szCs w:val="22"/>
          <w:shd w:val="clear" w:color="auto" w:fill="FFFFFF"/>
        </w:rPr>
        <w:t>s</w:t>
      </w:r>
      <w:r w:rsidRPr="007B53AC">
        <w:rPr>
          <w:rFonts w:ascii="Arial" w:hAnsi="Arial" w:cs="Arial"/>
          <w:color w:val="000000" w:themeColor="text1"/>
          <w:sz w:val="22"/>
          <w:szCs w:val="22"/>
          <w:shd w:val="clear" w:color="auto" w:fill="FFFFFF"/>
        </w:rPr>
        <w:t xml:space="preserve"> gesti</w:t>
      </w:r>
      <w:r w:rsidR="00E724EC" w:rsidRPr="007B53AC">
        <w:rPr>
          <w:rFonts w:ascii="Arial" w:hAnsi="Arial" w:cs="Arial"/>
          <w:color w:val="000000" w:themeColor="text1"/>
          <w:sz w:val="22"/>
          <w:szCs w:val="22"/>
          <w:shd w:val="clear" w:color="auto" w:fill="FFFFFF"/>
        </w:rPr>
        <w:t>ones</w:t>
      </w:r>
      <w:r w:rsidRPr="007B53AC">
        <w:rPr>
          <w:rFonts w:ascii="Arial" w:hAnsi="Arial" w:cs="Arial"/>
          <w:color w:val="000000" w:themeColor="text1"/>
          <w:sz w:val="22"/>
          <w:szCs w:val="22"/>
          <w:shd w:val="clear" w:color="auto" w:fill="FFFFFF"/>
        </w:rPr>
        <w:t xml:space="preserve"> </w:t>
      </w:r>
      <w:r w:rsidR="00E724EC" w:rsidRPr="007B53AC">
        <w:rPr>
          <w:rFonts w:ascii="Arial" w:hAnsi="Arial" w:cs="Arial"/>
          <w:color w:val="000000" w:themeColor="text1"/>
          <w:sz w:val="22"/>
          <w:szCs w:val="22"/>
          <w:shd w:val="clear" w:color="auto" w:fill="FFFFFF"/>
        </w:rPr>
        <w:t xml:space="preserve">adelantadas por la Subdirección de Servicios referente a los </w:t>
      </w:r>
      <w:r w:rsidRPr="007B53AC">
        <w:rPr>
          <w:rFonts w:ascii="Arial" w:hAnsi="Arial" w:cs="Arial"/>
          <w:color w:val="000000" w:themeColor="text1"/>
          <w:sz w:val="22"/>
          <w:szCs w:val="22"/>
          <w:shd w:val="clear" w:color="auto" w:fill="FFFFFF"/>
        </w:rPr>
        <w:t>cobro</w:t>
      </w:r>
      <w:r w:rsidR="00E724EC" w:rsidRPr="007B53AC">
        <w:rPr>
          <w:rFonts w:ascii="Arial" w:hAnsi="Arial" w:cs="Arial"/>
          <w:color w:val="000000" w:themeColor="text1"/>
          <w:sz w:val="22"/>
          <w:szCs w:val="22"/>
          <w:shd w:val="clear" w:color="auto" w:fill="FFFFFF"/>
        </w:rPr>
        <w:t>s</w:t>
      </w:r>
      <w:r w:rsidRPr="007B53AC">
        <w:rPr>
          <w:rFonts w:ascii="Arial" w:hAnsi="Arial" w:cs="Arial"/>
          <w:color w:val="000000" w:themeColor="text1"/>
          <w:sz w:val="22"/>
          <w:szCs w:val="22"/>
          <w:shd w:val="clear" w:color="auto" w:fill="FFFFFF"/>
        </w:rPr>
        <w:t xml:space="preserve"> de los cargos adicionales facturados en el servicio de telefonía móvil correspondientes al primer trimestre de 2020 y</w:t>
      </w:r>
      <w:r w:rsidR="00E724EC" w:rsidRPr="007B53AC">
        <w:rPr>
          <w:rFonts w:ascii="Arial" w:hAnsi="Arial" w:cs="Arial"/>
          <w:color w:val="000000" w:themeColor="text1"/>
          <w:sz w:val="22"/>
          <w:szCs w:val="22"/>
          <w:shd w:val="clear" w:color="auto" w:fill="FFFFFF"/>
        </w:rPr>
        <w:t xml:space="preserve"> el cuarto trimestre de 2019</w:t>
      </w:r>
      <w:r w:rsidRPr="007B53AC">
        <w:rPr>
          <w:rFonts w:ascii="Arial" w:hAnsi="Arial" w:cs="Arial"/>
          <w:color w:val="000000" w:themeColor="text1"/>
          <w:sz w:val="22"/>
          <w:szCs w:val="22"/>
          <w:shd w:val="clear" w:color="auto" w:fill="FFFFFF"/>
        </w:rPr>
        <w:t xml:space="preserve">, </w:t>
      </w:r>
      <w:r w:rsidR="00E724EC" w:rsidRPr="007B53AC">
        <w:rPr>
          <w:rFonts w:ascii="Arial" w:hAnsi="Arial" w:cs="Arial"/>
          <w:color w:val="000000" w:themeColor="text1"/>
          <w:sz w:val="22"/>
          <w:szCs w:val="22"/>
          <w:shd w:val="clear" w:color="auto" w:fill="FFFFFF"/>
        </w:rPr>
        <w:t xml:space="preserve">las cuales fueron constatadas </w:t>
      </w:r>
      <w:r w:rsidRPr="007B53AC">
        <w:rPr>
          <w:rFonts w:ascii="Arial" w:hAnsi="Arial" w:cs="Arial"/>
          <w:color w:val="000000" w:themeColor="text1"/>
          <w:sz w:val="22"/>
          <w:szCs w:val="22"/>
          <w:shd w:val="clear" w:color="auto" w:fill="FFFFFF"/>
        </w:rPr>
        <w:t xml:space="preserve">mediante correos electrónicos y memorandos enviados a los Directivos que tienen asignadas las líneas telefónicas, a su vez, se </w:t>
      </w:r>
      <w:r w:rsidR="00E724EC" w:rsidRPr="007B53AC">
        <w:rPr>
          <w:rFonts w:ascii="Arial" w:hAnsi="Arial" w:cs="Arial"/>
          <w:color w:val="000000" w:themeColor="text1"/>
          <w:sz w:val="22"/>
          <w:szCs w:val="22"/>
          <w:shd w:val="clear" w:color="auto" w:fill="FFFFFF"/>
        </w:rPr>
        <w:t xml:space="preserve">confirmó </w:t>
      </w:r>
      <w:r w:rsidRPr="007B53AC">
        <w:rPr>
          <w:rFonts w:ascii="Arial" w:hAnsi="Arial" w:cs="Arial"/>
          <w:color w:val="000000" w:themeColor="text1"/>
          <w:sz w:val="22"/>
          <w:szCs w:val="22"/>
          <w:shd w:val="clear" w:color="auto" w:fill="FFFFFF"/>
        </w:rPr>
        <w:t xml:space="preserve">los reintegros efectuados por los responsables de las líneas telefónicas, con base en los respectivos soportes.  </w:t>
      </w:r>
    </w:p>
    <w:p w14:paraId="5D781CBE" w14:textId="77777777" w:rsidR="006D0901" w:rsidRPr="007B53AC" w:rsidRDefault="006D0901" w:rsidP="005550D8">
      <w:pPr>
        <w:pStyle w:val="Prrafodelista"/>
        <w:spacing w:line="168" w:lineRule="auto"/>
        <w:ind w:left="357"/>
        <w:contextualSpacing w:val="0"/>
        <w:rPr>
          <w:rFonts w:ascii="Arial" w:hAnsi="Arial" w:cs="Arial"/>
          <w:color w:val="000000"/>
          <w:sz w:val="22"/>
          <w:szCs w:val="22"/>
          <w:highlight w:val="yellow"/>
          <w:shd w:val="clear" w:color="auto" w:fill="FFFFFF"/>
        </w:rPr>
      </w:pPr>
    </w:p>
    <w:p w14:paraId="06AED830" w14:textId="77666DDB" w:rsidR="00095A64" w:rsidRPr="005045BF" w:rsidRDefault="00095A64" w:rsidP="00DD10E2">
      <w:pPr>
        <w:ind w:left="284"/>
        <w:jc w:val="both"/>
        <w:rPr>
          <w:rFonts w:ascii="Arial" w:hAnsi="Arial" w:cs="Arial"/>
          <w:color w:val="000000" w:themeColor="text1"/>
          <w:sz w:val="22"/>
          <w:szCs w:val="22"/>
        </w:rPr>
      </w:pPr>
      <w:r w:rsidRPr="005045BF">
        <w:rPr>
          <w:rFonts w:ascii="Arial" w:hAnsi="Arial" w:cs="Arial"/>
          <w:color w:val="000000" w:themeColor="text1"/>
          <w:sz w:val="22"/>
          <w:szCs w:val="22"/>
        </w:rPr>
        <w:lastRenderedPageBreak/>
        <w:t xml:space="preserve">Si bien, la Subdirección de Servicios ha efectuado las gestiones de cobro en aras de definir si los cargos adicionales efectivamente fueron con ocasión al desarrollo de las funciones </w:t>
      </w:r>
      <w:r w:rsidRPr="005045BF">
        <w:rPr>
          <w:rFonts w:ascii="Arial" w:hAnsi="Arial" w:cs="Arial"/>
          <w:color w:val="201F1E"/>
          <w:sz w:val="22"/>
          <w:szCs w:val="22"/>
          <w:shd w:val="clear" w:color="auto" w:fill="FFFFFF"/>
        </w:rPr>
        <w:t>asociadas a los cargos de los responsables de las líneas telefónicas o deben ser reintegrados por dichos responsables, s</w:t>
      </w:r>
      <w:r w:rsidR="00D81B37" w:rsidRPr="005045BF">
        <w:rPr>
          <w:rFonts w:ascii="Arial" w:hAnsi="Arial" w:cs="Arial"/>
          <w:color w:val="000000" w:themeColor="text1"/>
          <w:sz w:val="22"/>
          <w:szCs w:val="22"/>
        </w:rPr>
        <w:t>in embargo, a la fecha de emisión de este informe se encontraban pendientes de reintegro los cargos adicionales</w:t>
      </w:r>
      <w:r w:rsidR="009D7B85" w:rsidRPr="005045BF">
        <w:rPr>
          <w:rFonts w:ascii="Arial" w:hAnsi="Arial" w:cs="Arial"/>
          <w:color w:val="000000" w:themeColor="text1"/>
          <w:sz w:val="22"/>
          <w:szCs w:val="22"/>
        </w:rPr>
        <w:t xml:space="preserve"> </w:t>
      </w:r>
      <w:r w:rsidR="00D81B37" w:rsidRPr="005045BF">
        <w:rPr>
          <w:rFonts w:ascii="Arial" w:hAnsi="Arial" w:cs="Arial"/>
          <w:color w:val="000000" w:themeColor="text1"/>
          <w:sz w:val="22"/>
          <w:szCs w:val="22"/>
        </w:rPr>
        <w:t>con corte a 31 de diciembre de 2019</w:t>
      </w:r>
      <w:r w:rsidR="009D7B85" w:rsidRPr="005045BF">
        <w:rPr>
          <w:rFonts w:ascii="Arial" w:hAnsi="Arial" w:cs="Arial"/>
          <w:color w:val="000000" w:themeColor="text1"/>
          <w:sz w:val="22"/>
          <w:szCs w:val="22"/>
        </w:rPr>
        <w:t xml:space="preserve"> por parte de los responsables de las líneas telefónicas </w:t>
      </w:r>
      <w:r w:rsidR="00087BD2" w:rsidRPr="005045BF">
        <w:rPr>
          <w:rFonts w:ascii="Arial" w:hAnsi="Arial" w:cs="Arial"/>
          <w:color w:val="000000" w:themeColor="text1"/>
          <w:sz w:val="22"/>
          <w:szCs w:val="22"/>
        </w:rPr>
        <w:t>asignada al</w:t>
      </w:r>
      <w:r w:rsidR="00664112" w:rsidRPr="005045BF">
        <w:rPr>
          <w:rFonts w:ascii="Arial" w:hAnsi="Arial" w:cs="Arial"/>
          <w:color w:val="000000" w:themeColor="text1"/>
          <w:sz w:val="22"/>
          <w:szCs w:val="22"/>
        </w:rPr>
        <w:t xml:space="preserve"> </w:t>
      </w:r>
      <w:r w:rsidR="009D7B85" w:rsidRPr="005045BF">
        <w:rPr>
          <w:rFonts w:ascii="Arial" w:hAnsi="Arial" w:cs="Arial"/>
          <w:color w:val="000000" w:themeColor="text1"/>
          <w:sz w:val="22"/>
          <w:szCs w:val="22"/>
        </w:rPr>
        <w:t>Dir</w:t>
      </w:r>
      <w:r w:rsidRPr="005045BF">
        <w:rPr>
          <w:rFonts w:ascii="Arial" w:hAnsi="Arial" w:cs="Arial"/>
          <w:color w:val="000000" w:themeColor="text1"/>
          <w:sz w:val="22"/>
          <w:szCs w:val="22"/>
        </w:rPr>
        <w:t>ector</w:t>
      </w:r>
      <w:r w:rsidR="009D7B85" w:rsidRPr="005045BF">
        <w:rPr>
          <w:rFonts w:ascii="Arial" w:hAnsi="Arial" w:cs="Arial"/>
          <w:color w:val="000000" w:themeColor="text1"/>
          <w:sz w:val="22"/>
          <w:szCs w:val="22"/>
        </w:rPr>
        <w:t xml:space="preserve"> General de Crédito Público y</w:t>
      </w:r>
      <w:r w:rsidR="00DD10E2" w:rsidRPr="005045BF">
        <w:rPr>
          <w:rFonts w:ascii="Arial" w:hAnsi="Arial" w:cs="Arial"/>
          <w:color w:val="000000" w:themeColor="text1"/>
          <w:sz w:val="22"/>
          <w:szCs w:val="22"/>
        </w:rPr>
        <w:t xml:space="preserve"> Tesoro Nacional y</w:t>
      </w:r>
      <w:r w:rsidRPr="005045BF">
        <w:rPr>
          <w:rFonts w:ascii="Arial" w:hAnsi="Arial" w:cs="Arial"/>
          <w:color w:val="000000" w:themeColor="text1"/>
          <w:sz w:val="22"/>
          <w:szCs w:val="22"/>
        </w:rPr>
        <w:t xml:space="preserve"> Ex V</w:t>
      </w:r>
      <w:r w:rsidR="009D7B85" w:rsidRPr="005045BF">
        <w:rPr>
          <w:rFonts w:ascii="Arial" w:hAnsi="Arial" w:cs="Arial"/>
          <w:color w:val="000000" w:themeColor="text1"/>
          <w:sz w:val="22"/>
          <w:szCs w:val="22"/>
        </w:rPr>
        <w:t>iceminis</w:t>
      </w:r>
      <w:r w:rsidRPr="005045BF">
        <w:rPr>
          <w:rFonts w:ascii="Arial" w:hAnsi="Arial" w:cs="Arial"/>
          <w:color w:val="000000" w:themeColor="text1"/>
          <w:sz w:val="22"/>
          <w:szCs w:val="22"/>
        </w:rPr>
        <w:t>tro</w:t>
      </w:r>
      <w:r w:rsidR="009D7B85" w:rsidRPr="005045BF">
        <w:rPr>
          <w:rFonts w:ascii="Arial" w:hAnsi="Arial" w:cs="Arial"/>
          <w:color w:val="000000" w:themeColor="text1"/>
          <w:sz w:val="22"/>
          <w:szCs w:val="22"/>
        </w:rPr>
        <w:t xml:space="preserve"> Técnico. </w:t>
      </w:r>
    </w:p>
    <w:p w14:paraId="63E9F8B1" w14:textId="77777777" w:rsidR="00095A64" w:rsidRPr="005045BF" w:rsidRDefault="00095A64" w:rsidP="00DD10E2">
      <w:pPr>
        <w:ind w:left="284"/>
        <w:jc w:val="both"/>
        <w:rPr>
          <w:rFonts w:ascii="Arial" w:hAnsi="Arial" w:cs="Arial"/>
          <w:color w:val="000000" w:themeColor="text1"/>
          <w:sz w:val="22"/>
          <w:szCs w:val="22"/>
        </w:rPr>
      </w:pPr>
    </w:p>
    <w:p w14:paraId="2C544D71" w14:textId="22F74E5B" w:rsidR="00623972" w:rsidRPr="005045BF" w:rsidRDefault="001223A2" w:rsidP="000A229A">
      <w:pPr>
        <w:ind w:left="284"/>
        <w:jc w:val="both"/>
        <w:rPr>
          <w:rFonts w:ascii="Arial" w:hAnsi="Arial" w:cs="Arial"/>
          <w:color w:val="000000" w:themeColor="text1"/>
          <w:sz w:val="22"/>
          <w:szCs w:val="22"/>
        </w:rPr>
      </w:pPr>
      <w:r w:rsidRPr="005045BF">
        <w:rPr>
          <w:rFonts w:ascii="Arial" w:hAnsi="Arial" w:cs="Arial"/>
          <w:color w:val="000000" w:themeColor="text1"/>
          <w:sz w:val="22"/>
          <w:szCs w:val="22"/>
        </w:rPr>
        <w:t xml:space="preserve">Es de mencionar que, </w:t>
      </w:r>
      <w:r w:rsidR="00095A64" w:rsidRPr="005045BF">
        <w:rPr>
          <w:rFonts w:ascii="Arial" w:hAnsi="Arial" w:cs="Arial"/>
          <w:color w:val="000000" w:themeColor="text1"/>
          <w:sz w:val="22"/>
          <w:szCs w:val="22"/>
        </w:rPr>
        <w:t xml:space="preserve">han transcurrido seis meses aproximadamente desde que fueron facturados </w:t>
      </w:r>
      <w:r w:rsidRPr="005045BF">
        <w:rPr>
          <w:rFonts w:ascii="Arial" w:hAnsi="Arial" w:cs="Arial"/>
          <w:color w:val="000000" w:themeColor="text1"/>
          <w:sz w:val="22"/>
          <w:szCs w:val="22"/>
        </w:rPr>
        <w:t>los cobros adicionales</w:t>
      </w:r>
      <w:r w:rsidR="00452197" w:rsidRPr="005045BF">
        <w:rPr>
          <w:rFonts w:ascii="Arial" w:hAnsi="Arial" w:cs="Arial"/>
          <w:color w:val="000000" w:themeColor="text1"/>
          <w:sz w:val="22"/>
          <w:szCs w:val="22"/>
        </w:rPr>
        <w:t>. Lo anterior, puede llegar a generar cuestionamientos por parte de los entes de control externos</w:t>
      </w:r>
      <w:r w:rsidR="000A229A" w:rsidRPr="005045BF">
        <w:rPr>
          <w:rFonts w:ascii="Arial" w:hAnsi="Arial" w:cs="Arial"/>
          <w:color w:val="000000" w:themeColor="text1"/>
          <w:sz w:val="22"/>
          <w:szCs w:val="22"/>
        </w:rPr>
        <w:t>.</w:t>
      </w:r>
      <w:r w:rsidR="00087BD2" w:rsidRPr="005045BF">
        <w:rPr>
          <w:rFonts w:ascii="Arial" w:hAnsi="Arial" w:cs="Arial"/>
          <w:color w:val="000000" w:themeColor="text1"/>
          <w:sz w:val="22"/>
          <w:szCs w:val="22"/>
        </w:rPr>
        <w:t xml:space="preserve"> Por tal motivo, </w:t>
      </w:r>
      <w:r w:rsidR="00623972" w:rsidRPr="005045BF">
        <w:rPr>
          <w:rFonts w:ascii="Arial" w:hAnsi="Arial" w:cs="Arial"/>
          <w:color w:val="000000" w:themeColor="text1"/>
          <w:sz w:val="22"/>
          <w:szCs w:val="22"/>
        </w:rPr>
        <w:t xml:space="preserve">se </w:t>
      </w:r>
      <w:r w:rsidR="00623972" w:rsidRPr="005045BF">
        <w:rPr>
          <w:rFonts w:ascii="Arial" w:hAnsi="Arial" w:cs="Arial"/>
          <w:b/>
          <w:bCs/>
          <w:color w:val="000000" w:themeColor="text1"/>
          <w:sz w:val="22"/>
          <w:szCs w:val="22"/>
        </w:rPr>
        <w:t>recomienda</w:t>
      </w:r>
      <w:r w:rsidR="00623972" w:rsidRPr="005045BF">
        <w:rPr>
          <w:rFonts w:ascii="Arial" w:hAnsi="Arial" w:cs="Arial"/>
          <w:color w:val="000000" w:themeColor="text1"/>
          <w:sz w:val="22"/>
          <w:szCs w:val="22"/>
        </w:rPr>
        <w:t xml:space="preserve"> que la Subdirección de Servicios continúe con las gestiones pertinentes y las acciones a que haya lugar, logrando con ello, que los responsables de las líneas telefónicas </w:t>
      </w:r>
      <w:r w:rsidR="00B84EA2" w:rsidRPr="005045BF">
        <w:rPr>
          <w:rFonts w:ascii="Arial" w:hAnsi="Arial" w:cs="Arial"/>
          <w:color w:val="000000" w:themeColor="text1"/>
          <w:sz w:val="22"/>
          <w:szCs w:val="22"/>
        </w:rPr>
        <w:t>efectúen los respectivos reintegros</w:t>
      </w:r>
      <w:r w:rsidR="00087BD2" w:rsidRPr="005045BF">
        <w:rPr>
          <w:rFonts w:ascii="Arial" w:hAnsi="Arial" w:cs="Arial"/>
          <w:color w:val="000000" w:themeColor="text1"/>
          <w:sz w:val="22"/>
          <w:szCs w:val="22"/>
        </w:rPr>
        <w:t xml:space="preserve"> si es el caso, o se reciba la justificación de necesidad del servicio en el marco de la ejecución de las labores propias de</w:t>
      </w:r>
      <w:r w:rsidR="00081802" w:rsidRPr="005045BF">
        <w:rPr>
          <w:rFonts w:ascii="Arial" w:hAnsi="Arial" w:cs="Arial"/>
          <w:color w:val="000000" w:themeColor="text1"/>
          <w:sz w:val="22"/>
          <w:szCs w:val="22"/>
        </w:rPr>
        <w:t xml:space="preserve"> cada cargo. </w:t>
      </w:r>
    </w:p>
    <w:p w14:paraId="687EF29C" w14:textId="3EAA9EA6" w:rsidR="00452197" w:rsidRPr="005045BF" w:rsidRDefault="00452197" w:rsidP="00452197">
      <w:pPr>
        <w:ind w:left="284"/>
        <w:jc w:val="both"/>
        <w:rPr>
          <w:rFonts w:ascii="Arial" w:hAnsi="Arial" w:cs="Arial"/>
          <w:color w:val="000000" w:themeColor="text1"/>
          <w:sz w:val="22"/>
          <w:szCs w:val="22"/>
        </w:rPr>
      </w:pPr>
    </w:p>
    <w:p w14:paraId="329520F8" w14:textId="77777777" w:rsidR="00664112" w:rsidRPr="005045BF" w:rsidRDefault="00664112" w:rsidP="00452197">
      <w:pPr>
        <w:ind w:left="284"/>
        <w:jc w:val="both"/>
        <w:rPr>
          <w:rFonts w:ascii="Arial" w:hAnsi="Arial" w:cs="Arial"/>
          <w:color w:val="000000" w:themeColor="text1"/>
          <w:sz w:val="22"/>
          <w:szCs w:val="22"/>
        </w:rPr>
      </w:pPr>
    </w:p>
    <w:bookmarkEnd w:id="11"/>
    <w:p w14:paraId="7883486C" w14:textId="457B4D39" w:rsidR="00AA5CCE" w:rsidRPr="005045BF" w:rsidRDefault="003879F9" w:rsidP="003879F9">
      <w:pPr>
        <w:pStyle w:val="Prrafodelista"/>
        <w:numPr>
          <w:ilvl w:val="1"/>
          <w:numId w:val="45"/>
        </w:numPr>
        <w:tabs>
          <w:tab w:val="left" w:pos="284"/>
        </w:tabs>
        <w:rPr>
          <w:rFonts w:ascii="Arial" w:hAnsi="Arial" w:cs="Arial"/>
          <w:b/>
          <w:sz w:val="22"/>
          <w:szCs w:val="22"/>
        </w:rPr>
      </w:pPr>
      <w:r w:rsidRPr="005045BF">
        <w:rPr>
          <w:rFonts w:ascii="Arial" w:hAnsi="Arial" w:cs="Arial"/>
          <w:b/>
          <w:sz w:val="22"/>
          <w:szCs w:val="22"/>
        </w:rPr>
        <w:t xml:space="preserve"> </w:t>
      </w:r>
      <w:r w:rsidR="000C38F1" w:rsidRPr="005045BF">
        <w:rPr>
          <w:rFonts w:ascii="Arial" w:hAnsi="Arial" w:cs="Arial"/>
          <w:b/>
          <w:sz w:val="22"/>
          <w:szCs w:val="22"/>
        </w:rPr>
        <w:t xml:space="preserve">TELÉFONOS, FAX Y OTROS </w:t>
      </w:r>
    </w:p>
    <w:p w14:paraId="5F7E508B" w14:textId="77777777" w:rsidR="00FC5CAB" w:rsidRPr="005045BF" w:rsidRDefault="00FC5CAB" w:rsidP="00FC5CAB">
      <w:pPr>
        <w:pStyle w:val="Prrafodelista"/>
        <w:ind w:left="360"/>
        <w:contextualSpacing w:val="0"/>
        <w:jc w:val="left"/>
        <w:rPr>
          <w:rFonts w:ascii="Arial" w:hAnsi="Arial" w:cs="Arial"/>
          <w:b/>
          <w:sz w:val="22"/>
          <w:szCs w:val="22"/>
        </w:rPr>
      </w:pPr>
    </w:p>
    <w:p w14:paraId="0BE4C156" w14:textId="77777777" w:rsidR="00AA5CCE" w:rsidRPr="005045BF" w:rsidRDefault="00AA5CCE" w:rsidP="00AA5CCE">
      <w:pPr>
        <w:rPr>
          <w:rFonts w:ascii="Arial" w:hAnsi="Arial" w:cs="Arial"/>
          <w:color w:val="000000"/>
          <w:sz w:val="22"/>
          <w:szCs w:val="22"/>
        </w:rPr>
      </w:pPr>
      <w:r w:rsidRPr="005045BF">
        <w:rPr>
          <w:rFonts w:ascii="Arial" w:hAnsi="Arial" w:cs="Arial"/>
          <w:color w:val="000000"/>
          <w:sz w:val="22"/>
          <w:szCs w:val="22"/>
        </w:rPr>
        <w:t>El servicio de telefonía está compuesto por:</w:t>
      </w:r>
    </w:p>
    <w:p w14:paraId="61D9B5BD" w14:textId="77777777" w:rsidR="00AA5CCE" w:rsidRPr="005045BF" w:rsidRDefault="00AA5CCE" w:rsidP="00AA5CCE">
      <w:pPr>
        <w:rPr>
          <w:rFonts w:ascii="Arial" w:hAnsi="Arial" w:cs="Arial"/>
          <w:color w:val="000000"/>
          <w:sz w:val="22"/>
          <w:szCs w:val="22"/>
        </w:rPr>
      </w:pPr>
    </w:p>
    <w:p w14:paraId="781E0805" w14:textId="77777777" w:rsidR="00AA5CCE" w:rsidRPr="005045BF" w:rsidRDefault="00AA5CCE" w:rsidP="00303E25">
      <w:pPr>
        <w:pStyle w:val="Prrafodelista"/>
        <w:numPr>
          <w:ilvl w:val="0"/>
          <w:numId w:val="4"/>
        </w:numPr>
        <w:spacing w:after="80"/>
        <w:ind w:left="357" w:hanging="357"/>
        <w:contextualSpacing w:val="0"/>
        <w:rPr>
          <w:rFonts w:ascii="Arial" w:hAnsi="Arial" w:cs="Arial"/>
          <w:color w:val="000000"/>
          <w:sz w:val="22"/>
          <w:szCs w:val="22"/>
        </w:rPr>
      </w:pPr>
      <w:r w:rsidRPr="005045BF">
        <w:rPr>
          <w:rFonts w:ascii="Arial" w:hAnsi="Arial" w:cs="Arial"/>
          <w:color w:val="000000"/>
          <w:sz w:val="22"/>
          <w:szCs w:val="22"/>
        </w:rPr>
        <w:t>Operador Empresa de Telecomunicaciones de Bogotá S.A.: cuenta 4362813C19 teléfono fijo local y larga distancia</w:t>
      </w:r>
    </w:p>
    <w:p w14:paraId="3326AB64" w14:textId="77777777" w:rsidR="00AA5CCE" w:rsidRPr="005045BF" w:rsidRDefault="00AA5CCE" w:rsidP="00303E25">
      <w:pPr>
        <w:pStyle w:val="Prrafodelista"/>
        <w:numPr>
          <w:ilvl w:val="0"/>
          <w:numId w:val="4"/>
        </w:numPr>
        <w:spacing w:after="80"/>
        <w:ind w:left="357" w:hanging="357"/>
        <w:contextualSpacing w:val="0"/>
        <w:rPr>
          <w:rFonts w:ascii="Arial" w:hAnsi="Arial" w:cs="Arial"/>
          <w:color w:val="000000"/>
          <w:sz w:val="22"/>
          <w:szCs w:val="22"/>
        </w:rPr>
      </w:pPr>
      <w:r w:rsidRPr="005045BF">
        <w:rPr>
          <w:rFonts w:ascii="Arial" w:hAnsi="Arial" w:cs="Arial"/>
          <w:color w:val="000000"/>
          <w:sz w:val="22"/>
          <w:szCs w:val="22"/>
        </w:rPr>
        <w:t>Operador Empresa de Telecomunicaciones de Bogotá S.A.: Cuenta 675354527 dos Líneas ADSL con internet.</w:t>
      </w:r>
    </w:p>
    <w:p w14:paraId="6D89F3AB" w14:textId="77777777" w:rsidR="00AA5CCE" w:rsidRPr="005045BF" w:rsidRDefault="00AA5CCE" w:rsidP="00303E25">
      <w:pPr>
        <w:pStyle w:val="Prrafodelista"/>
        <w:numPr>
          <w:ilvl w:val="0"/>
          <w:numId w:val="4"/>
        </w:numPr>
        <w:spacing w:after="80"/>
        <w:ind w:left="357" w:hanging="357"/>
        <w:contextualSpacing w:val="0"/>
        <w:rPr>
          <w:rFonts w:ascii="Arial" w:hAnsi="Arial" w:cs="Arial"/>
          <w:color w:val="000000"/>
          <w:sz w:val="22"/>
          <w:szCs w:val="22"/>
        </w:rPr>
      </w:pPr>
      <w:r w:rsidRPr="005045BF">
        <w:rPr>
          <w:rFonts w:ascii="Arial" w:hAnsi="Arial" w:cs="Arial"/>
          <w:color w:val="000000"/>
          <w:sz w:val="22"/>
          <w:szCs w:val="22"/>
        </w:rPr>
        <w:t xml:space="preserve">Colombia Telecomunicaciones S.A. E.S.P: Línea Nacional 018000 </w:t>
      </w:r>
    </w:p>
    <w:p w14:paraId="6055C6E1" w14:textId="77777777" w:rsidR="00AA5CCE" w:rsidRPr="005045BF" w:rsidRDefault="00AA5CCE" w:rsidP="00303E25">
      <w:pPr>
        <w:pStyle w:val="Prrafodelista"/>
        <w:numPr>
          <w:ilvl w:val="0"/>
          <w:numId w:val="4"/>
        </w:numPr>
        <w:spacing w:after="80"/>
        <w:ind w:left="357" w:hanging="357"/>
        <w:contextualSpacing w:val="0"/>
        <w:rPr>
          <w:rFonts w:ascii="Arial" w:hAnsi="Arial" w:cs="Arial"/>
          <w:color w:val="000000"/>
          <w:sz w:val="22"/>
          <w:szCs w:val="22"/>
        </w:rPr>
      </w:pPr>
      <w:r w:rsidRPr="005045BF">
        <w:rPr>
          <w:rFonts w:ascii="Arial" w:hAnsi="Arial" w:cs="Arial"/>
          <w:color w:val="000000"/>
          <w:sz w:val="22"/>
          <w:szCs w:val="22"/>
        </w:rPr>
        <w:t xml:space="preserve">Colombia Telecomunicaciones S.A. E.S.P: Cuenta Cliente 906709041, plan telefonía PVL25 empresas. </w:t>
      </w:r>
    </w:p>
    <w:p w14:paraId="55BB84F9" w14:textId="400A1780" w:rsidR="00AA5CCE" w:rsidRPr="005045BF" w:rsidRDefault="00AA5CCE" w:rsidP="0045629B">
      <w:pPr>
        <w:pStyle w:val="Prrafodelista"/>
        <w:numPr>
          <w:ilvl w:val="0"/>
          <w:numId w:val="4"/>
        </w:numPr>
        <w:contextualSpacing w:val="0"/>
        <w:rPr>
          <w:rFonts w:ascii="Arial" w:hAnsi="Arial" w:cs="Arial"/>
          <w:color w:val="000000"/>
          <w:sz w:val="22"/>
          <w:szCs w:val="22"/>
        </w:rPr>
      </w:pPr>
      <w:r w:rsidRPr="005045BF">
        <w:rPr>
          <w:rFonts w:ascii="Arial" w:hAnsi="Arial" w:cs="Arial"/>
          <w:color w:val="000000"/>
          <w:sz w:val="22"/>
          <w:szCs w:val="22"/>
        </w:rPr>
        <w:t>UNE EPM</w:t>
      </w:r>
    </w:p>
    <w:p w14:paraId="43D97124" w14:textId="7241699A" w:rsidR="00125716" w:rsidRDefault="00125716" w:rsidP="00125716">
      <w:pPr>
        <w:pStyle w:val="Prrafodelista"/>
        <w:ind w:left="360"/>
        <w:contextualSpacing w:val="0"/>
        <w:rPr>
          <w:rFonts w:ascii="Arial" w:hAnsi="Arial" w:cs="Arial"/>
          <w:color w:val="000000"/>
          <w:sz w:val="22"/>
          <w:szCs w:val="22"/>
        </w:rPr>
      </w:pPr>
    </w:p>
    <w:p w14:paraId="527D3673" w14:textId="77777777" w:rsidR="00303E25" w:rsidRPr="005045BF" w:rsidRDefault="00303E25" w:rsidP="00125716">
      <w:pPr>
        <w:pStyle w:val="Prrafodelista"/>
        <w:ind w:left="360"/>
        <w:contextualSpacing w:val="0"/>
        <w:rPr>
          <w:rFonts w:ascii="Arial" w:hAnsi="Arial" w:cs="Arial"/>
          <w:color w:val="000000"/>
          <w:sz w:val="22"/>
          <w:szCs w:val="22"/>
        </w:rPr>
      </w:pPr>
    </w:p>
    <w:p w14:paraId="2A75C435" w14:textId="3C53A6AE" w:rsidR="00AA5CCE" w:rsidRPr="005045BF" w:rsidRDefault="00AA5CCE" w:rsidP="008C1D98">
      <w:pPr>
        <w:jc w:val="both"/>
        <w:rPr>
          <w:rFonts w:ascii="Arial" w:hAnsi="Arial" w:cs="Arial"/>
          <w:color w:val="000000"/>
          <w:sz w:val="22"/>
          <w:szCs w:val="22"/>
        </w:rPr>
      </w:pPr>
      <w:r w:rsidRPr="005045BF">
        <w:rPr>
          <w:rFonts w:ascii="Arial" w:hAnsi="Arial" w:cs="Arial"/>
          <w:color w:val="000000"/>
          <w:sz w:val="22"/>
          <w:szCs w:val="22"/>
        </w:rPr>
        <w:t xml:space="preserve">A continuación, se especifican los valores facturados para el </w:t>
      </w:r>
      <w:r w:rsidR="00E713F5" w:rsidRPr="005045BF">
        <w:rPr>
          <w:rFonts w:ascii="Arial" w:hAnsi="Arial" w:cs="Arial"/>
          <w:color w:val="000000"/>
          <w:sz w:val="22"/>
          <w:szCs w:val="22"/>
        </w:rPr>
        <w:t xml:space="preserve">primer </w:t>
      </w:r>
      <w:r w:rsidR="00C06089" w:rsidRPr="005045BF">
        <w:rPr>
          <w:rFonts w:ascii="Arial" w:hAnsi="Arial" w:cs="Arial"/>
          <w:color w:val="000000"/>
          <w:sz w:val="22"/>
          <w:szCs w:val="22"/>
        </w:rPr>
        <w:t>t</w:t>
      </w:r>
      <w:r w:rsidR="007E3F3A" w:rsidRPr="005045BF">
        <w:rPr>
          <w:rFonts w:ascii="Arial" w:hAnsi="Arial" w:cs="Arial"/>
          <w:color w:val="000000"/>
          <w:sz w:val="22"/>
          <w:szCs w:val="22"/>
        </w:rPr>
        <w:t>rimestre d</w:t>
      </w:r>
      <w:r w:rsidRPr="005045BF">
        <w:rPr>
          <w:rFonts w:ascii="Arial" w:hAnsi="Arial" w:cs="Arial"/>
          <w:color w:val="000000"/>
          <w:sz w:val="22"/>
          <w:szCs w:val="22"/>
        </w:rPr>
        <w:t>e 20</w:t>
      </w:r>
      <w:r w:rsidR="00E713F5" w:rsidRPr="005045BF">
        <w:rPr>
          <w:rFonts w:ascii="Arial" w:hAnsi="Arial" w:cs="Arial"/>
          <w:color w:val="000000"/>
          <w:sz w:val="22"/>
          <w:szCs w:val="22"/>
        </w:rPr>
        <w:t>20</w:t>
      </w:r>
      <w:r w:rsidRPr="005045BF">
        <w:rPr>
          <w:rFonts w:ascii="Arial" w:hAnsi="Arial" w:cs="Arial"/>
          <w:color w:val="000000"/>
          <w:sz w:val="22"/>
          <w:szCs w:val="22"/>
        </w:rPr>
        <w:t xml:space="preserve"> en comparación con igual periodo en el año inmediatamente anterior</w:t>
      </w:r>
      <w:r w:rsidR="00E713F5" w:rsidRPr="005045BF">
        <w:rPr>
          <w:rFonts w:ascii="Arial" w:hAnsi="Arial" w:cs="Arial"/>
          <w:color w:val="000000"/>
          <w:sz w:val="22"/>
          <w:szCs w:val="22"/>
        </w:rPr>
        <w:t>, tomando como base las obligaciones registradas en el SIIF</w:t>
      </w:r>
      <w:r w:rsidR="00B96313" w:rsidRPr="005045BF">
        <w:rPr>
          <w:rFonts w:ascii="Arial" w:hAnsi="Arial" w:cs="Arial"/>
          <w:color w:val="000000"/>
          <w:sz w:val="22"/>
          <w:szCs w:val="22"/>
        </w:rPr>
        <w:t xml:space="preserve"> para los periodos analizados:</w:t>
      </w:r>
    </w:p>
    <w:p w14:paraId="02F4E818" w14:textId="77777777" w:rsidR="00DC3486" w:rsidRPr="005045BF" w:rsidRDefault="00DC3486" w:rsidP="00303E25">
      <w:pPr>
        <w:spacing w:line="168" w:lineRule="auto"/>
        <w:jc w:val="both"/>
        <w:rPr>
          <w:rFonts w:ascii="Arial" w:hAnsi="Arial" w:cs="Arial"/>
          <w:color w:val="000000"/>
          <w:sz w:val="22"/>
          <w:szCs w:val="22"/>
          <w:highlight w:val="yellow"/>
        </w:rPr>
      </w:pPr>
    </w:p>
    <w:tbl>
      <w:tblPr>
        <w:tblStyle w:val="Tablaconcuadrcula1clara-nfasis1"/>
        <w:tblW w:w="0" w:type="auto"/>
        <w:jc w:val="center"/>
        <w:tblLayout w:type="fixed"/>
        <w:tblLook w:val="04A0" w:firstRow="1" w:lastRow="0" w:firstColumn="1" w:lastColumn="0" w:noHBand="0" w:noVBand="1"/>
      </w:tblPr>
      <w:tblGrid>
        <w:gridCol w:w="2040"/>
        <w:gridCol w:w="1683"/>
        <w:gridCol w:w="1375"/>
        <w:gridCol w:w="1701"/>
        <w:gridCol w:w="1418"/>
        <w:gridCol w:w="1283"/>
      </w:tblGrid>
      <w:tr w:rsidR="003838D4" w:rsidRPr="005045BF" w14:paraId="447B03B2" w14:textId="77777777" w:rsidTr="00303E25">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shd w:val="clear" w:color="auto" w:fill="4F81BD" w:themeFill="accent1"/>
            <w:vAlign w:val="center"/>
            <w:hideMark/>
          </w:tcPr>
          <w:p w14:paraId="08789519" w14:textId="77777777" w:rsidR="001678A0" w:rsidRPr="005045BF" w:rsidRDefault="001678A0" w:rsidP="003B3CDF">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Empresa </w:t>
            </w:r>
          </w:p>
        </w:tc>
        <w:tc>
          <w:tcPr>
            <w:tcW w:w="1683" w:type="dxa"/>
            <w:vMerge w:val="restart"/>
            <w:shd w:val="clear" w:color="auto" w:fill="4F81BD" w:themeFill="accent1"/>
            <w:vAlign w:val="center"/>
            <w:hideMark/>
          </w:tcPr>
          <w:p w14:paraId="14FC924A" w14:textId="77777777" w:rsidR="001678A0" w:rsidRPr="005045BF"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Concepto </w:t>
            </w:r>
          </w:p>
        </w:tc>
        <w:tc>
          <w:tcPr>
            <w:tcW w:w="1375" w:type="dxa"/>
            <w:vMerge w:val="restart"/>
            <w:shd w:val="clear" w:color="auto" w:fill="4F81BD" w:themeFill="accent1"/>
            <w:vAlign w:val="center"/>
            <w:hideMark/>
          </w:tcPr>
          <w:p w14:paraId="3884DFD0" w14:textId="21222BF0" w:rsidR="001678A0" w:rsidRPr="005045BF" w:rsidRDefault="00E954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I</w:t>
            </w:r>
            <w:r w:rsidR="001678A0" w:rsidRPr="005045BF">
              <w:rPr>
                <w:rFonts w:ascii="Arial" w:hAnsi="Arial" w:cs="Arial"/>
                <w:color w:val="FFFFFF" w:themeColor="background1"/>
                <w:sz w:val="20"/>
                <w:szCs w:val="20"/>
              </w:rPr>
              <w:t xml:space="preserve"> Trimestre 20</w:t>
            </w:r>
            <w:r w:rsidR="00B67C4F" w:rsidRPr="005045BF">
              <w:rPr>
                <w:rFonts w:ascii="Arial" w:hAnsi="Arial" w:cs="Arial"/>
                <w:color w:val="FFFFFF" w:themeColor="background1"/>
                <w:sz w:val="20"/>
                <w:szCs w:val="20"/>
              </w:rPr>
              <w:t>20</w:t>
            </w:r>
            <w:r w:rsidR="001678A0" w:rsidRPr="005045BF">
              <w:rPr>
                <w:rFonts w:ascii="Arial" w:hAnsi="Arial" w:cs="Arial"/>
                <w:color w:val="FFFFFF" w:themeColor="background1"/>
                <w:sz w:val="20"/>
                <w:szCs w:val="20"/>
              </w:rPr>
              <w:t xml:space="preserve"> </w:t>
            </w:r>
            <w:r w:rsidR="00303E25">
              <w:rPr>
                <w:rFonts w:ascii="Arial" w:hAnsi="Arial" w:cs="Arial"/>
                <w:color w:val="FFFFFF" w:themeColor="background1"/>
                <w:sz w:val="20"/>
                <w:szCs w:val="20"/>
              </w:rPr>
              <w:t>($)</w:t>
            </w:r>
          </w:p>
        </w:tc>
        <w:tc>
          <w:tcPr>
            <w:tcW w:w="1701" w:type="dxa"/>
            <w:vMerge w:val="restart"/>
            <w:shd w:val="clear" w:color="auto" w:fill="4F81BD" w:themeFill="accent1"/>
            <w:vAlign w:val="center"/>
            <w:hideMark/>
          </w:tcPr>
          <w:p w14:paraId="5C8B0F55" w14:textId="53D9F8E4" w:rsidR="001678A0" w:rsidRPr="005045BF"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w:t>
            </w:r>
            <w:r w:rsidR="00E954A0" w:rsidRPr="005045BF">
              <w:rPr>
                <w:rFonts w:ascii="Arial" w:hAnsi="Arial" w:cs="Arial"/>
                <w:color w:val="FFFFFF" w:themeColor="background1"/>
                <w:sz w:val="20"/>
                <w:szCs w:val="20"/>
              </w:rPr>
              <w:t>I</w:t>
            </w:r>
            <w:r w:rsidR="00125716"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201</w:t>
            </w:r>
            <w:r w:rsidR="00B67C4F" w:rsidRPr="005045BF">
              <w:rPr>
                <w:rFonts w:ascii="Arial" w:hAnsi="Arial" w:cs="Arial"/>
                <w:color w:val="FFFFFF" w:themeColor="background1"/>
                <w:sz w:val="20"/>
                <w:szCs w:val="20"/>
              </w:rPr>
              <w:t>9</w:t>
            </w:r>
            <w:r w:rsidRPr="005045BF">
              <w:rPr>
                <w:rFonts w:ascii="Arial" w:hAnsi="Arial" w:cs="Arial"/>
                <w:color w:val="FFFFFF" w:themeColor="background1"/>
                <w:sz w:val="20"/>
                <w:szCs w:val="20"/>
              </w:rPr>
              <w:t xml:space="preserve"> </w:t>
            </w:r>
            <w:r w:rsidR="00303E25">
              <w:rPr>
                <w:rFonts w:ascii="Arial" w:hAnsi="Arial" w:cs="Arial"/>
                <w:color w:val="FFFFFF" w:themeColor="background1"/>
                <w:sz w:val="20"/>
                <w:szCs w:val="20"/>
              </w:rPr>
              <w:t>($)</w:t>
            </w:r>
          </w:p>
        </w:tc>
        <w:tc>
          <w:tcPr>
            <w:tcW w:w="2701" w:type="dxa"/>
            <w:gridSpan w:val="2"/>
            <w:shd w:val="clear" w:color="auto" w:fill="4F81BD" w:themeFill="accent1"/>
            <w:vAlign w:val="center"/>
            <w:hideMark/>
          </w:tcPr>
          <w:p w14:paraId="5DD80D17" w14:textId="7911B4F7" w:rsidR="001678A0" w:rsidRPr="005045BF" w:rsidRDefault="001678A0" w:rsidP="003B3CDF">
            <w:pPr>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 Variaciones </w:t>
            </w:r>
            <w:r w:rsidR="00E954A0" w:rsidRPr="005045BF">
              <w:rPr>
                <w:rFonts w:ascii="Arial" w:hAnsi="Arial" w:cs="Arial"/>
                <w:color w:val="FFFFFF" w:themeColor="background1"/>
                <w:sz w:val="20"/>
                <w:szCs w:val="20"/>
              </w:rPr>
              <w:t>I</w:t>
            </w:r>
            <w:r w:rsidR="00125716"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20</w:t>
            </w:r>
            <w:r w:rsidR="00B67C4F" w:rsidRPr="005045BF">
              <w:rPr>
                <w:rFonts w:ascii="Arial" w:hAnsi="Arial" w:cs="Arial"/>
                <w:color w:val="FFFFFF" w:themeColor="background1"/>
                <w:sz w:val="20"/>
                <w:szCs w:val="20"/>
              </w:rPr>
              <w:t>20</w:t>
            </w:r>
            <w:r w:rsidRPr="005045BF">
              <w:rPr>
                <w:rFonts w:ascii="Arial" w:hAnsi="Arial" w:cs="Arial"/>
                <w:color w:val="FFFFFF" w:themeColor="background1"/>
                <w:sz w:val="20"/>
                <w:szCs w:val="20"/>
              </w:rPr>
              <w:t>-201</w:t>
            </w:r>
            <w:r w:rsidR="00B67C4F" w:rsidRPr="005045BF">
              <w:rPr>
                <w:rFonts w:ascii="Arial" w:hAnsi="Arial" w:cs="Arial"/>
                <w:color w:val="FFFFFF" w:themeColor="background1"/>
                <w:sz w:val="20"/>
                <w:szCs w:val="20"/>
              </w:rPr>
              <w:t>9</w:t>
            </w:r>
          </w:p>
        </w:tc>
      </w:tr>
      <w:tr w:rsidR="003838D4" w:rsidRPr="005045BF" w14:paraId="2C6E45CA"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shd w:val="clear" w:color="auto" w:fill="4F81BD" w:themeFill="accent1"/>
            <w:vAlign w:val="center"/>
            <w:hideMark/>
          </w:tcPr>
          <w:p w14:paraId="3E49A36C" w14:textId="77777777" w:rsidR="001678A0" w:rsidRPr="005045BF" w:rsidRDefault="001678A0" w:rsidP="003B3CDF">
            <w:pPr>
              <w:spacing w:before="60" w:after="60"/>
              <w:rPr>
                <w:rFonts w:ascii="Arial" w:hAnsi="Arial" w:cs="Arial"/>
                <w:color w:val="FFFFFF" w:themeColor="background1"/>
                <w:sz w:val="20"/>
                <w:szCs w:val="20"/>
              </w:rPr>
            </w:pPr>
          </w:p>
        </w:tc>
        <w:tc>
          <w:tcPr>
            <w:tcW w:w="1683" w:type="dxa"/>
            <w:vMerge/>
            <w:shd w:val="clear" w:color="auto" w:fill="4F81BD" w:themeFill="accent1"/>
            <w:vAlign w:val="center"/>
            <w:hideMark/>
          </w:tcPr>
          <w:p w14:paraId="2A0F4552" w14:textId="77777777" w:rsidR="001678A0" w:rsidRPr="005045BF"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375" w:type="dxa"/>
            <w:vMerge/>
            <w:shd w:val="clear" w:color="auto" w:fill="4F81BD" w:themeFill="accent1"/>
            <w:vAlign w:val="center"/>
            <w:hideMark/>
          </w:tcPr>
          <w:p w14:paraId="26E32186" w14:textId="77777777" w:rsidR="001678A0" w:rsidRPr="005045BF"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701" w:type="dxa"/>
            <w:vMerge/>
            <w:shd w:val="clear" w:color="auto" w:fill="4F81BD" w:themeFill="accent1"/>
            <w:vAlign w:val="center"/>
            <w:hideMark/>
          </w:tcPr>
          <w:p w14:paraId="7289D723" w14:textId="77777777" w:rsidR="001678A0" w:rsidRPr="005045BF" w:rsidRDefault="001678A0" w:rsidP="003B3CDF">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p>
        </w:tc>
        <w:tc>
          <w:tcPr>
            <w:tcW w:w="1418" w:type="dxa"/>
            <w:shd w:val="clear" w:color="auto" w:fill="4F81BD" w:themeFill="accent1"/>
            <w:vAlign w:val="center"/>
            <w:hideMark/>
          </w:tcPr>
          <w:p w14:paraId="2D0F422B" w14:textId="77777777" w:rsidR="001678A0" w:rsidRPr="005045BF"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 </w:t>
            </w:r>
          </w:p>
        </w:tc>
        <w:tc>
          <w:tcPr>
            <w:tcW w:w="1283" w:type="dxa"/>
            <w:shd w:val="clear" w:color="auto" w:fill="4F81BD" w:themeFill="accent1"/>
            <w:vAlign w:val="center"/>
            <w:hideMark/>
          </w:tcPr>
          <w:p w14:paraId="3D6A2731" w14:textId="77777777" w:rsidR="001678A0" w:rsidRPr="005045BF" w:rsidRDefault="001678A0" w:rsidP="003B3CDF">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shd w:val="clear" w:color="auto" w:fill="4F81BD" w:themeFill="accent1"/>
              </w:rPr>
              <w:t xml:space="preserve"> </w:t>
            </w:r>
            <w:r w:rsidRPr="005045BF">
              <w:rPr>
                <w:rFonts w:ascii="Arial" w:hAnsi="Arial" w:cs="Arial"/>
                <w:b/>
                <w:bCs/>
                <w:color w:val="FFFFFF" w:themeColor="background1"/>
                <w:sz w:val="20"/>
                <w:szCs w:val="20"/>
              </w:rPr>
              <w:t xml:space="preserve">% </w:t>
            </w:r>
          </w:p>
        </w:tc>
      </w:tr>
      <w:tr w:rsidR="00B3654B" w:rsidRPr="005045BF" w14:paraId="35E75D50"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1D7818B2" w14:textId="21FD7EB8" w:rsidR="00B3654B" w:rsidRPr="005045BF" w:rsidRDefault="00B3654B" w:rsidP="00B3654B">
            <w:pPr>
              <w:spacing w:before="60" w:after="6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Empresa de Telecomunicaciones de Bogotá S.A (ETB)</w:t>
            </w:r>
          </w:p>
        </w:tc>
        <w:tc>
          <w:tcPr>
            <w:tcW w:w="1683" w:type="dxa"/>
            <w:vAlign w:val="center"/>
            <w:hideMark/>
          </w:tcPr>
          <w:p w14:paraId="235834FD" w14:textId="77777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Teléfono Fijo y Larga Distancia </w:t>
            </w:r>
          </w:p>
        </w:tc>
        <w:tc>
          <w:tcPr>
            <w:tcW w:w="1375" w:type="dxa"/>
            <w:vAlign w:val="center"/>
          </w:tcPr>
          <w:p w14:paraId="09F59CF7" w14:textId="0B3C9931"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18.582.580</w:t>
            </w:r>
          </w:p>
        </w:tc>
        <w:tc>
          <w:tcPr>
            <w:tcW w:w="1701" w:type="dxa"/>
            <w:vAlign w:val="center"/>
          </w:tcPr>
          <w:p w14:paraId="2E93550C" w14:textId="2ECDA22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18.586.480</w:t>
            </w:r>
          </w:p>
        </w:tc>
        <w:tc>
          <w:tcPr>
            <w:tcW w:w="1418" w:type="dxa"/>
            <w:vAlign w:val="center"/>
          </w:tcPr>
          <w:p w14:paraId="6532725E" w14:textId="21D2723C"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-3.900</w:t>
            </w:r>
          </w:p>
        </w:tc>
        <w:tc>
          <w:tcPr>
            <w:tcW w:w="1283" w:type="dxa"/>
            <w:vAlign w:val="center"/>
          </w:tcPr>
          <w:p w14:paraId="5B5A6527" w14:textId="217526E4"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-0,02%</w:t>
            </w:r>
          </w:p>
        </w:tc>
      </w:tr>
      <w:tr w:rsidR="00B3654B" w:rsidRPr="005045BF" w14:paraId="37D1946B"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07F39F3B" w14:textId="77777777" w:rsidR="00B3654B" w:rsidRPr="005045BF" w:rsidRDefault="00B3654B" w:rsidP="00B3654B">
            <w:pPr>
              <w:spacing w:before="60" w:after="60"/>
              <w:jc w:val="center"/>
              <w:rPr>
                <w:rFonts w:ascii="Arial" w:hAnsi="Arial" w:cs="Arial"/>
                <w:b w:val="0"/>
                <w:color w:val="0F243E" w:themeColor="text2" w:themeShade="80"/>
                <w:sz w:val="20"/>
                <w:szCs w:val="20"/>
              </w:rPr>
            </w:pPr>
          </w:p>
        </w:tc>
        <w:tc>
          <w:tcPr>
            <w:tcW w:w="1683" w:type="dxa"/>
            <w:vAlign w:val="center"/>
            <w:hideMark/>
          </w:tcPr>
          <w:p w14:paraId="283053C1" w14:textId="77777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Líneas ADSL </w:t>
            </w:r>
          </w:p>
        </w:tc>
        <w:tc>
          <w:tcPr>
            <w:tcW w:w="1375" w:type="dxa"/>
            <w:vAlign w:val="center"/>
          </w:tcPr>
          <w:p w14:paraId="6109EB3A" w14:textId="2661AA0F"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811.650</w:t>
            </w:r>
          </w:p>
        </w:tc>
        <w:tc>
          <w:tcPr>
            <w:tcW w:w="1701" w:type="dxa"/>
            <w:vAlign w:val="center"/>
          </w:tcPr>
          <w:p w14:paraId="54920149" w14:textId="0BC5C1E4"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770.790</w:t>
            </w:r>
          </w:p>
        </w:tc>
        <w:tc>
          <w:tcPr>
            <w:tcW w:w="1418" w:type="dxa"/>
            <w:vAlign w:val="center"/>
          </w:tcPr>
          <w:p w14:paraId="004838F9" w14:textId="3CAC0366"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40.860</w:t>
            </w:r>
          </w:p>
        </w:tc>
        <w:tc>
          <w:tcPr>
            <w:tcW w:w="1283" w:type="dxa"/>
            <w:vAlign w:val="center"/>
          </w:tcPr>
          <w:p w14:paraId="6DBE47B3" w14:textId="2E0B230B"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5%</w:t>
            </w:r>
          </w:p>
        </w:tc>
      </w:tr>
      <w:tr w:rsidR="00B3654B" w:rsidRPr="005045BF" w14:paraId="2242ACB7"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restart"/>
            <w:vAlign w:val="center"/>
            <w:hideMark/>
          </w:tcPr>
          <w:p w14:paraId="7E378E6E" w14:textId="77777777" w:rsidR="00B3654B" w:rsidRPr="005045BF" w:rsidRDefault="00B3654B" w:rsidP="00B3654B">
            <w:pPr>
              <w:spacing w:before="60" w:after="6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Colombia Telecomuniciones S.A. E.S.P.</w:t>
            </w:r>
          </w:p>
        </w:tc>
        <w:tc>
          <w:tcPr>
            <w:tcW w:w="1683" w:type="dxa"/>
            <w:vAlign w:val="center"/>
            <w:hideMark/>
          </w:tcPr>
          <w:p w14:paraId="34600FB1" w14:textId="77777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Plan Telefonía PVL25 </w:t>
            </w:r>
          </w:p>
        </w:tc>
        <w:tc>
          <w:tcPr>
            <w:tcW w:w="1375" w:type="dxa"/>
            <w:vAlign w:val="center"/>
          </w:tcPr>
          <w:p w14:paraId="6446CB58" w14:textId="7C4C1F4E"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6.074.487</w:t>
            </w:r>
          </w:p>
        </w:tc>
        <w:tc>
          <w:tcPr>
            <w:tcW w:w="1701" w:type="dxa"/>
            <w:vAlign w:val="center"/>
          </w:tcPr>
          <w:p w14:paraId="0AF3EB34" w14:textId="0F59EA0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5.604.165</w:t>
            </w:r>
          </w:p>
        </w:tc>
        <w:tc>
          <w:tcPr>
            <w:tcW w:w="1418" w:type="dxa"/>
            <w:vAlign w:val="center"/>
          </w:tcPr>
          <w:p w14:paraId="4A92E383" w14:textId="0773B73C"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470.322</w:t>
            </w:r>
          </w:p>
        </w:tc>
        <w:tc>
          <w:tcPr>
            <w:tcW w:w="1283" w:type="dxa"/>
            <w:vAlign w:val="center"/>
          </w:tcPr>
          <w:p w14:paraId="002EE638" w14:textId="7D491E1C"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8%</w:t>
            </w:r>
          </w:p>
        </w:tc>
      </w:tr>
      <w:tr w:rsidR="00B3654B" w:rsidRPr="005045BF" w14:paraId="1288C01E"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Merge/>
            <w:vAlign w:val="center"/>
            <w:hideMark/>
          </w:tcPr>
          <w:p w14:paraId="72E8AF10" w14:textId="77777777" w:rsidR="00B3654B" w:rsidRPr="005045BF" w:rsidRDefault="00B3654B" w:rsidP="00B3654B">
            <w:pPr>
              <w:spacing w:before="60" w:after="60"/>
              <w:jc w:val="center"/>
              <w:rPr>
                <w:rFonts w:ascii="Arial" w:hAnsi="Arial" w:cs="Arial"/>
                <w:b w:val="0"/>
                <w:color w:val="0F243E" w:themeColor="text2" w:themeShade="80"/>
                <w:sz w:val="20"/>
                <w:szCs w:val="20"/>
              </w:rPr>
            </w:pPr>
          </w:p>
        </w:tc>
        <w:tc>
          <w:tcPr>
            <w:tcW w:w="1683" w:type="dxa"/>
            <w:vAlign w:val="center"/>
            <w:hideMark/>
          </w:tcPr>
          <w:p w14:paraId="6390E515" w14:textId="77777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Línea 01800 </w:t>
            </w:r>
          </w:p>
        </w:tc>
        <w:tc>
          <w:tcPr>
            <w:tcW w:w="1375" w:type="dxa"/>
            <w:vAlign w:val="center"/>
          </w:tcPr>
          <w:p w14:paraId="48B1429A" w14:textId="7915038A"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6.639.170</w:t>
            </w:r>
          </w:p>
        </w:tc>
        <w:tc>
          <w:tcPr>
            <w:tcW w:w="1701" w:type="dxa"/>
            <w:vAlign w:val="center"/>
          </w:tcPr>
          <w:p w14:paraId="5354DDF8" w14:textId="3635D093"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7.200.042</w:t>
            </w:r>
          </w:p>
        </w:tc>
        <w:tc>
          <w:tcPr>
            <w:tcW w:w="1418" w:type="dxa"/>
            <w:vAlign w:val="center"/>
          </w:tcPr>
          <w:p w14:paraId="79D44CA1" w14:textId="498F729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-560.872</w:t>
            </w:r>
          </w:p>
        </w:tc>
        <w:tc>
          <w:tcPr>
            <w:tcW w:w="1283" w:type="dxa"/>
            <w:vAlign w:val="center"/>
          </w:tcPr>
          <w:p w14:paraId="608CBF03" w14:textId="1F2BE6DF"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-8%</w:t>
            </w:r>
          </w:p>
        </w:tc>
      </w:tr>
      <w:tr w:rsidR="00B3654B" w:rsidRPr="005045BF" w14:paraId="65F15F5C"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2040" w:type="dxa"/>
            <w:vAlign w:val="center"/>
            <w:hideMark/>
          </w:tcPr>
          <w:p w14:paraId="233EF333" w14:textId="77777777" w:rsidR="00B3654B" w:rsidRPr="005045BF" w:rsidRDefault="00B3654B" w:rsidP="00B3654B">
            <w:pPr>
              <w:spacing w:before="60" w:after="60"/>
              <w:jc w:val="center"/>
              <w:rPr>
                <w:rFonts w:ascii="Arial" w:hAnsi="Arial" w:cs="Arial"/>
                <w:b w:val="0"/>
                <w:color w:val="0F243E" w:themeColor="text2" w:themeShade="80"/>
                <w:sz w:val="20"/>
                <w:szCs w:val="20"/>
              </w:rPr>
            </w:pPr>
            <w:r w:rsidRPr="005045BF">
              <w:rPr>
                <w:rFonts w:ascii="Arial" w:hAnsi="Arial" w:cs="Arial"/>
                <w:b w:val="0"/>
                <w:color w:val="0F243E" w:themeColor="text2" w:themeShade="80"/>
                <w:sz w:val="20"/>
                <w:szCs w:val="20"/>
              </w:rPr>
              <w:t>UNE</w:t>
            </w:r>
          </w:p>
        </w:tc>
        <w:tc>
          <w:tcPr>
            <w:tcW w:w="1683" w:type="dxa"/>
            <w:vAlign w:val="center"/>
            <w:hideMark/>
          </w:tcPr>
          <w:p w14:paraId="4104BD20" w14:textId="77777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Contrato 1000395708 </w:t>
            </w:r>
          </w:p>
        </w:tc>
        <w:tc>
          <w:tcPr>
            <w:tcW w:w="1375" w:type="dxa"/>
            <w:vAlign w:val="center"/>
          </w:tcPr>
          <w:p w14:paraId="6DD8470B" w14:textId="7244AE95"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1.702.677</w:t>
            </w:r>
          </w:p>
        </w:tc>
        <w:tc>
          <w:tcPr>
            <w:tcW w:w="1701" w:type="dxa"/>
            <w:vAlign w:val="center"/>
          </w:tcPr>
          <w:p w14:paraId="1D2A69B5" w14:textId="4FEA8576"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1.629.447</w:t>
            </w:r>
          </w:p>
        </w:tc>
        <w:tc>
          <w:tcPr>
            <w:tcW w:w="1418" w:type="dxa"/>
            <w:vAlign w:val="center"/>
          </w:tcPr>
          <w:p w14:paraId="7F261034" w14:textId="730ED91B"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73.230</w:t>
            </w:r>
          </w:p>
        </w:tc>
        <w:tc>
          <w:tcPr>
            <w:tcW w:w="1283" w:type="dxa"/>
            <w:vAlign w:val="center"/>
          </w:tcPr>
          <w:p w14:paraId="724897B8" w14:textId="1BABC777"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sz w:val="20"/>
                <w:szCs w:val="20"/>
              </w:rPr>
              <w:t>4%</w:t>
            </w:r>
          </w:p>
        </w:tc>
      </w:tr>
      <w:tr w:rsidR="00B3654B" w:rsidRPr="005045BF" w14:paraId="19284C75" w14:textId="77777777" w:rsidTr="00303E25">
        <w:trPr>
          <w:cantSplit/>
          <w:jc w:val="center"/>
        </w:trPr>
        <w:tc>
          <w:tcPr>
            <w:cnfStyle w:val="001000000000" w:firstRow="0" w:lastRow="0" w:firstColumn="1" w:lastColumn="0" w:oddVBand="0" w:evenVBand="0" w:oddHBand="0" w:evenHBand="0" w:firstRowFirstColumn="0" w:firstRowLastColumn="0" w:lastRowFirstColumn="0" w:lastRowLastColumn="0"/>
            <w:tcW w:w="3723" w:type="dxa"/>
            <w:gridSpan w:val="2"/>
            <w:shd w:val="clear" w:color="auto" w:fill="4F81BD" w:themeFill="accent1"/>
            <w:vAlign w:val="center"/>
            <w:hideMark/>
          </w:tcPr>
          <w:p w14:paraId="77E42D73" w14:textId="3FB18009" w:rsidR="00B3654B" w:rsidRPr="005045BF" w:rsidRDefault="00B3654B" w:rsidP="00B3654B">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 IV Trimestre 2020-2019</w:t>
            </w:r>
          </w:p>
        </w:tc>
        <w:tc>
          <w:tcPr>
            <w:tcW w:w="1375" w:type="dxa"/>
            <w:shd w:val="clear" w:color="auto" w:fill="4F81BD" w:themeFill="accent1"/>
            <w:vAlign w:val="center"/>
          </w:tcPr>
          <w:p w14:paraId="07B09D9A" w14:textId="4E6D9276"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33.810.564</w:t>
            </w:r>
          </w:p>
        </w:tc>
        <w:tc>
          <w:tcPr>
            <w:tcW w:w="1701" w:type="dxa"/>
            <w:shd w:val="clear" w:color="auto" w:fill="4F81BD" w:themeFill="accent1"/>
            <w:vAlign w:val="center"/>
          </w:tcPr>
          <w:p w14:paraId="1D9AC423" w14:textId="5C988E36"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33.790.924</w:t>
            </w:r>
          </w:p>
        </w:tc>
        <w:tc>
          <w:tcPr>
            <w:tcW w:w="1418" w:type="dxa"/>
            <w:shd w:val="clear" w:color="auto" w:fill="4F81BD" w:themeFill="accent1"/>
            <w:vAlign w:val="center"/>
          </w:tcPr>
          <w:p w14:paraId="5563261D" w14:textId="6394832F"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19.640</w:t>
            </w:r>
          </w:p>
        </w:tc>
        <w:tc>
          <w:tcPr>
            <w:tcW w:w="1283" w:type="dxa"/>
            <w:shd w:val="clear" w:color="auto" w:fill="4F81BD" w:themeFill="accent1"/>
            <w:vAlign w:val="center"/>
          </w:tcPr>
          <w:p w14:paraId="57BA179A" w14:textId="53798C8C" w:rsidR="00B3654B" w:rsidRPr="005045BF" w:rsidRDefault="00B3654B" w:rsidP="00B3654B">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sz w:val="20"/>
                <w:szCs w:val="20"/>
              </w:rPr>
            </w:pPr>
            <w:r w:rsidRPr="005045BF">
              <w:rPr>
                <w:rFonts w:ascii="Arial" w:hAnsi="Arial" w:cs="Arial"/>
                <w:b/>
                <w:bCs/>
                <w:color w:val="FFFFFF"/>
                <w:sz w:val="20"/>
                <w:szCs w:val="20"/>
              </w:rPr>
              <w:t>0,06%</w:t>
            </w:r>
          </w:p>
        </w:tc>
      </w:tr>
    </w:tbl>
    <w:p w14:paraId="0458DEB7" w14:textId="352FEE67" w:rsidR="003B3CDF" w:rsidRPr="005045BF" w:rsidRDefault="001678A0" w:rsidP="00B57B24">
      <w:pPr>
        <w:jc w:val="both"/>
        <w:rPr>
          <w:rFonts w:ascii="Arial" w:hAnsi="Arial" w:cs="Arial"/>
          <w:bCs/>
          <w:sz w:val="22"/>
          <w:szCs w:val="22"/>
        </w:rPr>
      </w:pPr>
      <w:r w:rsidRPr="005045BF">
        <w:rPr>
          <w:rFonts w:ascii="Arial" w:hAnsi="Arial" w:cs="Arial"/>
          <w:sz w:val="22"/>
          <w:szCs w:val="22"/>
        </w:rPr>
        <w:lastRenderedPageBreak/>
        <w:t>P</w:t>
      </w:r>
      <w:r w:rsidR="00AA5CCE" w:rsidRPr="005045BF">
        <w:rPr>
          <w:rFonts w:ascii="Arial" w:hAnsi="Arial" w:cs="Arial"/>
          <w:sz w:val="22"/>
          <w:szCs w:val="22"/>
        </w:rPr>
        <w:t>ara este concepto, se observó que los valores facturados por el servicio de telefonía</w:t>
      </w:r>
      <w:r w:rsidR="007B0044" w:rsidRPr="005045BF">
        <w:rPr>
          <w:rFonts w:ascii="Arial" w:hAnsi="Arial" w:cs="Arial"/>
          <w:sz w:val="22"/>
          <w:szCs w:val="22"/>
        </w:rPr>
        <w:t xml:space="preserve"> </w:t>
      </w:r>
      <w:r w:rsidR="004B589B" w:rsidRPr="005045BF">
        <w:rPr>
          <w:rFonts w:ascii="Arial" w:hAnsi="Arial" w:cs="Arial"/>
          <w:sz w:val="22"/>
          <w:szCs w:val="22"/>
        </w:rPr>
        <w:t>fija durante</w:t>
      </w:r>
      <w:r w:rsidR="00AA5CCE" w:rsidRPr="005045BF">
        <w:rPr>
          <w:rFonts w:ascii="Arial" w:hAnsi="Arial" w:cs="Arial"/>
          <w:sz w:val="22"/>
          <w:szCs w:val="22"/>
        </w:rPr>
        <w:t xml:space="preserve"> el </w:t>
      </w:r>
      <w:r w:rsidR="00E713F5" w:rsidRPr="005045BF">
        <w:rPr>
          <w:rFonts w:ascii="Arial" w:hAnsi="Arial" w:cs="Arial"/>
          <w:sz w:val="22"/>
          <w:szCs w:val="22"/>
        </w:rPr>
        <w:t xml:space="preserve">primer </w:t>
      </w:r>
      <w:r w:rsidR="00AA5CCE" w:rsidRPr="005045BF">
        <w:rPr>
          <w:rFonts w:ascii="Arial" w:hAnsi="Arial" w:cs="Arial"/>
          <w:sz w:val="22"/>
          <w:szCs w:val="22"/>
        </w:rPr>
        <w:t>trimestre de 20</w:t>
      </w:r>
      <w:r w:rsidR="00E713F5" w:rsidRPr="005045BF">
        <w:rPr>
          <w:rFonts w:ascii="Arial" w:hAnsi="Arial" w:cs="Arial"/>
          <w:sz w:val="22"/>
          <w:szCs w:val="22"/>
        </w:rPr>
        <w:t>20</w:t>
      </w:r>
      <w:r w:rsidR="00AA5CCE" w:rsidRPr="005045BF">
        <w:rPr>
          <w:rFonts w:ascii="Arial" w:hAnsi="Arial" w:cs="Arial"/>
          <w:sz w:val="22"/>
          <w:szCs w:val="22"/>
        </w:rPr>
        <w:t>, comparado con el mismo periodo del año 201</w:t>
      </w:r>
      <w:r w:rsidR="00E713F5" w:rsidRPr="005045BF">
        <w:rPr>
          <w:rFonts w:ascii="Arial" w:hAnsi="Arial" w:cs="Arial"/>
          <w:sz w:val="22"/>
          <w:szCs w:val="22"/>
        </w:rPr>
        <w:t>9</w:t>
      </w:r>
      <w:r w:rsidR="00AA5CCE" w:rsidRPr="005045BF">
        <w:rPr>
          <w:rFonts w:ascii="Arial" w:hAnsi="Arial" w:cs="Arial"/>
          <w:sz w:val="22"/>
          <w:szCs w:val="22"/>
        </w:rPr>
        <w:t>,</w:t>
      </w:r>
      <w:r w:rsidR="008B0EB2" w:rsidRPr="005045BF">
        <w:rPr>
          <w:rFonts w:ascii="Arial" w:hAnsi="Arial" w:cs="Arial"/>
          <w:sz w:val="22"/>
          <w:szCs w:val="22"/>
        </w:rPr>
        <w:t xml:space="preserve"> presentaron una tendencia estable, representando un </w:t>
      </w:r>
      <w:r w:rsidR="00650079" w:rsidRPr="005045BF">
        <w:rPr>
          <w:rFonts w:ascii="Arial" w:hAnsi="Arial" w:cs="Arial"/>
          <w:b/>
          <w:sz w:val="22"/>
          <w:szCs w:val="22"/>
        </w:rPr>
        <w:t>aumento</w:t>
      </w:r>
      <w:r w:rsidR="00650079" w:rsidRPr="005045BF">
        <w:rPr>
          <w:rFonts w:ascii="Arial" w:hAnsi="Arial" w:cs="Arial"/>
          <w:bCs/>
          <w:sz w:val="22"/>
          <w:szCs w:val="22"/>
        </w:rPr>
        <w:t xml:space="preserve"> </w:t>
      </w:r>
      <w:r w:rsidR="008B0EB2" w:rsidRPr="005045BF">
        <w:rPr>
          <w:rFonts w:ascii="Arial" w:hAnsi="Arial" w:cs="Arial"/>
          <w:bCs/>
          <w:sz w:val="22"/>
          <w:szCs w:val="22"/>
        </w:rPr>
        <w:t xml:space="preserve">0,06%. </w:t>
      </w:r>
    </w:p>
    <w:p w14:paraId="0AD9C4F5" w14:textId="5F658ED1" w:rsidR="008B0EB2" w:rsidRPr="005045BF" w:rsidRDefault="008B0EB2" w:rsidP="008E5F5E">
      <w:pPr>
        <w:spacing w:line="168" w:lineRule="auto"/>
        <w:jc w:val="both"/>
        <w:rPr>
          <w:rFonts w:ascii="Arial" w:hAnsi="Arial" w:cs="Arial"/>
          <w:bCs/>
          <w:sz w:val="22"/>
          <w:szCs w:val="22"/>
        </w:rPr>
      </w:pPr>
    </w:p>
    <w:p w14:paraId="201F7B14" w14:textId="6C2E33D1" w:rsidR="004B589B" w:rsidRPr="005045BF" w:rsidRDefault="00AA5CCE" w:rsidP="00B57B24">
      <w:pPr>
        <w:jc w:val="both"/>
        <w:rPr>
          <w:rFonts w:ascii="Arial" w:hAnsi="Arial" w:cs="Arial"/>
          <w:color w:val="000000"/>
          <w:sz w:val="22"/>
          <w:szCs w:val="22"/>
        </w:rPr>
      </w:pPr>
      <w:r w:rsidRPr="005045BF">
        <w:rPr>
          <w:rFonts w:ascii="Arial" w:hAnsi="Arial" w:cs="Arial"/>
          <w:sz w:val="22"/>
          <w:szCs w:val="22"/>
        </w:rPr>
        <w:t>Adicionalmente, es de señalar que los valores expuestos en la tabla anterior, incluyen el valor que corresponde a</w:t>
      </w:r>
      <w:r w:rsidRPr="005045BF">
        <w:rPr>
          <w:rFonts w:ascii="Arial" w:hAnsi="Arial" w:cs="Arial"/>
          <w:color w:val="000000"/>
          <w:sz w:val="22"/>
          <w:szCs w:val="22"/>
        </w:rPr>
        <w:t xml:space="preserve">l servicio de telefonía fija RDS PRIS del SIIF Nación contratado con el proveedor UNE EPM, el cual es asumido por el contratista Unión Temporal </w:t>
      </w:r>
      <w:r w:rsidR="0047334D" w:rsidRPr="005045BF">
        <w:rPr>
          <w:rFonts w:ascii="Arial" w:hAnsi="Arial" w:cs="Arial"/>
          <w:color w:val="000000"/>
          <w:sz w:val="22"/>
          <w:szCs w:val="22"/>
        </w:rPr>
        <w:t>COMBPCAM</w:t>
      </w:r>
      <w:r w:rsidR="000518AD" w:rsidRPr="005045BF">
        <w:rPr>
          <w:rFonts w:ascii="Arial" w:hAnsi="Arial" w:cs="Arial"/>
          <w:color w:val="000000"/>
          <w:sz w:val="22"/>
          <w:szCs w:val="22"/>
        </w:rPr>
        <w:t>.</w:t>
      </w:r>
      <w:r w:rsidR="002D6FC7" w:rsidRPr="005045BF">
        <w:rPr>
          <w:rFonts w:ascii="Arial" w:hAnsi="Arial" w:cs="Arial"/>
          <w:color w:val="000000"/>
          <w:sz w:val="22"/>
          <w:szCs w:val="22"/>
        </w:rPr>
        <w:t xml:space="preserve"> En ese sentido, </w:t>
      </w:r>
      <w:r w:rsidR="000009ED" w:rsidRPr="005045BF">
        <w:rPr>
          <w:rFonts w:ascii="Arial" w:hAnsi="Arial" w:cs="Arial"/>
          <w:color w:val="000000"/>
          <w:sz w:val="22"/>
          <w:szCs w:val="22"/>
        </w:rPr>
        <w:t>la variación d</w:t>
      </w:r>
      <w:r w:rsidR="002D6FC7" w:rsidRPr="005045BF">
        <w:rPr>
          <w:rFonts w:ascii="Arial" w:hAnsi="Arial" w:cs="Arial"/>
          <w:color w:val="000000"/>
          <w:sz w:val="22"/>
          <w:szCs w:val="22"/>
        </w:rPr>
        <w:t xml:space="preserve">el gasto total por servicio de telefonía para el </w:t>
      </w:r>
      <w:r w:rsidR="000009ED" w:rsidRPr="005045BF">
        <w:rPr>
          <w:rFonts w:ascii="Arial" w:hAnsi="Arial" w:cs="Arial"/>
          <w:color w:val="000000"/>
          <w:sz w:val="22"/>
          <w:szCs w:val="22"/>
        </w:rPr>
        <w:t>periodo analizado [</w:t>
      </w:r>
      <w:r w:rsidR="009B4C58" w:rsidRPr="005045BF">
        <w:rPr>
          <w:rFonts w:ascii="Arial" w:hAnsi="Arial" w:cs="Arial"/>
          <w:color w:val="000000"/>
          <w:sz w:val="22"/>
          <w:szCs w:val="22"/>
        </w:rPr>
        <w:t xml:space="preserve">primer trimestre </w:t>
      </w:r>
      <w:r w:rsidR="000009ED" w:rsidRPr="005045BF">
        <w:rPr>
          <w:rFonts w:ascii="Arial" w:hAnsi="Arial" w:cs="Arial"/>
          <w:color w:val="000000"/>
          <w:sz w:val="22"/>
          <w:szCs w:val="22"/>
        </w:rPr>
        <w:t>20</w:t>
      </w:r>
      <w:r w:rsidR="009B4C58" w:rsidRPr="005045BF">
        <w:rPr>
          <w:rFonts w:ascii="Arial" w:hAnsi="Arial" w:cs="Arial"/>
          <w:color w:val="000000"/>
          <w:sz w:val="22"/>
          <w:szCs w:val="22"/>
        </w:rPr>
        <w:t>20</w:t>
      </w:r>
      <w:r w:rsidR="000009ED" w:rsidRPr="005045BF">
        <w:rPr>
          <w:rFonts w:ascii="Arial" w:hAnsi="Arial" w:cs="Arial"/>
          <w:color w:val="000000"/>
          <w:sz w:val="22"/>
          <w:szCs w:val="22"/>
        </w:rPr>
        <w:t>-201</w:t>
      </w:r>
      <w:r w:rsidR="009B4C58" w:rsidRPr="005045BF">
        <w:rPr>
          <w:rFonts w:ascii="Arial" w:hAnsi="Arial" w:cs="Arial"/>
          <w:color w:val="000000"/>
          <w:sz w:val="22"/>
          <w:szCs w:val="22"/>
        </w:rPr>
        <w:t>9</w:t>
      </w:r>
      <w:r w:rsidR="00187363" w:rsidRPr="005045BF">
        <w:rPr>
          <w:rFonts w:ascii="Arial" w:hAnsi="Arial" w:cs="Arial"/>
          <w:color w:val="000000"/>
          <w:sz w:val="22"/>
          <w:szCs w:val="22"/>
        </w:rPr>
        <w:t>], descontando</w:t>
      </w:r>
      <w:r w:rsidR="002D6FC7" w:rsidRPr="005045BF">
        <w:rPr>
          <w:rFonts w:ascii="Arial" w:hAnsi="Arial" w:cs="Arial"/>
          <w:color w:val="000000"/>
          <w:sz w:val="22"/>
          <w:szCs w:val="22"/>
        </w:rPr>
        <w:t xml:space="preserve"> el valor del </w:t>
      </w:r>
      <w:r w:rsidR="00312C18" w:rsidRPr="005045BF">
        <w:rPr>
          <w:rFonts w:ascii="Arial" w:hAnsi="Arial" w:cs="Arial"/>
          <w:color w:val="000000"/>
          <w:sz w:val="22"/>
          <w:szCs w:val="22"/>
        </w:rPr>
        <w:t xml:space="preserve">servicio </w:t>
      </w:r>
      <w:r w:rsidR="000009ED" w:rsidRPr="005045BF">
        <w:rPr>
          <w:rFonts w:ascii="Arial" w:hAnsi="Arial" w:cs="Arial"/>
          <w:color w:val="000000"/>
          <w:sz w:val="22"/>
          <w:szCs w:val="22"/>
        </w:rPr>
        <w:t xml:space="preserve">prestado </w:t>
      </w:r>
      <w:r w:rsidR="00312C18" w:rsidRPr="005045BF">
        <w:rPr>
          <w:rFonts w:ascii="Arial" w:hAnsi="Arial" w:cs="Arial"/>
          <w:color w:val="000000"/>
          <w:sz w:val="22"/>
          <w:szCs w:val="22"/>
        </w:rPr>
        <w:t>por UNE el cual es reembolsado a este Ministerio</w:t>
      </w:r>
      <w:r w:rsidR="00F855E6" w:rsidRPr="005045BF">
        <w:rPr>
          <w:rFonts w:ascii="Arial" w:hAnsi="Arial" w:cs="Arial"/>
          <w:color w:val="000000"/>
          <w:sz w:val="22"/>
          <w:szCs w:val="22"/>
        </w:rPr>
        <w:t>,</w:t>
      </w:r>
      <w:r w:rsidR="00312C18" w:rsidRPr="005045BF">
        <w:rPr>
          <w:rFonts w:ascii="Arial" w:hAnsi="Arial" w:cs="Arial"/>
          <w:color w:val="000000"/>
          <w:sz w:val="22"/>
          <w:szCs w:val="22"/>
        </w:rPr>
        <w:t xml:space="preserve"> </w:t>
      </w:r>
      <w:r w:rsidR="000009ED" w:rsidRPr="005045BF">
        <w:rPr>
          <w:rFonts w:ascii="Arial" w:hAnsi="Arial" w:cs="Arial"/>
          <w:color w:val="000000"/>
          <w:sz w:val="22"/>
          <w:szCs w:val="22"/>
        </w:rPr>
        <w:t xml:space="preserve">sería </w:t>
      </w:r>
      <w:r w:rsidR="00F855E6" w:rsidRPr="005045BF">
        <w:rPr>
          <w:rFonts w:ascii="Arial" w:hAnsi="Arial" w:cs="Arial"/>
          <w:color w:val="000000"/>
          <w:sz w:val="22"/>
          <w:szCs w:val="22"/>
        </w:rPr>
        <w:t>un</w:t>
      </w:r>
      <w:r w:rsidR="009B4C58" w:rsidRPr="005045BF">
        <w:rPr>
          <w:rFonts w:ascii="Arial" w:hAnsi="Arial" w:cs="Arial"/>
          <w:color w:val="000000"/>
          <w:sz w:val="22"/>
          <w:szCs w:val="22"/>
        </w:rPr>
        <w:t xml:space="preserve">a </w:t>
      </w:r>
      <w:r w:rsidR="009B4C58" w:rsidRPr="005045BF">
        <w:rPr>
          <w:rFonts w:ascii="Arial" w:hAnsi="Arial" w:cs="Arial"/>
          <w:b/>
          <w:bCs/>
          <w:color w:val="000000"/>
          <w:sz w:val="22"/>
          <w:szCs w:val="22"/>
        </w:rPr>
        <w:t xml:space="preserve">reducción </w:t>
      </w:r>
      <w:r w:rsidR="009B4C58" w:rsidRPr="005045BF">
        <w:rPr>
          <w:rFonts w:ascii="Arial" w:hAnsi="Arial" w:cs="Arial"/>
          <w:color w:val="000000"/>
          <w:sz w:val="22"/>
          <w:szCs w:val="22"/>
        </w:rPr>
        <w:t xml:space="preserve">del 0,17%. </w:t>
      </w:r>
      <w:r w:rsidR="00187363" w:rsidRPr="005045BF">
        <w:rPr>
          <w:rFonts w:ascii="Arial" w:hAnsi="Arial" w:cs="Arial"/>
          <w:color w:val="000000"/>
          <w:sz w:val="22"/>
          <w:szCs w:val="22"/>
        </w:rPr>
        <w:t xml:space="preserve"> </w:t>
      </w:r>
    </w:p>
    <w:p w14:paraId="045EF943" w14:textId="77777777" w:rsidR="00E84673" w:rsidRPr="005045BF" w:rsidRDefault="00E84673" w:rsidP="008E5F5E">
      <w:pPr>
        <w:spacing w:line="168" w:lineRule="auto"/>
        <w:jc w:val="both"/>
        <w:rPr>
          <w:rFonts w:ascii="Arial" w:hAnsi="Arial" w:cs="Arial"/>
          <w:color w:val="000000"/>
          <w:sz w:val="22"/>
          <w:szCs w:val="22"/>
        </w:rPr>
      </w:pPr>
    </w:p>
    <w:p w14:paraId="2AA35C56" w14:textId="5DCA2114" w:rsidR="00AA5CCE" w:rsidRPr="005045BF" w:rsidRDefault="000E7F25" w:rsidP="00B57B24">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En relación a los reintegros que debe efectuar el contratista </w:t>
      </w:r>
      <w:r w:rsidR="0047334D" w:rsidRPr="005045BF">
        <w:rPr>
          <w:rFonts w:ascii="Arial" w:hAnsi="Arial" w:cs="Arial"/>
          <w:color w:val="000000" w:themeColor="text1"/>
          <w:sz w:val="22"/>
          <w:szCs w:val="22"/>
        </w:rPr>
        <w:t>Unión Temporal COMBPCAM por</w:t>
      </w:r>
      <w:r w:rsidRPr="005045BF">
        <w:rPr>
          <w:rFonts w:ascii="Arial" w:hAnsi="Arial" w:cs="Arial"/>
          <w:color w:val="000000" w:themeColor="text1"/>
          <w:sz w:val="22"/>
          <w:szCs w:val="22"/>
        </w:rPr>
        <w:t xml:space="preserve"> concepto de </w:t>
      </w:r>
      <w:r w:rsidR="00A711EE" w:rsidRPr="005045BF">
        <w:rPr>
          <w:rFonts w:ascii="Arial" w:hAnsi="Arial" w:cs="Arial"/>
          <w:color w:val="000000" w:themeColor="text1"/>
          <w:sz w:val="22"/>
          <w:szCs w:val="22"/>
        </w:rPr>
        <w:t xml:space="preserve">servicio de telefonía fija </w:t>
      </w:r>
      <w:r w:rsidR="00AB208A" w:rsidRPr="005045BF">
        <w:rPr>
          <w:rFonts w:ascii="Arial" w:hAnsi="Arial" w:cs="Arial"/>
          <w:color w:val="000000" w:themeColor="text1"/>
          <w:sz w:val="22"/>
          <w:szCs w:val="22"/>
        </w:rPr>
        <w:t>[</w:t>
      </w:r>
      <w:r w:rsidR="00A711EE" w:rsidRPr="005045BF">
        <w:rPr>
          <w:rFonts w:ascii="Arial" w:hAnsi="Arial" w:cs="Arial"/>
          <w:color w:val="000000" w:themeColor="text1"/>
          <w:sz w:val="22"/>
          <w:szCs w:val="22"/>
        </w:rPr>
        <w:t>RDS PRIS del SIIF</w:t>
      </w:r>
      <w:r w:rsidR="00AB208A" w:rsidRPr="005045BF">
        <w:rPr>
          <w:rFonts w:ascii="Arial" w:hAnsi="Arial" w:cs="Arial"/>
          <w:color w:val="000000" w:themeColor="text1"/>
          <w:sz w:val="22"/>
          <w:szCs w:val="22"/>
        </w:rPr>
        <w:t>]</w:t>
      </w:r>
      <w:r w:rsidR="00A711EE" w:rsidRPr="005045BF">
        <w:rPr>
          <w:rFonts w:ascii="Arial" w:hAnsi="Arial" w:cs="Arial"/>
          <w:color w:val="000000" w:themeColor="text1"/>
          <w:sz w:val="22"/>
          <w:szCs w:val="22"/>
        </w:rPr>
        <w:t xml:space="preserve">, </w:t>
      </w:r>
      <w:r w:rsidRPr="005045BF">
        <w:rPr>
          <w:rFonts w:ascii="Arial" w:hAnsi="Arial" w:cs="Arial"/>
          <w:color w:val="000000" w:themeColor="text1"/>
          <w:sz w:val="22"/>
          <w:szCs w:val="22"/>
        </w:rPr>
        <w:t xml:space="preserve">facturados por </w:t>
      </w:r>
      <w:r w:rsidR="00500818" w:rsidRPr="005045BF">
        <w:rPr>
          <w:rFonts w:ascii="Arial" w:hAnsi="Arial" w:cs="Arial"/>
          <w:color w:val="000000" w:themeColor="text1"/>
          <w:sz w:val="22"/>
          <w:szCs w:val="22"/>
        </w:rPr>
        <w:t>UNE</w:t>
      </w:r>
      <w:r w:rsidR="00A711EE" w:rsidRPr="005045BF">
        <w:rPr>
          <w:rFonts w:ascii="Arial" w:hAnsi="Arial" w:cs="Arial"/>
          <w:color w:val="000000" w:themeColor="text1"/>
          <w:sz w:val="22"/>
          <w:szCs w:val="22"/>
        </w:rPr>
        <w:t xml:space="preserve">, </w:t>
      </w:r>
      <w:r w:rsidR="00E57228" w:rsidRPr="005045BF">
        <w:rPr>
          <w:rFonts w:ascii="Arial" w:hAnsi="Arial" w:cs="Arial"/>
          <w:color w:val="000000" w:themeColor="text1"/>
          <w:sz w:val="22"/>
          <w:szCs w:val="22"/>
        </w:rPr>
        <w:t xml:space="preserve">esta Oficina </w:t>
      </w:r>
      <w:r w:rsidR="00AA5CCE" w:rsidRPr="005045BF">
        <w:rPr>
          <w:rFonts w:ascii="Arial" w:hAnsi="Arial" w:cs="Arial"/>
          <w:color w:val="000000" w:themeColor="text1"/>
          <w:sz w:val="22"/>
          <w:szCs w:val="22"/>
        </w:rPr>
        <w:t xml:space="preserve">evidenció la gestión realizada por la Subdirección de Servicios en lo concerniente a la solicitud </w:t>
      </w:r>
      <w:r w:rsidR="00A711EE" w:rsidRPr="005045BF">
        <w:rPr>
          <w:rFonts w:ascii="Arial" w:hAnsi="Arial" w:cs="Arial"/>
          <w:color w:val="000000" w:themeColor="text1"/>
          <w:sz w:val="22"/>
          <w:szCs w:val="22"/>
        </w:rPr>
        <w:t xml:space="preserve">de reembolso </w:t>
      </w:r>
      <w:r w:rsidR="00AA5CCE" w:rsidRPr="005045BF">
        <w:rPr>
          <w:rFonts w:ascii="Arial" w:hAnsi="Arial" w:cs="Arial"/>
          <w:color w:val="000000" w:themeColor="text1"/>
          <w:sz w:val="22"/>
          <w:szCs w:val="22"/>
        </w:rPr>
        <w:t xml:space="preserve">al contratista en mención, así: </w:t>
      </w:r>
    </w:p>
    <w:p w14:paraId="2E63F43A" w14:textId="77777777" w:rsidR="009559F9" w:rsidRPr="005045BF" w:rsidRDefault="009559F9" w:rsidP="00B57B24">
      <w:pPr>
        <w:jc w:val="both"/>
        <w:rPr>
          <w:rFonts w:ascii="Arial" w:hAnsi="Arial" w:cs="Arial"/>
          <w:color w:val="000000" w:themeColor="text1"/>
          <w:sz w:val="22"/>
          <w:szCs w:val="22"/>
        </w:rPr>
      </w:pPr>
    </w:p>
    <w:tbl>
      <w:tblPr>
        <w:tblStyle w:val="Tablaconcuadrcula1clara-nfasis1"/>
        <w:tblW w:w="0" w:type="auto"/>
        <w:jc w:val="center"/>
        <w:tblLook w:val="04A0" w:firstRow="1" w:lastRow="0" w:firstColumn="1" w:lastColumn="0" w:noHBand="0" w:noVBand="1"/>
      </w:tblPr>
      <w:tblGrid>
        <w:gridCol w:w="961"/>
        <w:gridCol w:w="1507"/>
        <w:gridCol w:w="1573"/>
        <w:gridCol w:w="1217"/>
        <w:gridCol w:w="996"/>
      </w:tblGrid>
      <w:tr w:rsidR="003A1574" w:rsidRPr="005045BF" w14:paraId="3AC2AA52" w14:textId="77777777" w:rsidTr="008E5F5E">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shd w:val="clear" w:color="auto" w:fill="4F81BD" w:themeFill="accent1"/>
            <w:vAlign w:val="center"/>
            <w:hideMark/>
          </w:tcPr>
          <w:p w14:paraId="581A0976" w14:textId="77777777" w:rsidR="003A1574" w:rsidRPr="005045BF" w:rsidRDefault="003A1574" w:rsidP="005550D8">
            <w:pPr>
              <w:widowControl w:val="0"/>
              <w:spacing w:before="120" w:after="120"/>
              <w:jc w:val="center"/>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Periodo</w:t>
            </w:r>
          </w:p>
        </w:tc>
        <w:tc>
          <w:tcPr>
            <w:tcW w:w="0" w:type="auto"/>
            <w:tcBorders>
              <w:bottom w:val="nil"/>
            </w:tcBorders>
            <w:shd w:val="clear" w:color="auto" w:fill="4F81BD" w:themeFill="accent1"/>
            <w:vAlign w:val="center"/>
            <w:hideMark/>
          </w:tcPr>
          <w:p w14:paraId="79E9D2E0" w14:textId="77777777" w:rsidR="003A1574" w:rsidRPr="005045B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 xml:space="preserve">Factura </w:t>
            </w:r>
          </w:p>
        </w:tc>
        <w:tc>
          <w:tcPr>
            <w:tcW w:w="0" w:type="auto"/>
            <w:tcBorders>
              <w:bottom w:val="nil"/>
            </w:tcBorders>
            <w:shd w:val="clear" w:color="auto" w:fill="4F81BD" w:themeFill="accent1"/>
            <w:vAlign w:val="center"/>
            <w:hideMark/>
          </w:tcPr>
          <w:p w14:paraId="1A4BC181" w14:textId="77777777" w:rsidR="003A1574" w:rsidRPr="005045B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 xml:space="preserve">Radicado </w:t>
            </w:r>
          </w:p>
        </w:tc>
        <w:tc>
          <w:tcPr>
            <w:tcW w:w="0" w:type="auto"/>
            <w:tcBorders>
              <w:bottom w:val="nil"/>
            </w:tcBorders>
            <w:shd w:val="clear" w:color="auto" w:fill="4F81BD" w:themeFill="accent1"/>
            <w:vAlign w:val="center"/>
            <w:hideMark/>
          </w:tcPr>
          <w:p w14:paraId="674B3B84" w14:textId="77777777" w:rsidR="003A1574" w:rsidRPr="005045B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 xml:space="preserve">Fecha </w:t>
            </w:r>
          </w:p>
        </w:tc>
        <w:tc>
          <w:tcPr>
            <w:tcW w:w="0" w:type="auto"/>
            <w:tcBorders>
              <w:bottom w:val="nil"/>
            </w:tcBorders>
            <w:shd w:val="clear" w:color="auto" w:fill="4F81BD" w:themeFill="accent1"/>
            <w:vAlign w:val="center"/>
            <w:hideMark/>
          </w:tcPr>
          <w:p w14:paraId="4C3725FF" w14:textId="77777777" w:rsidR="003A1574" w:rsidRPr="005045BF" w:rsidRDefault="003A1574" w:rsidP="005550D8">
            <w:pPr>
              <w:widowControl w:val="0"/>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Valor ($)</w:t>
            </w:r>
          </w:p>
        </w:tc>
      </w:tr>
      <w:tr w:rsidR="00500830" w:rsidRPr="005045BF" w14:paraId="3EEE1A7D" w14:textId="77777777" w:rsidTr="008E5F5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tcPr>
          <w:p w14:paraId="590CD0F2" w14:textId="218C3947" w:rsidR="00500830" w:rsidRPr="005045BF" w:rsidRDefault="00500830" w:rsidP="005550D8">
            <w:pPr>
              <w:widowControl w:val="0"/>
              <w:spacing w:before="120" w:after="120"/>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 xml:space="preserve">Enero </w:t>
            </w:r>
          </w:p>
        </w:tc>
        <w:tc>
          <w:tcPr>
            <w:tcW w:w="0" w:type="auto"/>
            <w:tcBorders>
              <w:top w:val="nil"/>
              <w:left w:val="nil"/>
              <w:bottom w:val="nil"/>
              <w:right w:val="nil"/>
            </w:tcBorders>
            <w:vAlign w:val="center"/>
          </w:tcPr>
          <w:p w14:paraId="5BB8C6DA" w14:textId="1B7E297E" w:rsidR="00500830" w:rsidRPr="005045BF" w:rsidRDefault="00500830" w:rsidP="005550D8">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980602907-96</w:t>
            </w:r>
          </w:p>
        </w:tc>
        <w:tc>
          <w:tcPr>
            <w:tcW w:w="0" w:type="auto"/>
            <w:tcBorders>
              <w:top w:val="nil"/>
              <w:left w:val="nil"/>
              <w:bottom w:val="nil"/>
              <w:right w:val="nil"/>
            </w:tcBorders>
            <w:vAlign w:val="center"/>
          </w:tcPr>
          <w:p w14:paraId="5AB18B76" w14:textId="520A924D"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3-2020-002427</w:t>
            </w:r>
          </w:p>
        </w:tc>
        <w:tc>
          <w:tcPr>
            <w:tcW w:w="0" w:type="auto"/>
            <w:tcBorders>
              <w:top w:val="nil"/>
              <w:left w:val="nil"/>
              <w:bottom w:val="nil"/>
              <w:right w:val="nil"/>
            </w:tcBorders>
            <w:vAlign w:val="center"/>
          </w:tcPr>
          <w:p w14:paraId="684007C7" w14:textId="7A9B7168" w:rsidR="00500830" w:rsidRPr="005045BF" w:rsidRDefault="00500830" w:rsidP="005550D8">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10/02/2020</w:t>
            </w:r>
          </w:p>
        </w:tc>
        <w:tc>
          <w:tcPr>
            <w:tcW w:w="0" w:type="auto"/>
            <w:tcBorders>
              <w:top w:val="nil"/>
              <w:left w:val="nil"/>
              <w:bottom w:val="nil"/>
              <w:right w:val="nil"/>
            </w:tcBorders>
            <w:noWrap/>
            <w:vAlign w:val="center"/>
          </w:tcPr>
          <w:p w14:paraId="7B775C4B" w14:textId="385A9007"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567.559</w:t>
            </w:r>
          </w:p>
        </w:tc>
      </w:tr>
      <w:tr w:rsidR="00500830" w:rsidRPr="005045BF" w14:paraId="1A01F5EE" w14:textId="77777777" w:rsidTr="008E5F5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tcPr>
          <w:p w14:paraId="4F7B0394" w14:textId="05543018" w:rsidR="00500830" w:rsidRPr="005045BF" w:rsidRDefault="00500830" w:rsidP="005550D8">
            <w:pPr>
              <w:widowControl w:val="0"/>
              <w:spacing w:before="120" w:after="120"/>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 xml:space="preserve">Febrero </w:t>
            </w:r>
          </w:p>
        </w:tc>
        <w:tc>
          <w:tcPr>
            <w:tcW w:w="0" w:type="auto"/>
            <w:tcBorders>
              <w:top w:val="nil"/>
              <w:left w:val="nil"/>
              <w:bottom w:val="nil"/>
              <w:right w:val="nil"/>
            </w:tcBorders>
            <w:noWrap/>
            <w:vAlign w:val="center"/>
          </w:tcPr>
          <w:p w14:paraId="3D451A42" w14:textId="09C5AA24"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982635482-87</w:t>
            </w:r>
          </w:p>
        </w:tc>
        <w:tc>
          <w:tcPr>
            <w:tcW w:w="0" w:type="auto"/>
            <w:tcBorders>
              <w:top w:val="nil"/>
              <w:left w:val="nil"/>
              <w:bottom w:val="nil"/>
              <w:right w:val="nil"/>
            </w:tcBorders>
            <w:noWrap/>
            <w:vAlign w:val="center"/>
          </w:tcPr>
          <w:p w14:paraId="1F0D397C" w14:textId="7F1CDB00"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3-2020-004349</w:t>
            </w:r>
          </w:p>
        </w:tc>
        <w:tc>
          <w:tcPr>
            <w:tcW w:w="0" w:type="auto"/>
            <w:tcBorders>
              <w:top w:val="nil"/>
              <w:left w:val="nil"/>
              <w:bottom w:val="nil"/>
              <w:right w:val="nil"/>
            </w:tcBorders>
            <w:vAlign w:val="center"/>
          </w:tcPr>
          <w:p w14:paraId="596305EA" w14:textId="110A8A7C" w:rsidR="00500830" w:rsidRPr="005045BF" w:rsidRDefault="00500830" w:rsidP="005550D8">
            <w:pPr>
              <w:widowControl w:val="0"/>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6/03/2020</w:t>
            </w:r>
          </w:p>
        </w:tc>
        <w:tc>
          <w:tcPr>
            <w:tcW w:w="0" w:type="auto"/>
            <w:tcBorders>
              <w:top w:val="nil"/>
              <w:left w:val="nil"/>
              <w:bottom w:val="nil"/>
              <w:right w:val="nil"/>
            </w:tcBorders>
            <w:noWrap/>
            <w:vAlign w:val="center"/>
          </w:tcPr>
          <w:p w14:paraId="46E6C0DE" w14:textId="5C6F77B5" w:rsidR="00500830" w:rsidRPr="005045BF" w:rsidRDefault="00500830" w:rsidP="005550D8">
            <w:pPr>
              <w:widowControl w:val="0"/>
              <w:spacing w:before="120" w:after="120"/>
              <w:ind w:left="57" w:right="-57"/>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567.559</w:t>
            </w:r>
          </w:p>
        </w:tc>
      </w:tr>
      <w:tr w:rsidR="00500830" w:rsidRPr="005045BF" w14:paraId="74EA697C" w14:textId="77777777" w:rsidTr="008E5F5E">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tcPr>
          <w:p w14:paraId="58446C6C" w14:textId="3B505197" w:rsidR="00500830" w:rsidRPr="005045BF" w:rsidRDefault="00500830" w:rsidP="005550D8">
            <w:pPr>
              <w:widowControl w:val="0"/>
              <w:spacing w:before="120" w:after="120"/>
              <w:rPr>
                <w:rFonts w:ascii="Arial" w:hAnsi="Arial" w:cs="Arial"/>
                <w:b w:val="0"/>
                <w:bCs w:val="0"/>
                <w:color w:val="0F243E" w:themeColor="text2" w:themeShade="80"/>
                <w:sz w:val="20"/>
                <w:szCs w:val="20"/>
              </w:rPr>
            </w:pPr>
            <w:r w:rsidRPr="005045BF">
              <w:rPr>
                <w:rFonts w:ascii="Arial" w:hAnsi="Arial" w:cs="Arial"/>
                <w:color w:val="0F243E" w:themeColor="text2" w:themeShade="80"/>
                <w:sz w:val="20"/>
                <w:szCs w:val="20"/>
              </w:rPr>
              <w:t>Marzo</w:t>
            </w:r>
          </w:p>
        </w:tc>
        <w:tc>
          <w:tcPr>
            <w:tcW w:w="0" w:type="auto"/>
            <w:tcBorders>
              <w:top w:val="nil"/>
              <w:left w:val="nil"/>
              <w:bottom w:val="double" w:sz="4" w:space="0" w:color="4F81BD" w:themeColor="accent1"/>
              <w:right w:val="nil"/>
            </w:tcBorders>
            <w:noWrap/>
            <w:vAlign w:val="center"/>
          </w:tcPr>
          <w:p w14:paraId="54005794" w14:textId="1356EAD8"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984754588-39</w:t>
            </w:r>
          </w:p>
        </w:tc>
        <w:tc>
          <w:tcPr>
            <w:tcW w:w="0" w:type="auto"/>
            <w:tcBorders>
              <w:top w:val="nil"/>
              <w:left w:val="nil"/>
              <w:bottom w:val="double" w:sz="4" w:space="0" w:color="4F81BD" w:themeColor="accent1"/>
              <w:right w:val="nil"/>
            </w:tcBorders>
            <w:noWrap/>
            <w:vAlign w:val="center"/>
          </w:tcPr>
          <w:p w14:paraId="2C2CBBA2" w14:textId="087C23E8"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3-2020-005859</w:t>
            </w:r>
          </w:p>
        </w:tc>
        <w:tc>
          <w:tcPr>
            <w:tcW w:w="0" w:type="auto"/>
            <w:tcBorders>
              <w:top w:val="nil"/>
              <w:left w:val="nil"/>
              <w:bottom w:val="double" w:sz="4" w:space="0" w:color="4F81BD" w:themeColor="accent1"/>
              <w:right w:val="nil"/>
            </w:tcBorders>
            <w:vAlign w:val="center"/>
          </w:tcPr>
          <w:p w14:paraId="4B26FAC9" w14:textId="1D7A410B" w:rsidR="00500830" w:rsidRPr="005045BF" w:rsidRDefault="00500830" w:rsidP="005550D8">
            <w:pPr>
              <w:widowControl w:val="0"/>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7/04/2020</w:t>
            </w:r>
          </w:p>
        </w:tc>
        <w:tc>
          <w:tcPr>
            <w:tcW w:w="0" w:type="auto"/>
            <w:tcBorders>
              <w:top w:val="nil"/>
              <w:left w:val="nil"/>
              <w:bottom w:val="double" w:sz="4" w:space="0" w:color="4F81BD" w:themeColor="accent1"/>
              <w:right w:val="nil"/>
            </w:tcBorders>
            <w:noWrap/>
            <w:vAlign w:val="center"/>
          </w:tcPr>
          <w:p w14:paraId="316FCF0E" w14:textId="761DFA97" w:rsidR="00500830" w:rsidRPr="005045BF" w:rsidRDefault="00500830" w:rsidP="005550D8">
            <w:pPr>
              <w:pStyle w:val="Prrafodelista"/>
              <w:widowControl w:val="0"/>
              <w:spacing w:before="120" w:after="120"/>
              <w:ind w:left="57" w:right="-57"/>
              <w:contextualSpacing w:val="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567.569</w:t>
            </w:r>
          </w:p>
        </w:tc>
      </w:tr>
    </w:tbl>
    <w:p w14:paraId="0435C9F5" w14:textId="3930F93B" w:rsidR="00BA7875" w:rsidRPr="005045BF" w:rsidRDefault="00BA7875" w:rsidP="003A1574">
      <w:pPr>
        <w:jc w:val="both"/>
        <w:rPr>
          <w:rFonts w:ascii="Arial" w:hAnsi="Arial" w:cs="Arial"/>
          <w:color w:val="000000"/>
          <w:sz w:val="22"/>
          <w:szCs w:val="22"/>
        </w:rPr>
      </w:pPr>
    </w:p>
    <w:p w14:paraId="26D61D48" w14:textId="77777777" w:rsidR="005550D8" w:rsidRPr="005045BF" w:rsidRDefault="005550D8" w:rsidP="003A1574">
      <w:pPr>
        <w:jc w:val="both"/>
        <w:rPr>
          <w:rFonts w:ascii="Arial" w:hAnsi="Arial" w:cs="Arial"/>
          <w:color w:val="000000"/>
          <w:sz w:val="22"/>
          <w:szCs w:val="22"/>
        </w:rPr>
      </w:pPr>
    </w:p>
    <w:p w14:paraId="14416B8E" w14:textId="14C4F95D" w:rsidR="00A01F64" w:rsidRPr="005045BF" w:rsidRDefault="003A1574" w:rsidP="003A1574">
      <w:pPr>
        <w:jc w:val="both"/>
        <w:rPr>
          <w:rFonts w:ascii="Arial" w:eastAsia="Arial" w:hAnsi="Arial" w:cs="Arial"/>
          <w:b/>
          <w:color w:val="000000"/>
          <w:sz w:val="22"/>
          <w:szCs w:val="22"/>
        </w:rPr>
      </w:pPr>
      <w:r w:rsidRPr="005045BF">
        <w:rPr>
          <w:rFonts w:ascii="Arial" w:hAnsi="Arial" w:cs="Arial"/>
          <w:color w:val="000000"/>
          <w:sz w:val="22"/>
          <w:szCs w:val="22"/>
        </w:rPr>
        <w:t xml:space="preserve">De acuerdo con la consulta efectuada </w:t>
      </w:r>
      <w:r w:rsidR="008E5F5E">
        <w:rPr>
          <w:rFonts w:ascii="Arial" w:hAnsi="Arial" w:cs="Arial"/>
          <w:color w:val="000000"/>
          <w:sz w:val="22"/>
          <w:szCs w:val="22"/>
        </w:rPr>
        <w:t xml:space="preserve">a </w:t>
      </w:r>
      <w:r w:rsidRPr="005045BF">
        <w:rPr>
          <w:rFonts w:ascii="Arial" w:hAnsi="Arial" w:cs="Arial"/>
          <w:color w:val="000000"/>
          <w:sz w:val="22"/>
          <w:szCs w:val="22"/>
        </w:rPr>
        <w:t xml:space="preserve">las obligaciones registradas en el SIIF se constató que el Contratista </w:t>
      </w:r>
      <w:r w:rsidR="0047334D" w:rsidRPr="005045BF">
        <w:rPr>
          <w:rFonts w:ascii="Arial" w:hAnsi="Arial" w:cs="Arial"/>
          <w:color w:val="000000"/>
          <w:sz w:val="22"/>
          <w:szCs w:val="22"/>
        </w:rPr>
        <w:t xml:space="preserve">Unión Temporal COMBPCAM </w:t>
      </w:r>
      <w:r w:rsidR="008E5F5E">
        <w:rPr>
          <w:rFonts w:ascii="Arial" w:hAnsi="Arial" w:cs="Arial"/>
          <w:color w:val="000000"/>
          <w:sz w:val="22"/>
          <w:szCs w:val="22"/>
        </w:rPr>
        <w:t xml:space="preserve">realizó los </w:t>
      </w:r>
      <w:r w:rsidRPr="005045BF">
        <w:rPr>
          <w:rFonts w:ascii="Arial" w:hAnsi="Arial" w:cs="Arial"/>
          <w:color w:val="000000"/>
          <w:sz w:val="22"/>
          <w:szCs w:val="22"/>
        </w:rPr>
        <w:t xml:space="preserve">respectivos reintegros correspondientes al pago del servicio de telefonía fija RDS PRIS del SIIF. </w:t>
      </w:r>
    </w:p>
    <w:p w14:paraId="65523027" w14:textId="77777777" w:rsidR="000518AD" w:rsidRPr="005045BF" w:rsidRDefault="000518AD" w:rsidP="0097107A">
      <w:pPr>
        <w:jc w:val="both"/>
        <w:rPr>
          <w:rFonts w:ascii="Arial" w:hAnsi="Arial" w:cs="Arial"/>
          <w:color w:val="000000"/>
          <w:sz w:val="22"/>
          <w:szCs w:val="22"/>
          <w:highlight w:val="yellow"/>
        </w:rPr>
      </w:pPr>
    </w:p>
    <w:p w14:paraId="1C17DEEE" w14:textId="7F2E2C9E" w:rsidR="003F2257" w:rsidRPr="005045BF" w:rsidRDefault="003F2257" w:rsidP="003F2257">
      <w:pPr>
        <w:rPr>
          <w:rFonts w:ascii="Arial" w:hAnsi="Arial" w:cs="Arial"/>
          <w:color w:val="000000" w:themeColor="text1"/>
          <w:sz w:val="22"/>
          <w:szCs w:val="22"/>
        </w:rPr>
      </w:pPr>
    </w:p>
    <w:p w14:paraId="5FDD9D40" w14:textId="5B10A3CB" w:rsidR="003B61F5" w:rsidRPr="005045BF" w:rsidRDefault="008F68D9" w:rsidP="003879F9">
      <w:pPr>
        <w:pStyle w:val="Prrafodelista"/>
        <w:numPr>
          <w:ilvl w:val="0"/>
          <w:numId w:val="43"/>
        </w:numPr>
        <w:spacing w:after="200" w:line="276" w:lineRule="auto"/>
        <w:rPr>
          <w:rFonts w:ascii="Arial" w:eastAsia="Arial" w:hAnsi="Arial" w:cs="Arial"/>
          <w:b/>
          <w:color w:val="000000" w:themeColor="text1"/>
          <w:sz w:val="20"/>
          <w:szCs w:val="20"/>
        </w:rPr>
      </w:pPr>
      <w:r w:rsidRPr="005045BF">
        <w:rPr>
          <w:rFonts w:ascii="Arial" w:eastAsia="Arial" w:hAnsi="Arial" w:cs="Arial"/>
          <w:b/>
          <w:color w:val="000000" w:themeColor="text1"/>
          <w:sz w:val="22"/>
          <w:szCs w:val="22"/>
        </w:rPr>
        <w:t>SUSCRIPCIONES A PERIÓDICOS Y REVISTAS, PUBLICACIONES Y BASES DE DATOS</w:t>
      </w:r>
    </w:p>
    <w:p w14:paraId="53E68CF8" w14:textId="76F92AAE" w:rsidR="006E0FBC" w:rsidRPr="005045BF" w:rsidRDefault="00D0397F" w:rsidP="00F162F7">
      <w:pPr>
        <w:jc w:val="both"/>
        <w:rPr>
          <w:rFonts w:ascii="Arial" w:hAnsi="Arial" w:cs="Arial"/>
          <w:color w:val="000000" w:themeColor="text1"/>
          <w:sz w:val="22"/>
          <w:szCs w:val="22"/>
        </w:rPr>
      </w:pPr>
      <w:r w:rsidRPr="005045BF">
        <w:rPr>
          <w:rFonts w:ascii="Arial" w:hAnsi="Arial" w:cs="Arial"/>
          <w:color w:val="000000" w:themeColor="text1"/>
          <w:sz w:val="22"/>
          <w:szCs w:val="22"/>
        </w:rPr>
        <w:t>De acuerdo con el numeral 7 de la Directiva Pre</w:t>
      </w:r>
      <w:r w:rsidR="00312149" w:rsidRPr="005045BF">
        <w:rPr>
          <w:rFonts w:ascii="Arial" w:hAnsi="Arial" w:cs="Arial"/>
          <w:color w:val="000000" w:themeColor="text1"/>
          <w:sz w:val="22"/>
          <w:szCs w:val="22"/>
        </w:rPr>
        <w:t xml:space="preserve">sidencial 09 de 2018, estableció </w:t>
      </w:r>
      <w:r w:rsidRPr="005045BF">
        <w:rPr>
          <w:rFonts w:ascii="Arial" w:hAnsi="Arial" w:cs="Arial"/>
          <w:color w:val="000000" w:themeColor="text1"/>
          <w:sz w:val="22"/>
          <w:szCs w:val="22"/>
        </w:rPr>
        <w:t>las directrices frente</w:t>
      </w:r>
      <w:r w:rsidR="007D1507" w:rsidRPr="005045BF">
        <w:rPr>
          <w:rFonts w:ascii="Arial" w:hAnsi="Arial" w:cs="Arial"/>
          <w:color w:val="000000" w:themeColor="text1"/>
          <w:sz w:val="22"/>
          <w:szCs w:val="22"/>
        </w:rPr>
        <w:t xml:space="preserve"> a las medidas de austeridad que se deben contemplar para el concepto de suscripc</w:t>
      </w:r>
      <w:r w:rsidR="00312149" w:rsidRPr="005045BF">
        <w:rPr>
          <w:rFonts w:ascii="Arial" w:hAnsi="Arial" w:cs="Arial"/>
          <w:color w:val="000000" w:themeColor="text1"/>
          <w:sz w:val="22"/>
          <w:szCs w:val="22"/>
        </w:rPr>
        <w:t xml:space="preserve">iones a periódicos y revistas, así: </w:t>
      </w:r>
    </w:p>
    <w:p w14:paraId="4FE75C15" w14:textId="17D1D2F7" w:rsidR="00312149" w:rsidRPr="005045BF" w:rsidRDefault="00312149" w:rsidP="00F162F7">
      <w:pPr>
        <w:jc w:val="both"/>
        <w:rPr>
          <w:rFonts w:ascii="Arial" w:hAnsi="Arial" w:cs="Arial"/>
          <w:color w:val="000000" w:themeColor="text1"/>
          <w:sz w:val="22"/>
          <w:szCs w:val="22"/>
        </w:rPr>
      </w:pPr>
    </w:p>
    <w:p w14:paraId="1515DD9B" w14:textId="097F4575" w:rsidR="00312149" w:rsidRPr="005045BF" w:rsidRDefault="00312149" w:rsidP="00496850">
      <w:pPr>
        <w:pStyle w:val="Default"/>
        <w:ind w:left="708"/>
        <w:jc w:val="both"/>
        <w:rPr>
          <w:color w:val="000000" w:themeColor="text1"/>
          <w:sz w:val="22"/>
          <w:szCs w:val="22"/>
        </w:rPr>
      </w:pPr>
      <w:r w:rsidRPr="005045BF">
        <w:rPr>
          <w:color w:val="000000" w:themeColor="text1"/>
          <w:sz w:val="22"/>
          <w:szCs w:val="22"/>
        </w:rPr>
        <w:t xml:space="preserve">«7.1. Deberá seguirse de manera estricta la normatividad en materia de suscripciones a revistas y periódicos (Ley 1873 de 2017, articulo 83). </w:t>
      </w:r>
    </w:p>
    <w:p w14:paraId="6796FD02" w14:textId="50E478A3" w:rsidR="00312149" w:rsidRPr="005045BF" w:rsidRDefault="00312149" w:rsidP="00496850">
      <w:pPr>
        <w:ind w:left="708"/>
        <w:jc w:val="both"/>
        <w:rPr>
          <w:rFonts w:ascii="Arial" w:hAnsi="Arial" w:cs="Arial"/>
          <w:color w:val="000000" w:themeColor="text1"/>
          <w:sz w:val="22"/>
          <w:szCs w:val="22"/>
        </w:rPr>
      </w:pPr>
    </w:p>
    <w:p w14:paraId="77237FD9" w14:textId="28850A68" w:rsidR="00312149" w:rsidRPr="005045BF" w:rsidRDefault="00312149" w:rsidP="00496850">
      <w:pPr>
        <w:ind w:left="708"/>
        <w:jc w:val="both"/>
        <w:rPr>
          <w:rFonts w:ascii="Arial" w:hAnsi="Arial" w:cs="Arial"/>
          <w:color w:val="000000" w:themeColor="text1"/>
          <w:sz w:val="22"/>
          <w:szCs w:val="22"/>
        </w:rPr>
      </w:pPr>
      <w:r w:rsidRPr="005045BF">
        <w:rPr>
          <w:rFonts w:ascii="Arial" w:hAnsi="Arial" w:cs="Arial"/>
          <w:color w:val="000000" w:themeColor="text1"/>
          <w:sz w:val="22"/>
          <w:szCs w:val="22"/>
        </w:rPr>
        <w:t xml:space="preserve">7.2. Las suscripciones a bases de datos electrónicas especializadas se efectuarán solamente cuando sea necesario. Las licencias se adquirirán en las cantidades suficientes para suplir las necesidades del servicio».  </w:t>
      </w:r>
    </w:p>
    <w:p w14:paraId="69B0FF40" w14:textId="77777777" w:rsidR="00B57B24" w:rsidRPr="005045BF" w:rsidRDefault="00B57B24" w:rsidP="00496850">
      <w:pPr>
        <w:jc w:val="both"/>
        <w:rPr>
          <w:rFonts w:ascii="Arial" w:hAnsi="Arial" w:cs="Arial"/>
          <w:color w:val="000000" w:themeColor="text1"/>
          <w:sz w:val="22"/>
          <w:szCs w:val="22"/>
        </w:rPr>
      </w:pPr>
    </w:p>
    <w:p w14:paraId="7566A060" w14:textId="2CAD05A2" w:rsidR="0023499B" w:rsidRPr="005045BF" w:rsidRDefault="0023499B" w:rsidP="00F162F7">
      <w:pPr>
        <w:jc w:val="both"/>
        <w:rPr>
          <w:rFonts w:ascii="Arial" w:hAnsi="Arial" w:cs="Arial"/>
          <w:color w:val="000000" w:themeColor="text1"/>
          <w:sz w:val="22"/>
          <w:szCs w:val="22"/>
        </w:rPr>
      </w:pPr>
      <w:r w:rsidRPr="005045BF">
        <w:rPr>
          <w:rFonts w:ascii="Arial" w:hAnsi="Arial" w:cs="Arial"/>
          <w:color w:val="000000" w:themeColor="text1"/>
          <w:sz w:val="22"/>
          <w:szCs w:val="22"/>
        </w:rPr>
        <w:t>Con corte al</w:t>
      </w:r>
      <w:r w:rsidR="00F136BD" w:rsidRPr="005045BF">
        <w:rPr>
          <w:rFonts w:ascii="Arial" w:hAnsi="Arial" w:cs="Arial"/>
          <w:color w:val="000000" w:themeColor="text1"/>
          <w:sz w:val="22"/>
          <w:szCs w:val="22"/>
        </w:rPr>
        <w:t xml:space="preserve"> 31 de marzo de 2020</w:t>
      </w:r>
      <w:r w:rsidRPr="005045BF">
        <w:rPr>
          <w:rFonts w:ascii="Arial" w:hAnsi="Arial" w:cs="Arial"/>
          <w:color w:val="000000" w:themeColor="text1"/>
          <w:sz w:val="22"/>
          <w:szCs w:val="22"/>
        </w:rPr>
        <w:t xml:space="preserve">, </w:t>
      </w:r>
      <w:r w:rsidR="00F546DB" w:rsidRPr="005045BF">
        <w:rPr>
          <w:rFonts w:ascii="Arial" w:hAnsi="Arial" w:cs="Arial"/>
          <w:color w:val="000000" w:themeColor="text1"/>
          <w:sz w:val="22"/>
          <w:szCs w:val="22"/>
        </w:rPr>
        <w:t>el Ministerio de Hacienda y C</w:t>
      </w:r>
      <w:r w:rsidRPr="005045BF">
        <w:rPr>
          <w:rFonts w:ascii="Arial" w:hAnsi="Arial" w:cs="Arial"/>
          <w:color w:val="000000" w:themeColor="text1"/>
          <w:sz w:val="22"/>
          <w:szCs w:val="22"/>
        </w:rPr>
        <w:t xml:space="preserve">rédito Público </w:t>
      </w:r>
      <w:r w:rsidR="00B30C16" w:rsidRPr="005045BF">
        <w:rPr>
          <w:rFonts w:ascii="Arial" w:hAnsi="Arial" w:cs="Arial"/>
          <w:color w:val="000000" w:themeColor="text1"/>
          <w:sz w:val="22"/>
          <w:szCs w:val="22"/>
        </w:rPr>
        <w:t>t</w:t>
      </w:r>
      <w:r w:rsidR="00F136BD" w:rsidRPr="005045BF">
        <w:rPr>
          <w:rFonts w:ascii="Arial" w:hAnsi="Arial" w:cs="Arial"/>
          <w:color w:val="000000" w:themeColor="text1"/>
          <w:sz w:val="22"/>
          <w:szCs w:val="22"/>
        </w:rPr>
        <w:t xml:space="preserve">enía vigentes </w:t>
      </w:r>
      <w:r w:rsidR="00135128" w:rsidRPr="005045BF">
        <w:rPr>
          <w:rFonts w:ascii="Arial" w:hAnsi="Arial" w:cs="Arial"/>
          <w:color w:val="000000" w:themeColor="text1"/>
          <w:sz w:val="22"/>
          <w:szCs w:val="22"/>
        </w:rPr>
        <w:t>los siguientes contratos</w:t>
      </w:r>
      <w:r w:rsidR="00BA2679" w:rsidRPr="005045BF">
        <w:rPr>
          <w:rFonts w:ascii="Arial" w:hAnsi="Arial" w:cs="Arial"/>
          <w:color w:val="000000" w:themeColor="text1"/>
          <w:sz w:val="22"/>
          <w:szCs w:val="22"/>
        </w:rPr>
        <w:t xml:space="preserve"> referente</w:t>
      </w:r>
      <w:r w:rsidR="00063A31">
        <w:rPr>
          <w:rFonts w:ascii="Arial" w:hAnsi="Arial" w:cs="Arial"/>
          <w:color w:val="000000" w:themeColor="text1"/>
          <w:sz w:val="22"/>
          <w:szCs w:val="22"/>
        </w:rPr>
        <w:t>s</w:t>
      </w:r>
      <w:r w:rsidRPr="005045BF">
        <w:rPr>
          <w:rFonts w:ascii="Arial" w:hAnsi="Arial" w:cs="Arial"/>
          <w:color w:val="000000" w:themeColor="text1"/>
          <w:sz w:val="22"/>
          <w:szCs w:val="22"/>
        </w:rPr>
        <w:t xml:space="preserve"> a suscripciones</w:t>
      </w:r>
      <w:r w:rsidR="00135128" w:rsidRPr="005045BF">
        <w:rPr>
          <w:rFonts w:ascii="Arial" w:hAnsi="Arial" w:cs="Arial"/>
          <w:color w:val="000000" w:themeColor="text1"/>
          <w:sz w:val="22"/>
          <w:szCs w:val="22"/>
        </w:rPr>
        <w:t xml:space="preserve"> a periódicos</w:t>
      </w:r>
      <w:r w:rsidR="0020305F" w:rsidRPr="005045BF">
        <w:rPr>
          <w:rFonts w:ascii="Arial" w:hAnsi="Arial" w:cs="Arial"/>
          <w:color w:val="000000" w:themeColor="text1"/>
          <w:sz w:val="22"/>
          <w:szCs w:val="22"/>
        </w:rPr>
        <w:t xml:space="preserve"> y </w:t>
      </w:r>
      <w:r w:rsidR="00135128" w:rsidRPr="005045BF">
        <w:rPr>
          <w:rFonts w:ascii="Arial" w:hAnsi="Arial" w:cs="Arial"/>
          <w:color w:val="000000" w:themeColor="text1"/>
          <w:sz w:val="22"/>
          <w:szCs w:val="22"/>
        </w:rPr>
        <w:t>bases de datos</w:t>
      </w:r>
      <w:r w:rsidR="0020305F" w:rsidRPr="005045BF">
        <w:rPr>
          <w:rFonts w:ascii="Arial" w:hAnsi="Arial" w:cs="Arial"/>
          <w:color w:val="000000" w:themeColor="text1"/>
          <w:sz w:val="22"/>
          <w:szCs w:val="22"/>
        </w:rPr>
        <w:t xml:space="preserve">: </w:t>
      </w:r>
      <w:r w:rsidR="00135128" w:rsidRPr="005045BF">
        <w:rPr>
          <w:rFonts w:ascii="Arial" w:hAnsi="Arial" w:cs="Arial"/>
          <w:color w:val="000000" w:themeColor="text1"/>
          <w:sz w:val="22"/>
          <w:szCs w:val="22"/>
        </w:rPr>
        <w:t xml:space="preserve"> </w:t>
      </w:r>
    </w:p>
    <w:p w14:paraId="447DCC5F" w14:textId="29162B76" w:rsidR="001F7B03" w:rsidRPr="005045BF" w:rsidRDefault="001F7B03" w:rsidP="00F162F7">
      <w:pPr>
        <w:jc w:val="both"/>
        <w:rPr>
          <w:rFonts w:ascii="Arial" w:hAnsi="Arial" w:cs="Arial"/>
          <w:color w:val="000000" w:themeColor="text1"/>
          <w:sz w:val="22"/>
          <w:szCs w:val="22"/>
        </w:rPr>
      </w:pPr>
    </w:p>
    <w:tbl>
      <w:tblPr>
        <w:tblStyle w:val="Tablaconcuadrcula1clara-nfasis1"/>
        <w:tblW w:w="0" w:type="auto"/>
        <w:tblLook w:val="04A0" w:firstRow="1" w:lastRow="0" w:firstColumn="1" w:lastColumn="0" w:noHBand="0" w:noVBand="1"/>
      </w:tblPr>
      <w:tblGrid>
        <w:gridCol w:w="1167"/>
        <w:gridCol w:w="1127"/>
        <w:gridCol w:w="1128"/>
        <w:gridCol w:w="1123"/>
        <w:gridCol w:w="1926"/>
        <w:gridCol w:w="3158"/>
      </w:tblGrid>
      <w:tr w:rsidR="00CD15BC" w:rsidRPr="005045BF" w14:paraId="0FBB0F54" w14:textId="77777777" w:rsidTr="008E5F5E">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vAlign w:val="center"/>
            <w:hideMark/>
          </w:tcPr>
          <w:p w14:paraId="2284D2B5" w14:textId="77777777" w:rsidR="00970159" w:rsidRPr="005045BF" w:rsidRDefault="00970159" w:rsidP="009559F9">
            <w:pPr>
              <w:widowControl w:val="0"/>
              <w:spacing w:before="20" w:after="20"/>
              <w:jc w:val="center"/>
              <w:rPr>
                <w:rFonts w:ascii="Arial" w:hAnsi="Arial" w:cs="Arial"/>
                <w:color w:val="FFFFFF"/>
                <w:sz w:val="18"/>
                <w:szCs w:val="18"/>
              </w:rPr>
            </w:pPr>
            <w:r w:rsidRPr="005045BF">
              <w:rPr>
                <w:rFonts w:ascii="Arial" w:hAnsi="Arial" w:cs="Arial"/>
                <w:color w:val="FFFFFF"/>
                <w:sz w:val="18"/>
                <w:szCs w:val="18"/>
              </w:rPr>
              <w:t xml:space="preserve">Contratista </w:t>
            </w:r>
          </w:p>
        </w:tc>
        <w:tc>
          <w:tcPr>
            <w:tcW w:w="0" w:type="auto"/>
            <w:shd w:val="clear" w:color="auto" w:fill="4F81BD" w:themeFill="accent1"/>
            <w:vAlign w:val="center"/>
            <w:hideMark/>
          </w:tcPr>
          <w:p w14:paraId="5C942D7D" w14:textId="77777777" w:rsidR="00970159" w:rsidRPr="005045BF" w:rsidRDefault="00970159" w:rsidP="009559F9">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 Contrato</w:t>
            </w:r>
          </w:p>
        </w:tc>
        <w:tc>
          <w:tcPr>
            <w:tcW w:w="0" w:type="auto"/>
            <w:shd w:val="clear" w:color="auto" w:fill="4F81BD" w:themeFill="accent1"/>
            <w:vAlign w:val="center"/>
            <w:hideMark/>
          </w:tcPr>
          <w:p w14:paraId="3BA1F60B" w14:textId="42A21998" w:rsidR="00970159" w:rsidRPr="005045BF" w:rsidRDefault="00970159" w:rsidP="009559F9">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Fecha Inici</w:t>
            </w:r>
            <w:r w:rsidR="0076088F" w:rsidRPr="005045BF">
              <w:rPr>
                <w:rFonts w:ascii="Arial" w:hAnsi="Arial" w:cs="Arial"/>
                <w:color w:val="FFFFFF"/>
                <w:sz w:val="18"/>
                <w:szCs w:val="18"/>
              </w:rPr>
              <w:t>al</w:t>
            </w:r>
          </w:p>
        </w:tc>
        <w:tc>
          <w:tcPr>
            <w:tcW w:w="0" w:type="auto"/>
            <w:shd w:val="clear" w:color="auto" w:fill="4F81BD" w:themeFill="accent1"/>
            <w:vAlign w:val="center"/>
            <w:hideMark/>
          </w:tcPr>
          <w:p w14:paraId="4F68D179" w14:textId="77777777" w:rsidR="00970159" w:rsidRPr="005045BF" w:rsidRDefault="00970159" w:rsidP="009559F9">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Fecha Final</w:t>
            </w:r>
          </w:p>
        </w:tc>
        <w:tc>
          <w:tcPr>
            <w:tcW w:w="0" w:type="auto"/>
            <w:shd w:val="clear" w:color="auto" w:fill="4F81BD" w:themeFill="accent1"/>
            <w:vAlign w:val="center"/>
            <w:hideMark/>
          </w:tcPr>
          <w:p w14:paraId="0338E1C2" w14:textId="728D2B74" w:rsidR="00970159" w:rsidRPr="005045BF" w:rsidRDefault="00970159" w:rsidP="009559F9">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Valor del Contrato</w:t>
            </w:r>
            <w:r w:rsidR="0076088F" w:rsidRPr="005045BF">
              <w:rPr>
                <w:rFonts w:ascii="Arial" w:hAnsi="Arial" w:cs="Arial"/>
                <w:color w:val="FFFFFF"/>
                <w:sz w:val="18"/>
                <w:szCs w:val="18"/>
              </w:rPr>
              <w:t xml:space="preserve"> ($)</w:t>
            </w:r>
          </w:p>
        </w:tc>
        <w:tc>
          <w:tcPr>
            <w:tcW w:w="0" w:type="auto"/>
            <w:shd w:val="clear" w:color="auto" w:fill="4F81BD" w:themeFill="accent1"/>
            <w:vAlign w:val="center"/>
            <w:hideMark/>
          </w:tcPr>
          <w:p w14:paraId="383977F0" w14:textId="77777777" w:rsidR="00970159" w:rsidRPr="005045BF" w:rsidRDefault="00970159" w:rsidP="009559F9">
            <w:pPr>
              <w:widowControl w:val="0"/>
              <w:spacing w:before="20" w:after="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18"/>
                <w:szCs w:val="18"/>
              </w:rPr>
            </w:pPr>
            <w:r w:rsidRPr="005045BF">
              <w:rPr>
                <w:rFonts w:ascii="Arial" w:hAnsi="Arial" w:cs="Arial"/>
                <w:color w:val="FFFFFF"/>
                <w:sz w:val="18"/>
                <w:szCs w:val="18"/>
              </w:rPr>
              <w:t xml:space="preserve">Objeto del Contrato </w:t>
            </w:r>
          </w:p>
        </w:tc>
      </w:tr>
      <w:tr w:rsidR="0076088F" w:rsidRPr="005045BF" w14:paraId="00155AE4" w14:textId="77777777" w:rsidTr="009559F9">
        <w:trPr>
          <w:trHeight w:val="1207"/>
        </w:trPr>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1647CB88"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COMUNICAN S.A</w:t>
            </w:r>
          </w:p>
        </w:tc>
        <w:tc>
          <w:tcPr>
            <w:tcW w:w="0" w:type="auto"/>
            <w:noWrap/>
            <w:vAlign w:val="center"/>
            <w:hideMark/>
          </w:tcPr>
          <w:p w14:paraId="5B57D4DB"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2.011-2018</w:t>
            </w:r>
          </w:p>
        </w:tc>
        <w:tc>
          <w:tcPr>
            <w:tcW w:w="0" w:type="auto"/>
            <w:noWrap/>
            <w:vAlign w:val="center"/>
            <w:hideMark/>
          </w:tcPr>
          <w:p w14:paraId="538DB517"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2/10/2018</w:t>
            </w:r>
          </w:p>
        </w:tc>
        <w:tc>
          <w:tcPr>
            <w:tcW w:w="0" w:type="auto"/>
            <w:noWrap/>
            <w:vAlign w:val="center"/>
            <w:hideMark/>
          </w:tcPr>
          <w:p w14:paraId="7E6923E5"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1/04/2020</w:t>
            </w:r>
          </w:p>
        </w:tc>
        <w:tc>
          <w:tcPr>
            <w:tcW w:w="0" w:type="auto"/>
            <w:vAlign w:val="center"/>
            <w:hideMark/>
          </w:tcPr>
          <w:p w14:paraId="229301A7"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1.044.000</w:t>
            </w:r>
          </w:p>
        </w:tc>
        <w:tc>
          <w:tcPr>
            <w:tcW w:w="0" w:type="auto"/>
            <w:vAlign w:val="center"/>
            <w:hideMark/>
          </w:tcPr>
          <w:p w14:paraId="7CB32813" w14:textId="0407CDAD"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w:t>
            </w:r>
            <w:r w:rsidR="00970159" w:rsidRPr="005045BF">
              <w:rPr>
                <w:rFonts w:ascii="Arial" w:hAnsi="Arial" w:cs="Arial"/>
                <w:color w:val="0F243E" w:themeColor="text2" w:themeShade="80"/>
                <w:sz w:val="18"/>
                <w:szCs w:val="18"/>
              </w:rPr>
              <w:t>uscripci</w:t>
            </w:r>
            <w:r w:rsidRPr="005045BF">
              <w:rPr>
                <w:rFonts w:ascii="Arial" w:hAnsi="Arial" w:cs="Arial"/>
                <w:color w:val="0F243E" w:themeColor="text2" w:themeShade="80"/>
                <w:sz w:val="18"/>
                <w:szCs w:val="18"/>
              </w:rPr>
              <w:t>ón</w:t>
            </w:r>
            <w:r w:rsidR="00970159" w:rsidRPr="005045BF">
              <w:rPr>
                <w:rFonts w:ascii="Arial" w:hAnsi="Arial" w:cs="Arial"/>
                <w:color w:val="0F243E" w:themeColor="text2" w:themeShade="80"/>
                <w:sz w:val="18"/>
                <w:szCs w:val="18"/>
              </w:rPr>
              <w:t xml:space="preserve"> al diario El Espectador, con destino al Ministerio de Hacienda y Crédito Público</w:t>
            </w:r>
            <w:r w:rsidR="0076088F" w:rsidRPr="005045BF">
              <w:rPr>
                <w:rFonts w:ascii="Arial" w:hAnsi="Arial" w:cs="Arial"/>
                <w:color w:val="0F243E" w:themeColor="text2" w:themeShade="80"/>
                <w:sz w:val="18"/>
                <w:szCs w:val="18"/>
              </w:rPr>
              <w:t>.</w:t>
            </w:r>
          </w:p>
        </w:tc>
      </w:tr>
      <w:tr w:rsidR="0076088F" w:rsidRPr="005045BF" w14:paraId="356C8629"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4E4C8537"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lastRenderedPageBreak/>
              <w:t>FITCH SOLUTIONS INC</w:t>
            </w:r>
          </w:p>
        </w:tc>
        <w:tc>
          <w:tcPr>
            <w:tcW w:w="0" w:type="auto"/>
            <w:noWrap/>
            <w:vAlign w:val="center"/>
            <w:hideMark/>
          </w:tcPr>
          <w:p w14:paraId="689F6526"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3.330-2018</w:t>
            </w:r>
          </w:p>
        </w:tc>
        <w:tc>
          <w:tcPr>
            <w:tcW w:w="0" w:type="auto"/>
            <w:noWrap/>
            <w:vAlign w:val="center"/>
            <w:hideMark/>
          </w:tcPr>
          <w:p w14:paraId="45F845EF"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1/11/2018</w:t>
            </w:r>
          </w:p>
        </w:tc>
        <w:tc>
          <w:tcPr>
            <w:tcW w:w="0" w:type="auto"/>
            <w:noWrap/>
            <w:vAlign w:val="center"/>
            <w:hideMark/>
          </w:tcPr>
          <w:p w14:paraId="609FC793"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31/10/2022</w:t>
            </w:r>
          </w:p>
        </w:tc>
        <w:tc>
          <w:tcPr>
            <w:tcW w:w="0" w:type="auto"/>
            <w:vAlign w:val="center"/>
            <w:hideMark/>
          </w:tcPr>
          <w:p w14:paraId="6CB845DD"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250.861.300</w:t>
            </w:r>
          </w:p>
        </w:tc>
        <w:tc>
          <w:tcPr>
            <w:tcW w:w="0" w:type="auto"/>
            <w:vAlign w:val="center"/>
            <w:hideMark/>
          </w:tcPr>
          <w:p w14:paraId="745D2BF7" w14:textId="0D6A5FE5" w:rsidR="00970159" w:rsidRPr="005045BF" w:rsidRDefault="00970159"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Suscripción a la plataforma de </w:t>
            </w:r>
            <w:r w:rsidR="00CD15BC" w:rsidRPr="005045BF">
              <w:rPr>
                <w:rFonts w:ascii="Arial" w:hAnsi="Arial" w:cs="Arial"/>
                <w:color w:val="0F243E" w:themeColor="text2" w:themeShade="80"/>
                <w:sz w:val="18"/>
                <w:szCs w:val="18"/>
              </w:rPr>
              <w:t>FITCH SOLUTIONS</w:t>
            </w:r>
            <w:r w:rsidRPr="005045BF">
              <w:rPr>
                <w:rFonts w:ascii="Arial" w:hAnsi="Arial" w:cs="Arial"/>
                <w:color w:val="0F243E" w:themeColor="text2" w:themeShade="80"/>
                <w:sz w:val="18"/>
                <w:szCs w:val="18"/>
              </w:rPr>
              <w:t>, con destino a la Subdirección de Financiamiento Externo de la Nación del Ministerio de Hacienda y Crédito Púbico</w:t>
            </w:r>
            <w:r w:rsidR="00CD15BC" w:rsidRPr="005045BF">
              <w:rPr>
                <w:rFonts w:ascii="Arial" w:hAnsi="Arial" w:cs="Arial"/>
                <w:color w:val="0F243E" w:themeColor="text2" w:themeShade="80"/>
                <w:sz w:val="18"/>
                <w:szCs w:val="18"/>
              </w:rPr>
              <w:t>.</w:t>
            </w:r>
          </w:p>
        </w:tc>
      </w:tr>
      <w:tr w:rsidR="0076088F" w:rsidRPr="005045BF" w14:paraId="6432A9D8"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1F63AE3C"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S&amp;P GLOBAL MARKET INTELIGENCE LLC</w:t>
            </w:r>
          </w:p>
        </w:tc>
        <w:tc>
          <w:tcPr>
            <w:tcW w:w="0" w:type="auto"/>
            <w:noWrap/>
            <w:vAlign w:val="center"/>
            <w:hideMark/>
          </w:tcPr>
          <w:p w14:paraId="4E1FF762"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3.366-2018</w:t>
            </w:r>
          </w:p>
        </w:tc>
        <w:tc>
          <w:tcPr>
            <w:tcW w:w="0" w:type="auto"/>
            <w:noWrap/>
            <w:vAlign w:val="center"/>
            <w:hideMark/>
          </w:tcPr>
          <w:p w14:paraId="3B623E4C"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26/11/2018</w:t>
            </w:r>
          </w:p>
        </w:tc>
        <w:tc>
          <w:tcPr>
            <w:tcW w:w="0" w:type="auto"/>
            <w:noWrap/>
            <w:vAlign w:val="center"/>
            <w:hideMark/>
          </w:tcPr>
          <w:p w14:paraId="42FCBF54"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25/11/2022</w:t>
            </w:r>
          </w:p>
        </w:tc>
        <w:tc>
          <w:tcPr>
            <w:tcW w:w="0" w:type="auto"/>
            <w:vAlign w:val="center"/>
            <w:hideMark/>
          </w:tcPr>
          <w:p w14:paraId="7544CB8F"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369.472.291</w:t>
            </w:r>
          </w:p>
        </w:tc>
        <w:tc>
          <w:tcPr>
            <w:tcW w:w="0" w:type="auto"/>
            <w:vAlign w:val="center"/>
            <w:hideMark/>
          </w:tcPr>
          <w:p w14:paraId="6B42292E" w14:textId="77777777" w:rsidR="00970159" w:rsidRPr="005045BF" w:rsidRDefault="00970159"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Suscripción vía internet a la publicación denominada STANDARD AND POORS CAPITAL IQ-RD SOVEREINGS &amp; INTERNATIONAL con destino a la Dirección General de Crédito Público y Tesoro Nacional.</w:t>
            </w:r>
          </w:p>
        </w:tc>
      </w:tr>
      <w:tr w:rsidR="0076088F" w:rsidRPr="005045BF" w14:paraId="2A4C788A"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06AA9F1C"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CASA EDITORIAL EL TIEMPO S.A.</w:t>
            </w:r>
          </w:p>
        </w:tc>
        <w:tc>
          <w:tcPr>
            <w:tcW w:w="0" w:type="auto"/>
            <w:noWrap/>
            <w:vAlign w:val="center"/>
            <w:hideMark/>
          </w:tcPr>
          <w:p w14:paraId="5AA6AE44"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3.360-2018</w:t>
            </w:r>
          </w:p>
        </w:tc>
        <w:tc>
          <w:tcPr>
            <w:tcW w:w="0" w:type="auto"/>
            <w:noWrap/>
            <w:vAlign w:val="center"/>
            <w:hideMark/>
          </w:tcPr>
          <w:p w14:paraId="47785047"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27/11/2018</w:t>
            </w:r>
          </w:p>
        </w:tc>
        <w:tc>
          <w:tcPr>
            <w:tcW w:w="0" w:type="auto"/>
            <w:noWrap/>
            <w:vAlign w:val="center"/>
            <w:hideMark/>
          </w:tcPr>
          <w:p w14:paraId="6DAC8B02"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26/05/2020</w:t>
            </w:r>
          </w:p>
        </w:tc>
        <w:tc>
          <w:tcPr>
            <w:tcW w:w="0" w:type="auto"/>
            <w:vAlign w:val="center"/>
            <w:hideMark/>
          </w:tcPr>
          <w:p w14:paraId="0F5DB60E"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1.335.998</w:t>
            </w:r>
          </w:p>
        </w:tc>
        <w:tc>
          <w:tcPr>
            <w:tcW w:w="0" w:type="auto"/>
            <w:vAlign w:val="center"/>
            <w:hideMark/>
          </w:tcPr>
          <w:p w14:paraId="191DE0F9" w14:textId="54A2866C"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w:t>
            </w:r>
            <w:r w:rsidR="00970159" w:rsidRPr="005045BF">
              <w:rPr>
                <w:rFonts w:ascii="Arial" w:hAnsi="Arial" w:cs="Arial"/>
                <w:color w:val="0F243E" w:themeColor="text2" w:themeShade="80"/>
                <w:sz w:val="18"/>
                <w:szCs w:val="18"/>
              </w:rPr>
              <w:t>uscripci</w:t>
            </w:r>
            <w:r w:rsidRPr="005045BF">
              <w:rPr>
                <w:rFonts w:ascii="Arial" w:hAnsi="Arial" w:cs="Arial"/>
                <w:color w:val="0F243E" w:themeColor="text2" w:themeShade="80"/>
                <w:sz w:val="18"/>
                <w:szCs w:val="18"/>
              </w:rPr>
              <w:t>ón</w:t>
            </w:r>
            <w:r w:rsidR="00970159" w:rsidRPr="005045BF">
              <w:rPr>
                <w:rFonts w:ascii="Arial" w:hAnsi="Arial" w:cs="Arial"/>
                <w:color w:val="0F243E" w:themeColor="text2" w:themeShade="80"/>
                <w:sz w:val="18"/>
                <w:szCs w:val="18"/>
              </w:rPr>
              <w:t xml:space="preserve"> al diario El Tiempo y al Diario Portafolio, con destino al Ministerio de Hacienda y Crédito Público</w:t>
            </w:r>
          </w:p>
        </w:tc>
      </w:tr>
      <w:tr w:rsidR="0076088F" w:rsidRPr="005045BF" w14:paraId="21EEB6A6"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52B915EE"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MOODYS ANALYTICS</w:t>
            </w:r>
          </w:p>
        </w:tc>
        <w:tc>
          <w:tcPr>
            <w:tcW w:w="0" w:type="auto"/>
            <w:noWrap/>
            <w:vAlign w:val="center"/>
            <w:hideMark/>
          </w:tcPr>
          <w:p w14:paraId="218B3676"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3.221-2019</w:t>
            </w:r>
          </w:p>
        </w:tc>
        <w:tc>
          <w:tcPr>
            <w:tcW w:w="0" w:type="auto"/>
            <w:noWrap/>
            <w:vAlign w:val="center"/>
            <w:hideMark/>
          </w:tcPr>
          <w:p w14:paraId="74B50F07"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9/04/2019</w:t>
            </w:r>
          </w:p>
        </w:tc>
        <w:tc>
          <w:tcPr>
            <w:tcW w:w="0" w:type="auto"/>
            <w:noWrap/>
            <w:vAlign w:val="center"/>
            <w:hideMark/>
          </w:tcPr>
          <w:p w14:paraId="610E684B"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8/04/2022</w:t>
            </w:r>
          </w:p>
        </w:tc>
        <w:tc>
          <w:tcPr>
            <w:tcW w:w="0" w:type="auto"/>
            <w:noWrap/>
            <w:vAlign w:val="center"/>
            <w:hideMark/>
          </w:tcPr>
          <w:p w14:paraId="00C3DCB1"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233.914.933 </w:t>
            </w:r>
          </w:p>
        </w:tc>
        <w:tc>
          <w:tcPr>
            <w:tcW w:w="0" w:type="auto"/>
            <w:vAlign w:val="center"/>
            <w:hideMark/>
          </w:tcPr>
          <w:p w14:paraId="74F624CD" w14:textId="77777777" w:rsidR="00970159" w:rsidRPr="005045BF" w:rsidRDefault="00970159"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Suscripción para acceder vía internet al servicio denominado CREDITVIEW SOVEREIGN GLOBAL de la plataforma MOODYS ANALYTICS, con destino a la Dirección General de Crédito Público y Tesoro Nacional.</w:t>
            </w:r>
          </w:p>
        </w:tc>
      </w:tr>
      <w:tr w:rsidR="0076088F" w:rsidRPr="005045BF" w14:paraId="30C2FB05"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5DE1CC27"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BIBLIOWEB SAS</w:t>
            </w:r>
          </w:p>
        </w:tc>
        <w:tc>
          <w:tcPr>
            <w:tcW w:w="0" w:type="auto"/>
            <w:noWrap/>
            <w:vAlign w:val="center"/>
            <w:hideMark/>
          </w:tcPr>
          <w:p w14:paraId="3A61E9CE"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3.303-2019</w:t>
            </w:r>
          </w:p>
        </w:tc>
        <w:tc>
          <w:tcPr>
            <w:tcW w:w="0" w:type="auto"/>
            <w:noWrap/>
            <w:vAlign w:val="center"/>
            <w:hideMark/>
          </w:tcPr>
          <w:p w14:paraId="5953646B"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26/09/2019</w:t>
            </w:r>
          </w:p>
        </w:tc>
        <w:tc>
          <w:tcPr>
            <w:tcW w:w="0" w:type="auto"/>
            <w:noWrap/>
            <w:vAlign w:val="center"/>
            <w:hideMark/>
          </w:tcPr>
          <w:p w14:paraId="6F403BE1"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30/06/2021</w:t>
            </w:r>
          </w:p>
        </w:tc>
        <w:tc>
          <w:tcPr>
            <w:tcW w:w="0" w:type="auto"/>
            <w:noWrap/>
            <w:vAlign w:val="center"/>
            <w:hideMark/>
          </w:tcPr>
          <w:p w14:paraId="0E460CDE"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                29.834.000 </w:t>
            </w:r>
          </w:p>
        </w:tc>
        <w:tc>
          <w:tcPr>
            <w:tcW w:w="0" w:type="auto"/>
            <w:vAlign w:val="center"/>
            <w:hideMark/>
          </w:tcPr>
          <w:p w14:paraId="30686A4E" w14:textId="507E9B3C"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w:t>
            </w:r>
            <w:r w:rsidR="00970159" w:rsidRPr="005045BF">
              <w:rPr>
                <w:rFonts w:ascii="Arial" w:hAnsi="Arial" w:cs="Arial"/>
                <w:color w:val="0F243E" w:themeColor="text2" w:themeShade="80"/>
                <w:sz w:val="18"/>
                <w:szCs w:val="18"/>
              </w:rPr>
              <w:t>uscripción de software en la nube de internet y su soporte, para la gestión del catálogo de la biblioteca del Ministerio de Hacienda y Crédito Público</w:t>
            </w:r>
          </w:p>
        </w:tc>
      </w:tr>
      <w:tr w:rsidR="0076088F" w:rsidRPr="005045BF" w14:paraId="3478B0E9"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4324A9A3"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PRIMERAPAGINA COLOMBIA S.A.S</w:t>
            </w:r>
          </w:p>
        </w:tc>
        <w:tc>
          <w:tcPr>
            <w:tcW w:w="0" w:type="auto"/>
            <w:vAlign w:val="center"/>
            <w:hideMark/>
          </w:tcPr>
          <w:p w14:paraId="708C9C3E"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3.325-2019</w:t>
            </w:r>
          </w:p>
        </w:tc>
        <w:tc>
          <w:tcPr>
            <w:tcW w:w="0" w:type="auto"/>
            <w:noWrap/>
            <w:vAlign w:val="center"/>
            <w:hideMark/>
          </w:tcPr>
          <w:p w14:paraId="5D52E20B"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1/11/2019</w:t>
            </w:r>
          </w:p>
        </w:tc>
        <w:tc>
          <w:tcPr>
            <w:tcW w:w="0" w:type="auto"/>
            <w:noWrap/>
            <w:vAlign w:val="center"/>
            <w:hideMark/>
          </w:tcPr>
          <w:p w14:paraId="4FB6B303"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31/10/2020</w:t>
            </w:r>
          </w:p>
        </w:tc>
        <w:tc>
          <w:tcPr>
            <w:tcW w:w="0" w:type="auto"/>
            <w:vAlign w:val="center"/>
            <w:hideMark/>
          </w:tcPr>
          <w:p w14:paraId="2EFE4CF6"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6.479.700</w:t>
            </w:r>
          </w:p>
        </w:tc>
        <w:tc>
          <w:tcPr>
            <w:tcW w:w="0" w:type="auto"/>
            <w:vAlign w:val="center"/>
            <w:hideMark/>
          </w:tcPr>
          <w:p w14:paraId="6CDB4F28" w14:textId="77307DDD"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w:t>
            </w:r>
            <w:r w:rsidR="00970159" w:rsidRPr="005045BF">
              <w:rPr>
                <w:rFonts w:ascii="Arial" w:hAnsi="Arial" w:cs="Arial"/>
                <w:color w:val="0F243E" w:themeColor="text2" w:themeShade="80"/>
                <w:sz w:val="18"/>
                <w:szCs w:val="18"/>
              </w:rPr>
              <w:t>uscripción del servicio de reportes de los indicadores que mueven los mercados financieros y bursátiles</w:t>
            </w:r>
            <w:r w:rsidRPr="005045BF">
              <w:rPr>
                <w:rFonts w:ascii="Arial" w:hAnsi="Arial" w:cs="Arial"/>
                <w:color w:val="0F243E" w:themeColor="text2" w:themeShade="80"/>
                <w:sz w:val="18"/>
                <w:szCs w:val="18"/>
              </w:rPr>
              <w:t>.</w:t>
            </w:r>
          </w:p>
        </w:tc>
      </w:tr>
      <w:tr w:rsidR="0076088F" w:rsidRPr="005045BF" w14:paraId="2706378C"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1527AC65"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BIM LATINOAMERICA SAS</w:t>
            </w:r>
          </w:p>
        </w:tc>
        <w:tc>
          <w:tcPr>
            <w:tcW w:w="0" w:type="auto"/>
            <w:vAlign w:val="center"/>
            <w:hideMark/>
          </w:tcPr>
          <w:p w14:paraId="2E0D58B0"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2.008-2019</w:t>
            </w:r>
          </w:p>
        </w:tc>
        <w:tc>
          <w:tcPr>
            <w:tcW w:w="0" w:type="auto"/>
            <w:vAlign w:val="center"/>
            <w:hideMark/>
          </w:tcPr>
          <w:p w14:paraId="5110220A"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7/11/2019</w:t>
            </w:r>
          </w:p>
        </w:tc>
        <w:tc>
          <w:tcPr>
            <w:tcW w:w="0" w:type="auto"/>
            <w:noWrap/>
            <w:vAlign w:val="center"/>
            <w:hideMark/>
          </w:tcPr>
          <w:p w14:paraId="72F6CC1F"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6/11/2020</w:t>
            </w:r>
          </w:p>
        </w:tc>
        <w:tc>
          <w:tcPr>
            <w:tcW w:w="0" w:type="auto"/>
            <w:vAlign w:val="center"/>
            <w:hideMark/>
          </w:tcPr>
          <w:p w14:paraId="0101B016"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42.249.245</w:t>
            </w:r>
          </w:p>
        </w:tc>
        <w:tc>
          <w:tcPr>
            <w:tcW w:w="0" w:type="auto"/>
            <w:vAlign w:val="center"/>
            <w:hideMark/>
          </w:tcPr>
          <w:p w14:paraId="38CCE1FB" w14:textId="02033B00" w:rsidR="00970159" w:rsidRPr="005045BF" w:rsidRDefault="00970159"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Suscripción para </w:t>
            </w:r>
            <w:r w:rsidR="00CD15BC" w:rsidRPr="005045BF">
              <w:rPr>
                <w:rFonts w:ascii="Arial" w:hAnsi="Arial" w:cs="Arial"/>
                <w:color w:val="0F243E" w:themeColor="text2" w:themeShade="80"/>
                <w:sz w:val="18"/>
                <w:szCs w:val="18"/>
              </w:rPr>
              <w:t xml:space="preserve">el </w:t>
            </w:r>
            <w:r w:rsidRPr="005045BF">
              <w:rPr>
                <w:rFonts w:ascii="Arial" w:hAnsi="Arial" w:cs="Arial"/>
                <w:color w:val="0F243E" w:themeColor="text2" w:themeShade="80"/>
                <w:sz w:val="18"/>
                <w:szCs w:val="18"/>
              </w:rPr>
              <w:t xml:space="preserve">licenciamiento de los productos de </w:t>
            </w:r>
            <w:r w:rsidR="003C7C1B" w:rsidRPr="005045BF">
              <w:rPr>
                <w:rFonts w:ascii="Arial" w:hAnsi="Arial" w:cs="Arial"/>
                <w:color w:val="0F243E" w:themeColor="text2" w:themeShade="80"/>
                <w:sz w:val="18"/>
                <w:szCs w:val="18"/>
              </w:rPr>
              <w:t>AUTODESK</w:t>
            </w:r>
            <w:r w:rsidRPr="005045BF">
              <w:rPr>
                <w:rFonts w:ascii="Arial" w:hAnsi="Arial" w:cs="Arial"/>
                <w:color w:val="0F243E" w:themeColor="text2" w:themeShade="80"/>
                <w:sz w:val="18"/>
                <w:szCs w:val="18"/>
              </w:rPr>
              <w:t xml:space="preserve"> que incluye 4 licencias en red multiusuario de </w:t>
            </w:r>
            <w:r w:rsidR="003C7C1B" w:rsidRPr="005045BF">
              <w:rPr>
                <w:rFonts w:ascii="Arial" w:hAnsi="Arial" w:cs="Arial"/>
                <w:i/>
                <w:iCs/>
                <w:color w:val="0F243E" w:themeColor="text2" w:themeShade="80"/>
                <w:sz w:val="18"/>
                <w:szCs w:val="18"/>
              </w:rPr>
              <w:t xml:space="preserve">AUTODESK ARCHITECTURE ENGINEERING CONSTRUCTION COLLECTION </w:t>
            </w:r>
            <w:r w:rsidRPr="005045BF">
              <w:rPr>
                <w:rFonts w:ascii="Arial" w:hAnsi="Arial" w:cs="Arial"/>
                <w:color w:val="0F243E" w:themeColor="text2" w:themeShade="80"/>
                <w:sz w:val="18"/>
                <w:szCs w:val="18"/>
              </w:rPr>
              <w:t>junto con el mantenimiento y soporte directo vía web.</w:t>
            </w:r>
          </w:p>
        </w:tc>
      </w:tr>
      <w:tr w:rsidR="0076088F" w:rsidRPr="005045BF" w14:paraId="47C7E2EA"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348DC13D"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IMPRENTA NACIONAL DE COLOMBIA</w:t>
            </w:r>
          </w:p>
        </w:tc>
        <w:tc>
          <w:tcPr>
            <w:tcW w:w="0" w:type="auto"/>
            <w:vAlign w:val="center"/>
            <w:hideMark/>
          </w:tcPr>
          <w:p w14:paraId="3D3B10A9"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7.016-2019</w:t>
            </w:r>
          </w:p>
        </w:tc>
        <w:tc>
          <w:tcPr>
            <w:tcW w:w="0" w:type="auto"/>
            <w:noWrap/>
            <w:vAlign w:val="center"/>
            <w:hideMark/>
          </w:tcPr>
          <w:p w14:paraId="1DFAF285"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3/12/2019</w:t>
            </w:r>
          </w:p>
        </w:tc>
        <w:tc>
          <w:tcPr>
            <w:tcW w:w="0" w:type="auto"/>
            <w:noWrap/>
            <w:vAlign w:val="center"/>
            <w:hideMark/>
          </w:tcPr>
          <w:p w14:paraId="3F36AAF6"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2/12/2020</w:t>
            </w:r>
          </w:p>
        </w:tc>
        <w:tc>
          <w:tcPr>
            <w:tcW w:w="0" w:type="auto"/>
            <w:vAlign w:val="center"/>
            <w:hideMark/>
          </w:tcPr>
          <w:p w14:paraId="2F49869F"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230.300</w:t>
            </w:r>
          </w:p>
        </w:tc>
        <w:tc>
          <w:tcPr>
            <w:tcW w:w="0" w:type="auto"/>
            <w:vAlign w:val="center"/>
            <w:hideMark/>
          </w:tcPr>
          <w:p w14:paraId="32BE40C7" w14:textId="7C7EBB80"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w:t>
            </w:r>
            <w:r w:rsidR="00970159" w:rsidRPr="005045BF">
              <w:rPr>
                <w:rFonts w:ascii="Arial" w:hAnsi="Arial" w:cs="Arial"/>
                <w:color w:val="0F243E" w:themeColor="text2" w:themeShade="80"/>
                <w:sz w:val="18"/>
                <w:szCs w:val="18"/>
              </w:rPr>
              <w:t xml:space="preserve">uscripción electrónica al diario oficial publicado por la </w:t>
            </w:r>
            <w:r w:rsidRPr="005045BF">
              <w:rPr>
                <w:rFonts w:ascii="Arial" w:hAnsi="Arial" w:cs="Arial"/>
                <w:color w:val="0F243E" w:themeColor="text2" w:themeShade="80"/>
                <w:sz w:val="18"/>
                <w:szCs w:val="18"/>
              </w:rPr>
              <w:t>I</w:t>
            </w:r>
            <w:r w:rsidR="00970159" w:rsidRPr="005045BF">
              <w:rPr>
                <w:rFonts w:ascii="Arial" w:hAnsi="Arial" w:cs="Arial"/>
                <w:color w:val="0F243E" w:themeColor="text2" w:themeShade="80"/>
                <w:sz w:val="18"/>
                <w:szCs w:val="18"/>
              </w:rPr>
              <w:t xml:space="preserve">mprenta </w:t>
            </w:r>
            <w:r w:rsidRPr="005045BF">
              <w:rPr>
                <w:rFonts w:ascii="Arial" w:hAnsi="Arial" w:cs="Arial"/>
                <w:color w:val="0F243E" w:themeColor="text2" w:themeShade="80"/>
                <w:sz w:val="18"/>
                <w:szCs w:val="18"/>
              </w:rPr>
              <w:t>N</w:t>
            </w:r>
            <w:r w:rsidR="00970159" w:rsidRPr="005045BF">
              <w:rPr>
                <w:rFonts w:ascii="Arial" w:hAnsi="Arial" w:cs="Arial"/>
                <w:color w:val="0F243E" w:themeColor="text2" w:themeShade="80"/>
                <w:sz w:val="18"/>
                <w:szCs w:val="18"/>
              </w:rPr>
              <w:t>acional de Colombia</w:t>
            </w:r>
            <w:r w:rsidRPr="005045BF">
              <w:rPr>
                <w:rFonts w:ascii="Arial" w:hAnsi="Arial" w:cs="Arial"/>
                <w:color w:val="0F243E" w:themeColor="text2" w:themeShade="80"/>
                <w:sz w:val="18"/>
                <w:szCs w:val="18"/>
              </w:rPr>
              <w:t>.</w:t>
            </w:r>
          </w:p>
        </w:tc>
      </w:tr>
      <w:tr w:rsidR="0076088F" w:rsidRPr="005045BF" w14:paraId="61ACF4CD"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5A5915EE"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XSYSTEM LTDA</w:t>
            </w:r>
          </w:p>
        </w:tc>
        <w:tc>
          <w:tcPr>
            <w:tcW w:w="0" w:type="auto"/>
            <w:vAlign w:val="center"/>
            <w:hideMark/>
          </w:tcPr>
          <w:p w14:paraId="26AB2D05"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2.017-2019</w:t>
            </w:r>
          </w:p>
        </w:tc>
        <w:tc>
          <w:tcPr>
            <w:tcW w:w="0" w:type="auto"/>
            <w:noWrap/>
            <w:vAlign w:val="center"/>
            <w:hideMark/>
          </w:tcPr>
          <w:p w14:paraId="0FEADF54"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26/12/2019</w:t>
            </w:r>
          </w:p>
        </w:tc>
        <w:tc>
          <w:tcPr>
            <w:tcW w:w="0" w:type="auto"/>
            <w:noWrap/>
            <w:vAlign w:val="center"/>
            <w:hideMark/>
          </w:tcPr>
          <w:p w14:paraId="40864A12"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25/12/2020</w:t>
            </w:r>
          </w:p>
        </w:tc>
        <w:tc>
          <w:tcPr>
            <w:tcW w:w="0" w:type="auto"/>
            <w:vAlign w:val="center"/>
            <w:hideMark/>
          </w:tcPr>
          <w:p w14:paraId="7AD462FC" w14:textId="77777777"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71.638.547</w:t>
            </w:r>
          </w:p>
        </w:tc>
        <w:tc>
          <w:tcPr>
            <w:tcW w:w="0" w:type="auto"/>
            <w:vAlign w:val="center"/>
            <w:hideMark/>
          </w:tcPr>
          <w:p w14:paraId="40E66491" w14:textId="04BDA58A" w:rsidR="00970159" w:rsidRPr="005045BF" w:rsidRDefault="00CD15BC"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R</w:t>
            </w:r>
            <w:r w:rsidR="00970159" w:rsidRPr="005045BF">
              <w:rPr>
                <w:rFonts w:ascii="Arial" w:hAnsi="Arial" w:cs="Arial"/>
                <w:color w:val="0F243E" w:themeColor="text2" w:themeShade="80"/>
                <w:sz w:val="18"/>
                <w:szCs w:val="18"/>
              </w:rPr>
              <w:t xml:space="preserve">enovación y suscripción de licencias </w:t>
            </w:r>
            <w:r w:rsidRPr="005045BF">
              <w:rPr>
                <w:rFonts w:ascii="Arial" w:hAnsi="Arial" w:cs="Arial"/>
                <w:color w:val="0F243E" w:themeColor="text2" w:themeShade="80"/>
                <w:sz w:val="18"/>
                <w:szCs w:val="18"/>
              </w:rPr>
              <w:t xml:space="preserve">ADOBE </w:t>
            </w:r>
            <w:r w:rsidR="00970159" w:rsidRPr="005045BF">
              <w:rPr>
                <w:rFonts w:ascii="Arial" w:hAnsi="Arial" w:cs="Arial"/>
                <w:color w:val="0F243E" w:themeColor="text2" w:themeShade="80"/>
                <w:sz w:val="18"/>
                <w:szCs w:val="18"/>
              </w:rPr>
              <w:t>para el Ministerio de Hacienda y Crédito Público.</w:t>
            </w:r>
          </w:p>
        </w:tc>
      </w:tr>
      <w:tr w:rsidR="0076088F" w:rsidRPr="005045BF" w14:paraId="34EAC3A0" w14:textId="77777777" w:rsidTr="009559F9">
        <w:tc>
          <w:tcPr>
            <w:cnfStyle w:val="001000000000" w:firstRow="0" w:lastRow="0" w:firstColumn="1" w:lastColumn="0" w:oddVBand="0" w:evenVBand="0" w:oddHBand="0" w:evenHBand="0" w:firstRowFirstColumn="0" w:firstRowLastColumn="0" w:lastRowFirstColumn="0" w:lastRowLastColumn="0"/>
            <w:tcW w:w="0" w:type="auto"/>
            <w:textDirection w:val="btLr"/>
            <w:vAlign w:val="center"/>
            <w:hideMark/>
          </w:tcPr>
          <w:p w14:paraId="43384C6A" w14:textId="77777777" w:rsidR="00970159" w:rsidRPr="005045BF" w:rsidRDefault="00970159" w:rsidP="009559F9">
            <w:pPr>
              <w:widowControl w:val="0"/>
              <w:spacing w:before="20" w:after="20"/>
              <w:jc w:val="center"/>
              <w:rPr>
                <w:rFonts w:ascii="Arial" w:hAnsi="Arial" w:cs="Arial"/>
                <w:color w:val="0F243E" w:themeColor="text2" w:themeShade="80"/>
                <w:sz w:val="18"/>
                <w:szCs w:val="18"/>
              </w:rPr>
            </w:pPr>
            <w:r w:rsidRPr="005045BF">
              <w:rPr>
                <w:rFonts w:ascii="Arial" w:hAnsi="Arial" w:cs="Arial"/>
                <w:color w:val="0F243E" w:themeColor="text2" w:themeShade="80"/>
                <w:sz w:val="18"/>
                <w:szCs w:val="18"/>
              </w:rPr>
              <w:t>FUNDACION PARA EDUCACION SUPERIOR Y EL DESARROLLO FEDESARROLLO</w:t>
            </w:r>
          </w:p>
        </w:tc>
        <w:tc>
          <w:tcPr>
            <w:tcW w:w="0" w:type="auto"/>
            <w:noWrap/>
            <w:vAlign w:val="center"/>
            <w:hideMark/>
          </w:tcPr>
          <w:p w14:paraId="61D86695"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2.001-2020</w:t>
            </w:r>
          </w:p>
        </w:tc>
        <w:tc>
          <w:tcPr>
            <w:tcW w:w="0" w:type="auto"/>
            <w:noWrap/>
            <w:vAlign w:val="center"/>
            <w:hideMark/>
          </w:tcPr>
          <w:p w14:paraId="45E4476F"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24/03/2020</w:t>
            </w:r>
          </w:p>
        </w:tc>
        <w:tc>
          <w:tcPr>
            <w:tcW w:w="0" w:type="auto"/>
            <w:noWrap/>
            <w:vAlign w:val="center"/>
            <w:hideMark/>
          </w:tcPr>
          <w:p w14:paraId="619536FA" w14:textId="77777777" w:rsidR="00970159" w:rsidRPr="005045BF" w:rsidRDefault="00970159" w:rsidP="009559F9">
            <w:pPr>
              <w:widowControl w:val="0"/>
              <w:spacing w:before="20" w:after="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31/12/2020</w:t>
            </w:r>
          </w:p>
        </w:tc>
        <w:tc>
          <w:tcPr>
            <w:tcW w:w="0" w:type="auto"/>
            <w:noWrap/>
            <w:vAlign w:val="center"/>
            <w:hideMark/>
          </w:tcPr>
          <w:p w14:paraId="346B03DD" w14:textId="478F261D" w:rsidR="00970159" w:rsidRPr="005045BF" w:rsidRDefault="00970159" w:rsidP="009559F9">
            <w:pPr>
              <w:widowControl w:val="0"/>
              <w:spacing w:before="20" w:after="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 xml:space="preserve">33.021.923 </w:t>
            </w:r>
          </w:p>
        </w:tc>
        <w:tc>
          <w:tcPr>
            <w:tcW w:w="0" w:type="auto"/>
            <w:vAlign w:val="center"/>
            <w:hideMark/>
          </w:tcPr>
          <w:p w14:paraId="08801679" w14:textId="77777777" w:rsidR="00970159" w:rsidRPr="005045BF" w:rsidRDefault="00970159" w:rsidP="009559F9">
            <w:pPr>
              <w:widowControl w:val="0"/>
              <w:spacing w:before="20" w:after="2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Suscripción a las publicaciones ENCUESTA DE OPINIÓN EMPRESARIAL - EOE y ENCUESTA DE OPINIÓN DEL CONSUMIDOR - EOC DE FEDESARROLLO, en CD y por correo electrónico, con destino a la Dirección General de Política Macroeconómica, del Ministerio de Hacienda y Crédito Público</w:t>
            </w:r>
          </w:p>
        </w:tc>
      </w:tr>
    </w:tbl>
    <w:p w14:paraId="054CEC38" w14:textId="77777777" w:rsidR="00063A31" w:rsidRDefault="00063A31" w:rsidP="00F22358">
      <w:pPr>
        <w:jc w:val="both"/>
        <w:rPr>
          <w:rFonts w:ascii="Arial" w:hAnsi="Arial" w:cs="Arial"/>
          <w:color w:val="000000"/>
          <w:sz w:val="22"/>
          <w:szCs w:val="22"/>
        </w:rPr>
      </w:pPr>
    </w:p>
    <w:p w14:paraId="09B1FA2E" w14:textId="04BDED80" w:rsidR="00D91B38" w:rsidRPr="005045BF" w:rsidRDefault="00904422" w:rsidP="00F22358">
      <w:pPr>
        <w:jc w:val="both"/>
        <w:rPr>
          <w:rFonts w:ascii="Arial" w:hAnsi="Arial" w:cs="Arial"/>
          <w:color w:val="000000"/>
          <w:sz w:val="22"/>
          <w:szCs w:val="22"/>
        </w:rPr>
      </w:pPr>
      <w:r w:rsidRPr="005045BF">
        <w:rPr>
          <w:rFonts w:ascii="Arial" w:hAnsi="Arial" w:cs="Arial"/>
          <w:color w:val="000000"/>
          <w:sz w:val="22"/>
          <w:szCs w:val="22"/>
        </w:rPr>
        <w:t xml:space="preserve">De acuerdo con la verificación efectuada a los estudios previos de los contratos antes relacionados, </w:t>
      </w:r>
      <w:r w:rsidR="00C51803" w:rsidRPr="005045BF">
        <w:rPr>
          <w:rFonts w:ascii="Arial" w:hAnsi="Arial" w:cs="Arial"/>
          <w:color w:val="000000"/>
          <w:sz w:val="22"/>
          <w:szCs w:val="22"/>
        </w:rPr>
        <w:t xml:space="preserve">se concluye </w:t>
      </w:r>
      <w:r w:rsidR="002262B8" w:rsidRPr="005045BF">
        <w:rPr>
          <w:rFonts w:ascii="Arial" w:hAnsi="Arial" w:cs="Arial"/>
          <w:color w:val="000000"/>
          <w:sz w:val="22"/>
          <w:szCs w:val="22"/>
        </w:rPr>
        <w:t>que,</w:t>
      </w:r>
      <w:r w:rsidR="004E1E28" w:rsidRPr="005045BF">
        <w:rPr>
          <w:rFonts w:ascii="Arial" w:hAnsi="Arial" w:cs="Arial"/>
          <w:color w:val="000000"/>
          <w:sz w:val="22"/>
          <w:szCs w:val="22"/>
        </w:rPr>
        <w:t xml:space="preserve"> d</w:t>
      </w:r>
      <w:r w:rsidR="00C51803" w:rsidRPr="005045BF">
        <w:rPr>
          <w:rFonts w:ascii="Arial" w:hAnsi="Arial" w:cs="Arial"/>
          <w:color w:val="000000"/>
          <w:sz w:val="22"/>
          <w:szCs w:val="22"/>
        </w:rPr>
        <w:t>ebido a la</w:t>
      </w:r>
      <w:r w:rsidR="004E1E28" w:rsidRPr="005045BF">
        <w:rPr>
          <w:rFonts w:ascii="Arial" w:hAnsi="Arial" w:cs="Arial"/>
          <w:color w:val="000000"/>
          <w:sz w:val="22"/>
          <w:szCs w:val="22"/>
        </w:rPr>
        <w:t>s</w:t>
      </w:r>
      <w:r w:rsidR="00C51803" w:rsidRPr="005045BF">
        <w:rPr>
          <w:rFonts w:ascii="Arial" w:hAnsi="Arial" w:cs="Arial"/>
          <w:color w:val="000000"/>
          <w:sz w:val="22"/>
          <w:szCs w:val="22"/>
        </w:rPr>
        <w:t xml:space="preserve"> </w:t>
      </w:r>
      <w:r w:rsidR="004E1E28" w:rsidRPr="005045BF">
        <w:rPr>
          <w:rFonts w:ascii="Arial" w:hAnsi="Arial" w:cs="Arial"/>
          <w:color w:val="000000"/>
          <w:sz w:val="22"/>
          <w:szCs w:val="22"/>
        </w:rPr>
        <w:t>necesidades del</w:t>
      </w:r>
      <w:r w:rsidR="00C51803" w:rsidRPr="005045BF">
        <w:rPr>
          <w:rFonts w:ascii="Arial" w:hAnsi="Arial" w:cs="Arial"/>
          <w:color w:val="000000"/>
          <w:sz w:val="22"/>
          <w:szCs w:val="22"/>
        </w:rPr>
        <w:t xml:space="preserve"> servicio </w:t>
      </w:r>
      <w:r w:rsidR="004E1E28" w:rsidRPr="005045BF">
        <w:rPr>
          <w:rFonts w:ascii="Arial" w:hAnsi="Arial" w:cs="Arial"/>
          <w:color w:val="000000"/>
          <w:sz w:val="22"/>
          <w:szCs w:val="22"/>
        </w:rPr>
        <w:t xml:space="preserve">propias </w:t>
      </w:r>
      <w:r w:rsidR="00513EA1" w:rsidRPr="005045BF">
        <w:rPr>
          <w:rFonts w:ascii="Arial" w:hAnsi="Arial" w:cs="Arial"/>
          <w:color w:val="000000"/>
          <w:sz w:val="22"/>
          <w:szCs w:val="22"/>
        </w:rPr>
        <w:t>de las funciones asignadas a este Ministeri</w:t>
      </w:r>
      <w:r w:rsidR="00CC7DA7" w:rsidRPr="005045BF">
        <w:rPr>
          <w:rFonts w:ascii="Arial" w:hAnsi="Arial" w:cs="Arial"/>
          <w:color w:val="000000"/>
          <w:sz w:val="22"/>
          <w:szCs w:val="22"/>
        </w:rPr>
        <w:t>o</w:t>
      </w:r>
      <w:r w:rsidR="00D91B38" w:rsidRPr="005045BF">
        <w:rPr>
          <w:rFonts w:ascii="Arial" w:hAnsi="Arial" w:cs="Arial"/>
          <w:color w:val="000000"/>
          <w:sz w:val="22"/>
          <w:szCs w:val="22"/>
        </w:rPr>
        <w:t xml:space="preserve">, </w:t>
      </w:r>
      <w:r w:rsidR="00496850" w:rsidRPr="005045BF">
        <w:rPr>
          <w:rFonts w:ascii="Arial" w:hAnsi="Arial" w:cs="Arial"/>
          <w:color w:val="000000"/>
          <w:sz w:val="22"/>
          <w:szCs w:val="22"/>
        </w:rPr>
        <w:t xml:space="preserve">se suscribieron </w:t>
      </w:r>
      <w:r w:rsidRPr="005045BF">
        <w:rPr>
          <w:rFonts w:ascii="Arial" w:hAnsi="Arial" w:cs="Arial"/>
          <w:color w:val="000000"/>
          <w:sz w:val="22"/>
          <w:szCs w:val="22"/>
        </w:rPr>
        <w:t xml:space="preserve">las </w:t>
      </w:r>
      <w:r w:rsidR="009D1A10" w:rsidRPr="005045BF">
        <w:rPr>
          <w:rFonts w:ascii="Arial" w:hAnsi="Arial" w:cs="Arial"/>
          <w:color w:val="000000"/>
          <w:sz w:val="22"/>
          <w:szCs w:val="22"/>
        </w:rPr>
        <w:t>contrataci</w:t>
      </w:r>
      <w:r w:rsidRPr="005045BF">
        <w:rPr>
          <w:rFonts w:ascii="Arial" w:hAnsi="Arial" w:cs="Arial"/>
          <w:color w:val="000000"/>
          <w:sz w:val="22"/>
          <w:szCs w:val="22"/>
        </w:rPr>
        <w:t>ones</w:t>
      </w:r>
      <w:r w:rsidR="009D1A10" w:rsidRPr="005045BF">
        <w:rPr>
          <w:rFonts w:ascii="Arial" w:hAnsi="Arial" w:cs="Arial"/>
          <w:color w:val="000000"/>
          <w:sz w:val="22"/>
          <w:szCs w:val="22"/>
        </w:rPr>
        <w:t xml:space="preserve"> antes relacionada</w:t>
      </w:r>
      <w:r w:rsidR="002A70EC" w:rsidRPr="005045BF">
        <w:rPr>
          <w:rFonts w:ascii="Arial" w:hAnsi="Arial" w:cs="Arial"/>
          <w:color w:val="000000"/>
          <w:sz w:val="22"/>
          <w:szCs w:val="22"/>
        </w:rPr>
        <w:t>s</w:t>
      </w:r>
      <w:r w:rsidRPr="005045BF">
        <w:rPr>
          <w:rFonts w:ascii="Arial" w:hAnsi="Arial" w:cs="Arial"/>
          <w:color w:val="000000"/>
          <w:sz w:val="22"/>
          <w:szCs w:val="22"/>
        </w:rPr>
        <w:t>,</w:t>
      </w:r>
      <w:r w:rsidR="009D1A10" w:rsidRPr="005045BF">
        <w:rPr>
          <w:rFonts w:ascii="Arial" w:hAnsi="Arial" w:cs="Arial"/>
          <w:color w:val="000000"/>
          <w:sz w:val="22"/>
          <w:szCs w:val="22"/>
        </w:rPr>
        <w:t xml:space="preserve"> acorde con los lin</w:t>
      </w:r>
      <w:r w:rsidR="004A1CDB" w:rsidRPr="005045BF">
        <w:rPr>
          <w:rFonts w:ascii="Arial" w:hAnsi="Arial" w:cs="Arial"/>
          <w:color w:val="000000"/>
          <w:sz w:val="22"/>
          <w:szCs w:val="22"/>
        </w:rPr>
        <w:t>e</w:t>
      </w:r>
      <w:r w:rsidR="009D1A10" w:rsidRPr="005045BF">
        <w:rPr>
          <w:rFonts w:ascii="Arial" w:hAnsi="Arial" w:cs="Arial"/>
          <w:color w:val="000000"/>
          <w:sz w:val="22"/>
          <w:szCs w:val="22"/>
        </w:rPr>
        <w:t xml:space="preserve">amientos dados en la </w:t>
      </w:r>
      <w:r w:rsidR="003E09E8" w:rsidRPr="005045BF">
        <w:rPr>
          <w:rFonts w:ascii="Arial" w:hAnsi="Arial" w:cs="Arial"/>
          <w:color w:val="000000"/>
          <w:sz w:val="22"/>
          <w:szCs w:val="22"/>
        </w:rPr>
        <w:t>Ley.</w:t>
      </w:r>
      <w:r w:rsidR="00B30488" w:rsidRPr="005045BF">
        <w:rPr>
          <w:rFonts w:ascii="Arial" w:hAnsi="Arial" w:cs="Arial"/>
          <w:color w:val="000000"/>
          <w:sz w:val="22"/>
          <w:szCs w:val="22"/>
        </w:rPr>
        <w:t xml:space="preserve"> </w:t>
      </w:r>
    </w:p>
    <w:p w14:paraId="77AC06E1" w14:textId="166BB39B" w:rsidR="00B20E93" w:rsidRPr="005045BF" w:rsidRDefault="00B20E93" w:rsidP="00B20E93">
      <w:pPr>
        <w:pStyle w:val="Prrafodelista"/>
        <w:numPr>
          <w:ilvl w:val="0"/>
          <w:numId w:val="43"/>
        </w:numPr>
        <w:rPr>
          <w:rFonts w:ascii="Arial" w:hAnsi="Arial" w:cs="Arial"/>
          <w:b/>
          <w:bCs/>
          <w:color w:val="000000" w:themeColor="text1"/>
        </w:rPr>
      </w:pPr>
      <w:r w:rsidRPr="005045BF">
        <w:rPr>
          <w:rFonts w:ascii="Arial" w:hAnsi="Arial" w:cs="Arial"/>
          <w:b/>
          <w:bCs/>
          <w:color w:val="000000" w:themeColor="text1"/>
        </w:rPr>
        <w:lastRenderedPageBreak/>
        <w:t>AUSTERIDAD EN EVENTOS Y REGALOS CORPORATIVOS</w:t>
      </w:r>
    </w:p>
    <w:p w14:paraId="3AF310A1" w14:textId="4A07E8A3" w:rsidR="000A5E6A" w:rsidRPr="005045BF" w:rsidRDefault="000A5E6A" w:rsidP="00F22358">
      <w:pPr>
        <w:jc w:val="both"/>
        <w:rPr>
          <w:rFonts w:ascii="Arial" w:hAnsi="Arial" w:cs="Arial"/>
          <w:color w:val="000000"/>
        </w:rPr>
      </w:pPr>
    </w:p>
    <w:p w14:paraId="2C74A17D" w14:textId="71405F7C" w:rsidR="00B20E93" w:rsidRPr="005045BF" w:rsidRDefault="002A16C5" w:rsidP="00F22358">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Conforme a la Directiva Presidencial 09 de 2018 en el numeral 8, estableció lo siguiente: </w:t>
      </w:r>
    </w:p>
    <w:p w14:paraId="4D9BFED9" w14:textId="748CACC3" w:rsidR="002A16C5" w:rsidRPr="005045BF" w:rsidRDefault="002A16C5" w:rsidP="009559F9">
      <w:pPr>
        <w:spacing w:line="168" w:lineRule="auto"/>
        <w:jc w:val="both"/>
        <w:rPr>
          <w:rFonts w:ascii="Arial" w:hAnsi="Arial" w:cs="Arial"/>
          <w:color w:val="000000" w:themeColor="text1"/>
          <w:sz w:val="22"/>
          <w:szCs w:val="22"/>
        </w:rPr>
      </w:pPr>
    </w:p>
    <w:p w14:paraId="681F1463" w14:textId="0CB9D3D0" w:rsidR="002A16C5" w:rsidRPr="005045BF" w:rsidRDefault="002A16C5" w:rsidP="009559F9">
      <w:pPr>
        <w:jc w:val="both"/>
        <w:rPr>
          <w:rFonts w:ascii="Arial" w:hAnsi="Arial" w:cs="Arial"/>
          <w:color w:val="000000" w:themeColor="text1"/>
          <w:sz w:val="22"/>
          <w:szCs w:val="22"/>
        </w:rPr>
      </w:pPr>
      <w:r w:rsidRPr="005045BF">
        <w:rPr>
          <w:rFonts w:ascii="Arial" w:hAnsi="Arial" w:cs="Arial"/>
          <w:color w:val="000000" w:themeColor="text1"/>
          <w:sz w:val="22"/>
          <w:szCs w:val="22"/>
        </w:rPr>
        <w:t>«8.1. Está prohibida la realización de recepciones, fiestas, agasajos o conmemoraciones de las entidades con cargo a los recursos del Tesoro Nacional (…).</w:t>
      </w:r>
    </w:p>
    <w:p w14:paraId="3307E1D7" w14:textId="506FB83E" w:rsidR="002A16C5" w:rsidRPr="005045BF" w:rsidRDefault="002A16C5" w:rsidP="009559F9">
      <w:pPr>
        <w:spacing w:line="168" w:lineRule="auto"/>
        <w:jc w:val="both"/>
        <w:rPr>
          <w:rFonts w:ascii="Arial" w:hAnsi="Arial" w:cs="Arial"/>
          <w:color w:val="000000" w:themeColor="text1"/>
          <w:sz w:val="22"/>
          <w:szCs w:val="22"/>
        </w:rPr>
      </w:pPr>
    </w:p>
    <w:p w14:paraId="68FBF2C5" w14:textId="4FFF8058" w:rsidR="002A16C5" w:rsidRPr="005045BF" w:rsidRDefault="002A16C5" w:rsidP="009559F9">
      <w:pPr>
        <w:jc w:val="both"/>
        <w:rPr>
          <w:rFonts w:ascii="Arial" w:hAnsi="Arial" w:cs="Arial"/>
          <w:color w:val="000000" w:themeColor="text1"/>
          <w:sz w:val="22"/>
          <w:szCs w:val="22"/>
        </w:rPr>
      </w:pPr>
      <w:r w:rsidRPr="005045BF">
        <w:rPr>
          <w:rFonts w:ascii="Arial" w:hAnsi="Arial" w:cs="Arial"/>
          <w:color w:val="000000" w:themeColor="text1"/>
          <w:sz w:val="22"/>
          <w:szCs w:val="22"/>
        </w:rPr>
        <w:t xml:space="preserve">8.2. No se financiarán regalos corporativos ni artículos promocionales o de mercadeo por parte de las entidades de la rama ejecutiva del orden nacional, salvo el caso de las empresas públicas que compitan con empresas del sector privado».  </w:t>
      </w:r>
    </w:p>
    <w:p w14:paraId="442C68E3" w14:textId="76C0B776" w:rsidR="002A16C5" w:rsidRPr="005045BF" w:rsidRDefault="002A16C5" w:rsidP="009559F9">
      <w:pPr>
        <w:spacing w:line="168" w:lineRule="auto"/>
        <w:jc w:val="both"/>
        <w:rPr>
          <w:rFonts w:ascii="Arial" w:hAnsi="Arial" w:cs="Arial"/>
          <w:color w:val="000000" w:themeColor="text1"/>
          <w:sz w:val="22"/>
          <w:szCs w:val="22"/>
        </w:rPr>
      </w:pPr>
    </w:p>
    <w:p w14:paraId="576E096D" w14:textId="42C39DAD" w:rsidR="002A16C5" w:rsidRPr="005045BF" w:rsidRDefault="004D7A27" w:rsidP="00F22358">
      <w:pPr>
        <w:jc w:val="both"/>
        <w:rPr>
          <w:rFonts w:ascii="Arial" w:hAnsi="Arial" w:cs="Arial"/>
          <w:color w:val="000000" w:themeColor="text1"/>
          <w:sz w:val="22"/>
          <w:szCs w:val="22"/>
        </w:rPr>
      </w:pPr>
      <w:r w:rsidRPr="005045BF">
        <w:rPr>
          <w:rFonts w:ascii="Arial" w:hAnsi="Arial" w:cs="Arial"/>
          <w:color w:val="000000" w:themeColor="text1"/>
          <w:sz w:val="22"/>
          <w:szCs w:val="22"/>
        </w:rPr>
        <w:t>Frente a lo anterior, se consult</w:t>
      </w:r>
      <w:r w:rsidR="005E61F4" w:rsidRPr="005045BF">
        <w:rPr>
          <w:rFonts w:ascii="Arial" w:hAnsi="Arial" w:cs="Arial"/>
          <w:color w:val="000000" w:themeColor="text1"/>
          <w:sz w:val="22"/>
          <w:szCs w:val="22"/>
        </w:rPr>
        <w:t xml:space="preserve">aron </w:t>
      </w:r>
      <w:r w:rsidRPr="005045BF">
        <w:rPr>
          <w:rFonts w:ascii="Arial" w:hAnsi="Arial" w:cs="Arial"/>
          <w:color w:val="000000" w:themeColor="text1"/>
          <w:sz w:val="22"/>
          <w:szCs w:val="22"/>
        </w:rPr>
        <w:t xml:space="preserve">las obligaciones registradas en el SIIF para el primer trimestre de 2020, así como, las contrataciones vigentes a 31 de marzo de 2020, evidenciando que, el Ministerio de Hacienda y Crédito Público en el periodo objeto de verificación </w:t>
      </w:r>
      <w:r w:rsidRPr="00B84EB6">
        <w:rPr>
          <w:rFonts w:ascii="Arial" w:hAnsi="Arial" w:cs="Arial"/>
          <w:b/>
          <w:bCs/>
          <w:color w:val="000000" w:themeColor="text1"/>
          <w:sz w:val="22"/>
          <w:szCs w:val="22"/>
        </w:rPr>
        <w:t>no realizó erogaciones</w:t>
      </w:r>
      <w:r w:rsidRPr="005045BF">
        <w:rPr>
          <w:rFonts w:ascii="Arial" w:hAnsi="Arial" w:cs="Arial"/>
          <w:color w:val="000000" w:themeColor="text1"/>
          <w:sz w:val="22"/>
          <w:szCs w:val="22"/>
        </w:rPr>
        <w:t xml:space="preserve"> del Presupuesto General de la Nación p</w:t>
      </w:r>
      <w:r w:rsidR="005E61F4" w:rsidRPr="005045BF">
        <w:rPr>
          <w:rFonts w:ascii="Arial" w:hAnsi="Arial" w:cs="Arial"/>
          <w:color w:val="000000" w:themeColor="text1"/>
          <w:sz w:val="22"/>
          <w:szCs w:val="22"/>
        </w:rPr>
        <w:t>ara l</w:t>
      </w:r>
      <w:r w:rsidRPr="005045BF">
        <w:rPr>
          <w:rFonts w:ascii="Arial" w:hAnsi="Arial" w:cs="Arial"/>
          <w:color w:val="000000" w:themeColor="text1"/>
          <w:sz w:val="22"/>
          <w:szCs w:val="22"/>
        </w:rPr>
        <w:t>os conceptos antes mencionados</w:t>
      </w:r>
      <w:r w:rsidR="005E61F4" w:rsidRPr="005045BF">
        <w:rPr>
          <w:rFonts w:ascii="Arial" w:hAnsi="Arial" w:cs="Arial"/>
          <w:color w:val="000000" w:themeColor="text1"/>
          <w:sz w:val="22"/>
          <w:szCs w:val="22"/>
        </w:rPr>
        <w:t xml:space="preserve"> según la Directiva 09 de 2018.</w:t>
      </w:r>
    </w:p>
    <w:p w14:paraId="685AAFE6" w14:textId="1FA09748" w:rsidR="00B20E93" w:rsidRPr="005045BF" w:rsidRDefault="00B20E93" w:rsidP="009559F9">
      <w:pPr>
        <w:spacing w:line="168" w:lineRule="auto"/>
        <w:jc w:val="both"/>
        <w:rPr>
          <w:rFonts w:ascii="Arial" w:hAnsi="Arial" w:cs="Arial"/>
          <w:color w:val="000000"/>
        </w:rPr>
      </w:pPr>
    </w:p>
    <w:p w14:paraId="7F5D518C" w14:textId="77777777" w:rsidR="00B20E93" w:rsidRPr="005045BF" w:rsidRDefault="00B20E93" w:rsidP="00F22358">
      <w:pPr>
        <w:jc w:val="both"/>
        <w:rPr>
          <w:rFonts w:ascii="Arial" w:hAnsi="Arial" w:cs="Arial"/>
          <w:color w:val="000000"/>
        </w:rPr>
      </w:pPr>
    </w:p>
    <w:p w14:paraId="16444FF9" w14:textId="498AEAD2" w:rsidR="006F5242" w:rsidRPr="005045BF" w:rsidRDefault="006F5242" w:rsidP="003D0275">
      <w:pPr>
        <w:pStyle w:val="Prrafodelista"/>
        <w:numPr>
          <w:ilvl w:val="0"/>
          <w:numId w:val="43"/>
        </w:numPr>
        <w:contextualSpacing w:val="0"/>
        <w:rPr>
          <w:rFonts w:ascii="Arial" w:hAnsi="Arial" w:cs="Arial"/>
          <w:color w:val="000000" w:themeColor="text1"/>
        </w:rPr>
      </w:pPr>
      <w:r w:rsidRPr="005045BF">
        <w:rPr>
          <w:rFonts w:ascii="Arial" w:hAnsi="Arial" w:cs="Arial"/>
          <w:b/>
          <w:color w:val="000000" w:themeColor="text1"/>
        </w:rPr>
        <w:t xml:space="preserve">SOSTENIBLIDAD AMBIENTAL </w:t>
      </w:r>
    </w:p>
    <w:p w14:paraId="275393A5" w14:textId="77777777" w:rsidR="003D0275" w:rsidRDefault="003D0275" w:rsidP="003D0275">
      <w:pPr>
        <w:pStyle w:val="Prrafodelista"/>
        <w:ind w:left="0"/>
        <w:contextualSpacing w:val="0"/>
        <w:rPr>
          <w:rFonts w:ascii="Arial" w:hAnsi="Arial" w:cs="Arial"/>
          <w:color w:val="000000" w:themeColor="text1"/>
          <w:sz w:val="22"/>
          <w:szCs w:val="22"/>
        </w:rPr>
      </w:pPr>
    </w:p>
    <w:p w14:paraId="62892455" w14:textId="67DD13F5" w:rsidR="00050061" w:rsidRPr="005045BF" w:rsidRDefault="008B116A" w:rsidP="00023DBB">
      <w:pPr>
        <w:pStyle w:val="Prrafodelista"/>
        <w:ind w:left="0"/>
        <w:contextualSpacing w:val="0"/>
        <w:rPr>
          <w:rFonts w:ascii="Arial" w:hAnsi="Arial" w:cs="Arial"/>
          <w:color w:val="000000" w:themeColor="text1"/>
          <w:sz w:val="22"/>
          <w:szCs w:val="22"/>
        </w:rPr>
      </w:pPr>
      <w:r w:rsidRPr="005045BF">
        <w:rPr>
          <w:rFonts w:ascii="Arial" w:hAnsi="Arial" w:cs="Arial"/>
          <w:color w:val="000000" w:themeColor="text1"/>
          <w:sz w:val="22"/>
          <w:szCs w:val="22"/>
        </w:rPr>
        <w:t>D</w:t>
      </w:r>
      <w:r w:rsidR="00023DBB" w:rsidRPr="005045BF">
        <w:rPr>
          <w:rFonts w:ascii="Arial" w:hAnsi="Arial" w:cs="Arial"/>
          <w:color w:val="000000" w:themeColor="text1"/>
          <w:sz w:val="22"/>
          <w:szCs w:val="22"/>
        </w:rPr>
        <w:t xml:space="preserve">e acuerdo </w:t>
      </w:r>
      <w:r w:rsidR="004F2916" w:rsidRPr="005045BF">
        <w:rPr>
          <w:rFonts w:ascii="Arial" w:hAnsi="Arial" w:cs="Arial"/>
          <w:color w:val="000000" w:themeColor="text1"/>
          <w:sz w:val="22"/>
          <w:szCs w:val="22"/>
        </w:rPr>
        <w:t xml:space="preserve">con </w:t>
      </w:r>
      <w:r w:rsidRPr="005045BF">
        <w:rPr>
          <w:rFonts w:ascii="Arial" w:hAnsi="Arial" w:cs="Arial"/>
          <w:color w:val="000000" w:themeColor="text1"/>
          <w:sz w:val="22"/>
          <w:szCs w:val="22"/>
        </w:rPr>
        <w:t>lo señalado</w:t>
      </w:r>
      <w:r w:rsidR="00023DBB" w:rsidRPr="005045BF">
        <w:rPr>
          <w:rFonts w:ascii="Arial" w:hAnsi="Arial" w:cs="Arial"/>
          <w:color w:val="000000" w:themeColor="text1"/>
          <w:sz w:val="22"/>
          <w:szCs w:val="22"/>
        </w:rPr>
        <w:t xml:space="preserve"> en el numeral 9 de </w:t>
      </w:r>
      <w:r w:rsidRPr="005045BF">
        <w:rPr>
          <w:rFonts w:ascii="Arial" w:hAnsi="Arial" w:cs="Arial"/>
          <w:color w:val="000000" w:themeColor="text1"/>
          <w:sz w:val="22"/>
          <w:szCs w:val="22"/>
        </w:rPr>
        <w:t xml:space="preserve">la Directiva Presidencial 09 de 2018, las entidades en el marco de la austeridad del gasto deberán </w:t>
      </w:r>
      <w:r w:rsidR="00023DBB" w:rsidRPr="005045BF">
        <w:rPr>
          <w:rFonts w:ascii="Arial" w:hAnsi="Arial" w:cs="Arial"/>
          <w:color w:val="000000" w:themeColor="text1"/>
          <w:sz w:val="22"/>
          <w:szCs w:val="22"/>
        </w:rPr>
        <w:t xml:space="preserve">desarrollar actividades que estén encaminadas a un ahorro en el servicio de energía y el servicio de acueducto, así como, medidas que fomenten </w:t>
      </w:r>
      <w:r w:rsidR="00394BA5" w:rsidRPr="005045BF">
        <w:rPr>
          <w:rFonts w:ascii="Arial" w:hAnsi="Arial" w:cs="Arial"/>
          <w:color w:val="000000" w:themeColor="text1"/>
          <w:sz w:val="22"/>
          <w:szCs w:val="22"/>
        </w:rPr>
        <w:t xml:space="preserve">el uso de medios de transportes </w:t>
      </w:r>
      <w:r w:rsidR="00023DBB" w:rsidRPr="005045BF">
        <w:rPr>
          <w:rFonts w:ascii="Arial" w:hAnsi="Arial" w:cs="Arial"/>
          <w:color w:val="000000" w:themeColor="text1"/>
          <w:sz w:val="22"/>
          <w:szCs w:val="22"/>
        </w:rPr>
        <w:t>ambientalmente sostenibles</w:t>
      </w:r>
      <w:r w:rsidR="00394BA5" w:rsidRPr="005045BF">
        <w:rPr>
          <w:rFonts w:ascii="Arial" w:hAnsi="Arial" w:cs="Arial"/>
          <w:color w:val="000000" w:themeColor="text1"/>
          <w:sz w:val="22"/>
          <w:szCs w:val="22"/>
        </w:rPr>
        <w:t xml:space="preserve">. </w:t>
      </w:r>
      <w:r w:rsidR="003C6A37" w:rsidRPr="005045BF">
        <w:rPr>
          <w:rFonts w:ascii="Arial" w:hAnsi="Arial" w:cs="Arial"/>
          <w:color w:val="000000" w:themeColor="text1"/>
          <w:sz w:val="22"/>
          <w:szCs w:val="22"/>
        </w:rPr>
        <w:t xml:space="preserve">Por lo anterior, se solicitó a la Subdirección de Servicios informar las acciones efectuadas durante el </w:t>
      </w:r>
      <w:r w:rsidR="009942CF" w:rsidRPr="005045BF">
        <w:rPr>
          <w:rFonts w:ascii="Arial" w:hAnsi="Arial" w:cs="Arial"/>
          <w:color w:val="000000" w:themeColor="text1"/>
          <w:sz w:val="22"/>
          <w:szCs w:val="22"/>
        </w:rPr>
        <w:t xml:space="preserve">primer </w:t>
      </w:r>
      <w:r w:rsidR="003C6A37" w:rsidRPr="005045BF">
        <w:rPr>
          <w:rFonts w:ascii="Arial" w:hAnsi="Arial" w:cs="Arial"/>
          <w:color w:val="000000" w:themeColor="text1"/>
          <w:sz w:val="22"/>
          <w:szCs w:val="22"/>
        </w:rPr>
        <w:t>trimestre de 20</w:t>
      </w:r>
      <w:r w:rsidR="009942CF" w:rsidRPr="005045BF">
        <w:rPr>
          <w:rFonts w:ascii="Arial" w:hAnsi="Arial" w:cs="Arial"/>
          <w:color w:val="000000" w:themeColor="text1"/>
          <w:sz w:val="22"/>
          <w:szCs w:val="22"/>
        </w:rPr>
        <w:t>20</w:t>
      </w:r>
      <w:r w:rsidR="002D4094" w:rsidRPr="005045BF">
        <w:rPr>
          <w:rFonts w:ascii="Arial" w:hAnsi="Arial" w:cs="Arial"/>
          <w:color w:val="000000" w:themeColor="text1"/>
          <w:sz w:val="22"/>
          <w:szCs w:val="22"/>
        </w:rPr>
        <w:t xml:space="preserve">. </w:t>
      </w:r>
      <w:r w:rsidR="003C6A37" w:rsidRPr="005045BF">
        <w:rPr>
          <w:rFonts w:ascii="Arial" w:hAnsi="Arial" w:cs="Arial"/>
          <w:color w:val="000000" w:themeColor="text1"/>
          <w:sz w:val="22"/>
          <w:szCs w:val="22"/>
        </w:rPr>
        <w:t xml:space="preserve">Al respecto </w:t>
      </w:r>
      <w:r w:rsidR="002D4094" w:rsidRPr="005045BF">
        <w:rPr>
          <w:rFonts w:ascii="Arial" w:hAnsi="Arial" w:cs="Arial"/>
          <w:color w:val="000000" w:themeColor="text1"/>
          <w:sz w:val="22"/>
          <w:szCs w:val="22"/>
        </w:rPr>
        <w:t xml:space="preserve">dicha </w:t>
      </w:r>
      <w:r w:rsidR="003C6A37" w:rsidRPr="005045BF">
        <w:rPr>
          <w:rFonts w:ascii="Arial" w:hAnsi="Arial" w:cs="Arial"/>
          <w:color w:val="000000" w:themeColor="text1"/>
          <w:sz w:val="22"/>
          <w:szCs w:val="22"/>
        </w:rPr>
        <w:t xml:space="preserve">Subdirección reportó lo siguiente: </w:t>
      </w:r>
    </w:p>
    <w:p w14:paraId="2E4D098B" w14:textId="5C73D417" w:rsidR="0051045B" w:rsidRPr="005045BF" w:rsidRDefault="0051045B" w:rsidP="00023DBB">
      <w:pPr>
        <w:pStyle w:val="Prrafodelista"/>
        <w:ind w:left="0"/>
        <w:contextualSpacing w:val="0"/>
        <w:rPr>
          <w:rFonts w:ascii="Arial" w:hAnsi="Arial" w:cs="Arial"/>
          <w:color w:val="000000"/>
          <w:sz w:val="22"/>
          <w:szCs w:val="22"/>
          <w:highlight w:val="yellow"/>
        </w:rPr>
      </w:pPr>
    </w:p>
    <w:tbl>
      <w:tblPr>
        <w:tblStyle w:val="Tablaconcuadrcula1clara-nfasis1"/>
        <w:tblW w:w="0" w:type="auto"/>
        <w:tblLayout w:type="fixed"/>
        <w:tblLook w:val="04A0" w:firstRow="1" w:lastRow="0" w:firstColumn="1" w:lastColumn="0" w:noHBand="0" w:noVBand="1"/>
      </w:tblPr>
      <w:tblGrid>
        <w:gridCol w:w="1129"/>
        <w:gridCol w:w="2835"/>
        <w:gridCol w:w="5714"/>
      </w:tblGrid>
      <w:tr w:rsidR="00C371BC" w:rsidRPr="005045BF" w14:paraId="145B5551" w14:textId="77777777" w:rsidTr="009559F9">
        <w:trPr>
          <w:cnfStyle w:val="100000000000" w:firstRow="1" w:lastRow="0" w:firstColumn="0" w:lastColumn="0" w:oddVBand="0" w:evenVBand="0" w:oddHBand="0" w:evenHBand="0" w:firstRowFirstColumn="0" w:firstRowLastColumn="0" w:lastRowFirstColumn="0" w:lastRowLastColumn="0"/>
          <w:cantSplit/>
          <w:trHeight w:val="317"/>
          <w:tblHeader/>
        </w:trPr>
        <w:tc>
          <w:tcPr>
            <w:cnfStyle w:val="001000000000" w:firstRow="0" w:lastRow="0" w:firstColumn="1" w:lastColumn="0" w:oddVBand="0" w:evenVBand="0" w:oddHBand="0" w:evenHBand="0" w:firstRowFirstColumn="0" w:firstRowLastColumn="0" w:lastRowFirstColumn="0" w:lastRowLastColumn="0"/>
            <w:tcW w:w="1129" w:type="dxa"/>
            <w:shd w:val="clear" w:color="auto" w:fill="4F81BD" w:themeFill="accent1"/>
            <w:vAlign w:val="center"/>
            <w:hideMark/>
          </w:tcPr>
          <w:p w14:paraId="66897AF1" w14:textId="77777777" w:rsidR="00100327" w:rsidRPr="005045BF" w:rsidRDefault="00100327" w:rsidP="009559F9">
            <w:pPr>
              <w:jc w:val="center"/>
              <w:rPr>
                <w:rFonts w:ascii="Arial" w:hAnsi="Arial" w:cs="Arial"/>
                <w:color w:val="FFFFFF" w:themeColor="background1"/>
                <w:sz w:val="20"/>
                <w:szCs w:val="20"/>
              </w:rPr>
            </w:pPr>
            <w:r w:rsidRPr="005045BF">
              <w:rPr>
                <w:rFonts w:ascii="Arial" w:hAnsi="Arial" w:cs="Arial"/>
                <w:color w:val="FFFFFF" w:themeColor="background1"/>
                <w:sz w:val="20"/>
                <w:szCs w:val="20"/>
              </w:rPr>
              <w:t xml:space="preserve">Numeral </w:t>
            </w:r>
          </w:p>
        </w:tc>
        <w:tc>
          <w:tcPr>
            <w:tcW w:w="2835" w:type="dxa"/>
            <w:shd w:val="clear" w:color="auto" w:fill="4F81BD" w:themeFill="accent1"/>
            <w:vAlign w:val="center"/>
            <w:hideMark/>
          </w:tcPr>
          <w:p w14:paraId="433E4F9C" w14:textId="77777777" w:rsidR="00100327" w:rsidRPr="005045BF" w:rsidRDefault="00100327" w:rsidP="009559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Sostenibilidad Ambiental </w:t>
            </w:r>
          </w:p>
        </w:tc>
        <w:tc>
          <w:tcPr>
            <w:tcW w:w="5714" w:type="dxa"/>
            <w:shd w:val="clear" w:color="auto" w:fill="4F81BD" w:themeFill="accent1"/>
            <w:vAlign w:val="center"/>
            <w:hideMark/>
          </w:tcPr>
          <w:p w14:paraId="4880E844" w14:textId="77777777" w:rsidR="00100327" w:rsidRPr="005045BF" w:rsidRDefault="00100327" w:rsidP="009559F9">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Acciones Desarrolladas</w:t>
            </w:r>
          </w:p>
        </w:tc>
      </w:tr>
      <w:tr w:rsidR="00C371BC" w:rsidRPr="005045BF" w14:paraId="1137BFE9" w14:textId="77777777" w:rsidTr="009559F9">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0EE4CB63" w14:textId="77777777" w:rsidR="00100327" w:rsidRPr="000909CC" w:rsidRDefault="00100327" w:rsidP="004F00F1">
            <w:pPr>
              <w:spacing w:before="40" w:after="40"/>
              <w:jc w:val="center"/>
              <w:rPr>
                <w:rFonts w:ascii="Arial" w:hAnsi="Arial" w:cs="Arial"/>
                <w:color w:val="0F243E" w:themeColor="text2" w:themeShade="80"/>
                <w:sz w:val="20"/>
                <w:szCs w:val="20"/>
              </w:rPr>
            </w:pPr>
            <w:r w:rsidRPr="000909CC">
              <w:rPr>
                <w:rFonts w:ascii="Arial" w:hAnsi="Arial" w:cs="Arial"/>
                <w:color w:val="0F243E" w:themeColor="text2" w:themeShade="80"/>
                <w:sz w:val="20"/>
                <w:szCs w:val="20"/>
              </w:rPr>
              <w:t>9.1</w:t>
            </w:r>
          </w:p>
        </w:tc>
        <w:tc>
          <w:tcPr>
            <w:tcW w:w="2835" w:type="dxa"/>
            <w:vAlign w:val="center"/>
            <w:hideMark/>
          </w:tcPr>
          <w:p w14:paraId="7A5B48F6" w14:textId="609CC71E" w:rsidR="00100327" w:rsidRPr="000909CC" w:rsidRDefault="00100327"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Implementar sistemas de reciclaje de aguas y consumo mínimo de agua e instalaciones.</w:t>
            </w:r>
            <w:r w:rsidR="00050061" w:rsidRPr="000909CC">
              <w:rPr>
                <w:rFonts w:ascii="Arial" w:hAnsi="Arial" w:cs="Arial"/>
                <w:color w:val="0F243E" w:themeColor="text2" w:themeShade="80"/>
                <w:sz w:val="20"/>
                <w:szCs w:val="20"/>
                <w:lang w:eastAsia="en-US"/>
              </w:rPr>
              <w:t xml:space="preserve"> </w:t>
            </w:r>
          </w:p>
        </w:tc>
        <w:tc>
          <w:tcPr>
            <w:tcW w:w="5714" w:type="dxa"/>
            <w:noWrap/>
            <w:vAlign w:val="center"/>
          </w:tcPr>
          <w:p w14:paraId="1B0B07D2" w14:textId="4D2DF302" w:rsidR="00050061" w:rsidRPr="000909CC" w:rsidRDefault="00772634"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El Ministerio de Hacienda y Crédito posee un sistema de potabilización de aguas lluvia para el reciclaje en la sede Casas de Santa Bárbara. En el primer trimestre del año se reciclaron un total de 28 m3 de aguas lluvia, que representa una disminución en el consumo de agua potable proveniente del acueducto por parte de la entidad.</w:t>
            </w:r>
          </w:p>
        </w:tc>
      </w:tr>
      <w:tr w:rsidR="00C371BC" w:rsidRPr="005045BF" w14:paraId="26B39907" w14:textId="77777777" w:rsidTr="009559F9">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61BFB0B" w14:textId="77777777" w:rsidR="00100327" w:rsidRPr="000909CC" w:rsidRDefault="00100327" w:rsidP="004F00F1">
            <w:pPr>
              <w:spacing w:before="40" w:after="40"/>
              <w:jc w:val="center"/>
              <w:rPr>
                <w:rFonts w:ascii="Arial" w:hAnsi="Arial" w:cs="Arial"/>
                <w:color w:val="0F243E" w:themeColor="text2" w:themeShade="80"/>
                <w:sz w:val="20"/>
                <w:szCs w:val="20"/>
              </w:rPr>
            </w:pPr>
            <w:r w:rsidRPr="000909CC">
              <w:rPr>
                <w:rFonts w:ascii="Arial" w:hAnsi="Arial" w:cs="Arial"/>
                <w:color w:val="0F243E" w:themeColor="text2" w:themeShade="80"/>
                <w:sz w:val="20"/>
                <w:szCs w:val="20"/>
              </w:rPr>
              <w:t>9.2</w:t>
            </w:r>
          </w:p>
        </w:tc>
        <w:tc>
          <w:tcPr>
            <w:tcW w:w="2835" w:type="dxa"/>
            <w:vAlign w:val="center"/>
            <w:hideMark/>
          </w:tcPr>
          <w:p w14:paraId="6A7AB43A" w14:textId="582E0BCE" w:rsidR="00100327" w:rsidRPr="000909CC" w:rsidRDefault="00100327"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 xml:space="preserve">Fomentar </w:t>
            </w:r>
            <w:r w:rsidR="002727AB" w:rsidRPr="000909CC">
              <w:rPr>
                <w:rFonts w:ascii="Arial" w:hAnsi="Arial" w:cs="Arial"/>
                <w:color w:val="0F243E" w:themeColor="text2" w:themeShade="80"/>
                <w:sz w:val="20"/>
                <w:szCs w:val="20"/>
              </w:rPr>
              <w:t>l</w:t>
            </w:r>
            <w:r w:rsidR="002727AB" w:rsidRPr="000909CC">
              <w:rPr>
                <w:rFonts w:ascii="Arial" w:hAnsi="Arial" w:cs="Arial"/>
                <w:color w:val="0F243E" w:themeColor="text2" w:themeShade="80"/>
                <w:sz w:val="20"/>
                <w:szCs w:val="20"/>
                <w:lang w:eastAsia="en-US"/>
              </w:rPr>
              <w:t>a</w:t>
            </w:r>
            <w:r w:rsidRPr="000909CC">
              <w:rPr>
                <w:rFonts w:ascii="Arial" w:hAnsi="Arial" w:cs="Arial"/>
                <w:color w:val="0F243E" w:themeColor="text2" w:themeShade="80"/>
                <w:sz w:val="20"/>
                <w:szCs w:val="20"/>
              </w:rPr>
              <w:t xml:space="preserve"> cultura de ahorro de agua y energía, a través del establecimiento de programas pedagógicos.</w:t>
            </w:r>
          </w:p>
        </w:tc>
        <w:tc>
          <w:tcPr>
            <w:tcW w:w="5714" w:type="dxa"/>
            <w:noWrap/>
            <w:vAlign w:val="center"/>
          </w:tcPr>
          <w:p w14:paraId="2821C50C" w14:textId="7B4F8176" w:rsidR="00D60CD0" w:rsidRPr="000909CC" w:rsidRDefault="00D60CD0"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 xml:space="preserve">El Ministerio actualmente cuenta con sistemas ahorradores de agua (temporizadores), tanto en sanitarios como en lavamanos. </w:t>
            </w:r>
          </w:p>
          <w:p w14:paraId="34269536" w14:textId="77777777" w:rsidR="00C371BC" w:rsidRPr="000909CC" w:rsidRDefault="00C371BC" w:rsidP="004F00F1">
            <w:pPr>
              <w:spacing w:before="40" w:after="40"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491A0D71" w14:textId="30FAC47A" w:rsidR="00A82CB6" w:rsidRDefault="00D60CD0"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La sede de Casas de Santa Bárbara, se cuenta con sensores de movimiento para el sistema de iluminación en zonas puntuales y un sistema inteligente de ahorro y uso de eficiente de energía eléctrica en sistemas de iluminación.</w:t>
            </w:r>
          </w:p>
          <w:p w14:paraId="1F5056B0" w14:textId="77777777" w:rsidR="004F00F1" w:rsidRPr="000909CC" w:rsidRDefault="004F00F1" w:rsidP="004F00F1">
            <w:pPr>
              <w:spacing w:before="40" w:after="40"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0061101B" w14:textId="5B4D0661" w:rsidR="00D60CD0" w:rsidRPr="000909CC" w:rsidRDefault="00D60CD0"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En cuanto a programas pedagógicos se han realizaron un total de 7 publicaciones en la intranet y en las pantallas dentro de la Entidad, una capacitación virtual, dos videos didácticos y una encuesta en materia ambiental que incentivan al ahorro y uso eficientes de los recursos de agua y energía, relacionados con las temáticas del medio ambiente.</w:t>
            </w:r>
          </w:p>
        </w:tc>
      </w:tr>
      <w:tr w:rsidR="00C371BC" w:rsidRPr="005045BF" w14:paraId="6FAF7145" w14:textId="77777777" w:rsidTr="009559F9">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53026461" w14:textId="77777777" w:rsidR="00100327" w:rsidRPr="000909CC" w:rsidRDefault="00100327" w:rsidP="004F00F1">
            <w:pPr>
              <w:spacing w:before="40" w:after="40"/>
              <w:jc w:val="center"/>
              <w:rPr>
                <w:rFonts w:ascii="Arial" w:hAnsi="Arial" w:cs="Arial"/>
                <w:color w:val="0F243E" w:themeColor="text2" w:themeShade="80"/>
                <w:sz w:val="20"/>
                <w:szCs w:val="20"/>
              </w:rPr>
            </w:pPr>
            <w:r w:rsidRPr="000909CC">
              <w:rPr>
                <w:rFonts w:ascii="Arial" w:hAnsi="Arial" w:cs="Arial"/>
                <w:color w:val="0F243E" w:themeColor="text2" w:themeShade="80"/>
                <w:sz w:val="20"/>
                <w:szCs w:val="20"/>
              </w:rPr>
              <w:t>9.3</w:t>
            </w:r>
          </w:p>
        </w:tc>
        <w:tc>
          <w:tcPr>
            <w:tcW w:w="2835" w:type="dxa"/>
            <w:vAlign w:val="center"/>
            <w:hideMark/>
          </w:tcPr>
          <w:p w14:paraId="1DD1C65D" w14:textId="77777777" w:rsidR="00100327" w:rsidRPr="000909CC" w:rsidRDefault="00100327"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Instalar, en cuanto sea posible sistemas de ahorro de energía, temporizadores y demás tecnologías que ayuden al ahorro de recursos.</w:t>
            </w:r>
          </w:p>
        </w:tc>
        <w:tc>
          <w:tcPr>
            <w:tcW w:w="5714" w:type="dxa"/>
            <w:noWrap/>
            <w:vAlign w:val="center"/>
          </w:tcPr>
          <w:p w14:paraId="13B3B18F" w14:textId="1996E763" w:rsidR="00146702" w:rsidRPr="000909CC" w:rsidRDefault="00D60CD0" w:rsidP="004F00F1">
            <w:pPr>
              <w:spacing w:before="40" w:after="40"/>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Para las dos sedes del Ministerio de Hacienda y Crédito público, se cuentan con sistemas ahorradores de agua en inodoros, lavamanos, y cafeterías. Actualmente se está realizando el cambio progresivo de tubos fluorescentes por luminarias ahorradoras tipo led en la sede San Agustín.</w:t>
            </w:r>
          </w:p>
        </w:tc>
      </w:tr>
      <w:tr w:rsidR="00C371BC" w:rsidRPr="005045BF" w14:paraId="247C64B8" w14:textId="77777777" w:rsidTr="009559F9">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1933D7DB" w14:textId="77777777" w:rsidR="00100327" w:rsidRPr="000909CC" w:rsidRDefault="00100327" w:rsidP="009559F9">
            <w:pPr>
              <w:jc w:val="center"/>
              <w:rPr>
                <w:rFonts w:ascii="Arial" w:hAnsi="Arial" w:cs="Arial"/>
                <w:color w:val="0F243E" w:themeColor="text2" w:themeShade="80"/>
                <w:sz w:val="20"/>
                <w:szCs w:val="20"/>
              </w:rPr>
            </w:pPr>
            <w:r w:rsidRPr="000909CC">
              <w:rPr>
                <w:rFonts w:ascii="Arial" w:hAnsi="Arial" w:cs="Arial"/>
                <w:color w:val="0F243E" w:themeColor="text2" w:themeShade="80"/>
                <w:sz w:val="20"/>
                <w:szCs w:val="20"/>
              </w:rPr>
              <w:lastRenderedPageBreak/>
              <w:t> </w:t>
            </w:r>
            <w:r w:rsidR="00307C5A" w:rsidRPr="000909CC">
              <w:rPr>
                <w:rFonts w:ascii="Arial" w:hAnsi="Arial" w:cs="Arial"/>
                <w:color w:val="0F243E" w:themeColor="text2" w:themeShade="80"/>
                <w:sz w:val="20"/>
                <w:szCs w:val="20"/>
              </w:rPr>
              <w:t>9.4</w:t>
            </w:r>
          </w:p>
        </w:tc>
        <w:tc>
          <w:tcPr>
            <w:tcW w:w="2835" w:type="dxa"/>
            <w:vAlign w:val="center"/>
            <w:hideMark/>
          </w:tcPr>
          <w:p w14:paraId="74ECA307" w14:textId="77777777" w:rsidR="00100327" w:rsidRPr="000909CC" w:rsidRDefault="00100327" w:rsidP="009559F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Implementar políticas de reciclaje de elementos de oficina, maximización de vida útil de herramientas de trabajo y reciclaje de tecnología.</w:t>
            </w:r>
          </w:p>
        </w:tc>
        <w:tc>
          <w:tcPr>
            <w:tcW w:w="5714" w:type="dxa"/>
            <w:noWrap/>
            <w:vAlign w:val="center"/>
          </w:tcPr>
          <w:p w14:paraId="6815F9FE" w14:textId="30E37FE0" w:rsidR="00CC67A0" w:rsidRDefault="00E30F26" w:rsidP="009559F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 xml:space="preserve">El Ministerio de Hacienda y Crédito Público, ha continuado </w:t>
            </w:r>
            <w:r w:rsidR="00027A2E" w:rsidRPr="000909CC">
              <w:rPr>
                <w:rFonts w:ascii="Arial" w:hAnsi="Arial" w:cs="Arial"/>
                <w:color w:val="0F243E" w:themeColor="text2" w:themeShade="80"/>
                <w:sz w:val="20"/>
                <w:szCs w:val="20"/>
              </w:rPr>
              <w:t>con la gestión de reciclaje de elementos de oficina</w:t>
            </w:r>
            <w:r w:rsidRPr="000909CC">
              <w:rPr>
                <w:rFonts w:ascii="Arial" w:hAnsi="Arial" w:cs="Arial"/>
                <w:color w:val="0F243E" w:themeColor="text2" w:themeShade="80"/>
                <w:sz w:val="20"/>
                <w:szCs w:val="20"/>
              </w:rPr>
              <w:t>,</w:t>
            </w:r>
            <w:r w:rsidR="00027A2E" w:rsidRPr="000909CC">
              <w:rPr>
                <w:rFonts w:ascii="Arial" w:hAnsi="Arial" w:cs="Arial"/>
                <w:color w:val="0F243E" w:themeColor="text2" w:themeShade="80"/>
                <w:sz w:val="20"/>
                <w:szCs w:val="20"/>
              </w:rPr>
              <w:t xml:space="preserve"> tales como</w:t>
            </w:r>
            <w:r w:rsidRPr="000909CC">
              <w:rPr>
                <w:rFonts w:ascii="Arial" w:hAnsi="Arial" w:cs="Arial"/>
                <w:color w:val="0F243E" w:themeColor="text2" w:themeShade="80"/>
                <w:sz w:val="20"/>
                <w:szCs w:val="20"/>
              </w:rPr>
              <w:t>,</w:t>
            </w:r>
            <w:r w:rsidR="00027A2E" w:rsidRPr="000909CC">
              <w:rPr>
                <w:rFonts w:ascii="Arial" w:hAnsi="Arial" w:cs="Arial"/>
                <w:color w:val="0F243E" w:themeColor="text2" w:themeShade="80"/>
                <w:sz w:val="20"/>
                <w:szCs w:val="20"/>
              </w:rPr>
              <w:t xml:space="preserve"> papel de impresión, carpetas de cartón, A-Z, sobres de manila, </w:t>
            </w:r>
            <w:r w:rsidR="00622A9D">
              <w:rPr>
                <w:rFonts w:ascii="Arial" w:hAnsi="Arial" w:cs="Arial"/>
                <w:color w:val="0F243E" w:themeColor="text2" w:themeShade="80"/>
                <w:sz w:val="20"/>
                <w:szCs w:val="20"/>
              </w:rPr>
              <w:t xml:space="preserve">otros, </w:t>
            </w:r>
            <w:r w:rsidRPr="000909CC">
              <w:rPr>
                <w:rFonts w:ascii="Arial" w:hAnsi="Arial" w:cs="Arial"/>
                <w:color w:val="0F243E" w:themeColor="text2" w:themeShade="80"/>
                <w:sz w:val="20"/>
                <w:szCs w:val="20"/>
              </w:rPr>
              <w:t>m</w:t>
            </w:r>
            <w:r w:rsidR="00027A2E" w:rsidRPr="000909CC">
              <w:rPr>
                <w:rFonts w:ascii="Arial" w:hAnsi="Arial" w:cs="Arial"/>
                <w:color w:val="0F243E" w:themeColor="text2" w:themeShade="80"/>
                <w:sz w:val="20"/>
                <w:szCs w:val="20"/>
              </w:rPr>
              <w:t xml:space="preserve">ediante la ruta recolección de residuos </w:t>
            </w:r>
            <w:r w:rsidRPr="000909CC">
              <w:rPr>
                <w:rFonts w:ascii="Arial" w:hAnsi="Arial" w:cs="Arial"/>
                <w:color w:val="0F243E" w:themeColor="text2" w:themeShade="80"/>
                <w:sz w:val="20"/>
                <w:szCs w:val="20"/>
              </w:rPr>
              <w:t xml:space="preserve">de </w:t>
            </w:r>
            <w:r w:rsidR="00027A2E" w:rsidRPr="000909CC">
              <w:rPr>
                <w:rFonts w:ascii="Arial" w:hAnsi="Arial" w:cs="Arial"/>
                <w:color w:val="0F243E" w:themeColor="text2" w:themeShade="80"/>
                <w:sz w:val="20"/>
                <w:szCs w:val="20"/>
              </w:rPr>
              <w:t xml:space="preserve">reciclables de manera diaria. Durante el periodo </w:t>
            </w:r>
            <w:r w:rsidR="00622A9D">
              <w:rPr>
                <w:rFonts w:ascii="Arial" w:hAnsi="Arial" w:cs="Arial"/>
                <w:color w:val="0F243E" w:themeColor="text2" w:themeShade="80"/>
                <w:sz w:val="20"/>
                <w:szCs w:val="20"/>
              </w:rPr>
              <w:t>analizado s</w:t>
            </w:r>
            <w:r w:rsidR="00027A2E" w:rsidRPr="000909CC">
              <w:rPr>
                <w:rFonts w:ascii="Arial" w:hAnsi="Arial" w:cs="Arial"/>
                <w:color w:val="0F243E" w:themeColor="text2" w:themeShade="80"/>
                <w:sz w:val="20"/>
                <w:szCs w:val="20"/>
              </w:rPr>
              <w:t>e realizó el acopio y entrega para proceso de reciclaje.</w:t>
            </w:r>
          </w:p>
          <w:p w14:paraId="22AD84B3" w14:textId="77777777" w:rsidR="00622A9D" w:rsidRPr="000909CC" w:rsidRDefault="00622A9D" w:rsidP="00622A9D">
            <w:pPr>
              <w:spacing w:line="168"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p w14:paraId="353745C5" w14:textId="644D9A63" w:rsidR="00027A2E" w:rsidRPr="000909CC" w:rsidRDefault="00027A2E" w:rsidP="009559F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Por otra parte, se continúa con el punto Ecopunto del Ministerio con tres puntos pos consumo: Pilas con el Ambiente, L</w:t>
            </w:r>
            <w:r w:rsidR="0074450A" w:rsidRPr="000909CC">
              <w:rPr>
                <w:rFonts w:ascii="Arial" w:hAnsi="Arial" w:cs="Arial"/>
                <w:color w:val="0F243E" w:themeColor="text2" w:themeShade="80"/>
                <w:sz w:val="20"/>
                <w:szCs w:val="20"/>
              </w:rPr>
              <w:t>ú</w:t>
            </w:r>
            <w:r w:rsidRPr="000909CC">
              <w:rPr>
                <w:rFonts w:ascii="Arial" w:hAnsi="Arial" w:cs="Arial"/>
                <w:color w:val="0F243E" w:themeColor="text2" w:themeShade="80"/>
                <w:sz w:val="20"/>
                <w:szCs w:val="20"/>
              </w:rPr>
              <w:t>mina y Ecoc</w:t>
            </w:r>
            <w:r w:rsidR="0074450A" w:rsidRPr="000909CC">
              <w:rPr>
                <w:rFonts w:ascii="Arial" w:hAnsi="Arial" w:cs="Arial"/>
                <w:color w:val="0F243E" w:themeColor="text2" w:themeShade="80"/>
                <w:sz w:val="20"/>
                <w:szCs w:val="20"/>
              </w:rPr>
              <w:t>ó</w:t>
            </w:r>
            <w:r w:rsidRPr="000909CC">
              <w:rPr>
                <w:rFonts w:ascii="Arial" w:hAnsi="Arial" w:cs="Arial"/>
                <w:color w:val="0F243E" w:themeColor="text2" w:themeShade="80"/>
                <w:sz w:val="20"/>
                <w:szCs w:val="20"/>
              </w:rPr>
              <w:t>mputo, en los cuales los funcionarios pueden disponer residuos como pilas, bombillos y algunos elementos tecnológicos para su posterior reciclaje y/o aprovechamiento</w:t>
            </w:r>
            <w:r w:rsidR="00E30F26" w:rsidRPr="000909CC">
              <w:rPr>
                <w:rFonts w:ascii="Arial" w:hAnsi="Arial" w:cs="Arial"/>
                <w:color w:val="0F243E" w:themeColor="text2" w:themeShade="80"/>
                <w:sz w:val="20"/>
                <w:szCs w:val="20"/>
              </w:rPr>
              <w:t>.</w:t>
            </w:r>
          </w:p>
        </w:tc>
      </w:tr>
      <w:tr w:rsidR="00C371BC" w:rsidRPr="005045BF" w14:paraId="0F3E0127" w14:textId="77777777" w:rsidTr="009559F9">
        <w:trPr>
          <w:cantSplit/>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377B9FE2" w14:textId="77777777" w:rsidR="00100327" w:rsidRPr="000909CC" w:rsidRDefault="00100327" w:rsidP="009559F9">
            <w:pPr>
              <w:jc w:val="center"/>
              <w:rPr>
                <w:rFonts w:ascii="Arial" w:hAnsi="Arial" w:cs="Arial"/>
                <w:color w:val="0F243E" w:themeColor="text2" w:themeShade="80"/>
                <w:sz w:val="20"/>
                <w:szCs w:val="20"/>
              </w:rPr>
            </w:pPr>
            <w:r w:rsidRPr="000909CC">
              <w:rPr>
                <w:rFonts w:ascii="Arial" w:hAnsi="Arial" w:cs="Arial"/>
                <w:color w:val="0F243E" w:themeColor="text2" w:themeShade="80"/>
                <w:sz w:val="20"/>
                <w:szCs w:val="20"/>
              </w:rPr>
              <w:t>9.5</w:t>
            </w:r>
          </w:p>
        </w:tc>
        <w:tc>
          <w:tcPr>
            <w:tcW w:w="2835" w:type="dxa"/>
            <w:vAlign w:val="center"/>
            <w:hideMark/>
          </w:tcPr>
          <w:p w14:paraId="1CB16A75" w14:textId="77777777" w:rsidR="00100327" w:rsidRPr="000909CC" w:rsidRDefault="00100327" w:rsidP="009559F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 xml:space="preserve">Crear programas internos de fomento al uso de vehículos y medios de transporte ambientalmente sostenibles como bicicletas, transporte público, entre otros. </w:t>
            </w:r>
          </w:p>
        </w:tc>
        <w:tc>
          <w:tcPr>
            <w:tcW w:w="5714" w:type="dxa"/>
            <w:noWrap/>
            <w:vAlign w:val="center"/>
          </w:tcPr>
          <w:p w14:paraId="5D4DDDAC" w14:textId="057FE124" w:rsidR="00C9758B" w:rsidRPr="000909CC" w:rsidRDefault="001B095C" w:rsidP="009559F9">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0909CC">
              <w:rPr>
                <w:rFonts w:ascii="Arial" w:hAnsi="Arial" w:cs="Arial"/>
                <w:color w:val="0F243E" w:themeColor="text2" w:themeShade="80"/>
                <w:sz w:val="20"/>
                <w:szCs w:val="20"/>
              </w:rPr>
              <w:t>Se encuentra en vigencia la política del uso de las bicicletas, la cual se ha socializado a todos los funcionarios mediante la publicación regularmente en la intranet de este Ministerio. Para ello el Ministerio cuenta con Biciparqueaderos disponibles para su utilización.</w:t>
            </w:r>
          </w:p>
        </w:tc>
      </w:tr>
    </w:tbl>
    <w:p w14:paraId="3DCA5394" w14:textId="77777777" w:rsidR="002B61CB" w:rsidRPr="005045BF" w:rsidRDefault="002B61CB" w:rsidP="00C77DDE">
      <w:pPr>
        <w:pStyle w:val="Prrafodelista"/>
        <w:ind w:left="0"/>
        <w:contextualSpacing w:val="0"/>
        <w:rPr>
          <w:rFonts w:ascii="Arial" w:hAnsi="Arial" w:cs="Arial"/>
          <w:color w:val="000000"/>
          <w:sz w:val="22"/>
          <w:szCs w:val="22"/>
          <w:highlight w:val="yellow"/>
        </w:rPr>
      </w:pPr>
    </w:p>
    <w:p w14:paraId="6C189C69" w14:textId="67E7AC4F" w:rsidR="009839DB" w:rsidRPr="005045BF" w:rsidRDefault="009839DB" w:rsidP="00C77DDE">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Con respecto a lo anterior, se deduce que este Ministerio viene adelantando acciones en aras de lograr una sostenibilidad ambiental y dando cumplimiento de forma razonable a </w:t>
      </w:r>
      <w:r w:rsidR="00EB7BE9" w:rsidRPr="005045BF">
        <w:rPr>
          <w:rFonts w:ascii="Arial" w:hAnsi="Arial" w:cs="Arial"/>
          <w:color w:val="000000"/>
          <w:sz w:val="22"/>
          <w:szCs w:val="22"/>
        </w:rPr>
        <w:t xml:space="preserve">la directriz establecida en </w:t>
      </w:r>
      <w:r w:rsidRPr="005045BF">
        <w:rPr>
          <w:rFonts w:ascii="Arial" w:hAnsi="Arial" w:cs="Arial"/>
          <w:color w:val="000000"/>
          <w:sz w:val="22"/>
          <w:szCs w:val="22"/>
        </w:rPr>
        <w:t>la Directiva Presidencial 0</w:t>
      </w:r>
      <w:r w:rsidR="00EB7BE9" w:rsidRPr="005045BF">
        <w:rPr>
          <w:rFonts w:ascii="Arial" w:hAnsi="Arial" w:cs="Arial"/>
          <w:color w:val="000000"/>
          <w:sz w:val="22"/>
          <w:szCs w:val="22"/>
        </w:rPr>
        <w:t>9</w:t>
      </w:r>
      <w:r w:rsidR="00837450" w:rsidRPr="005045BF">
        <w:rPr>
          <w:rFonts w:ascii="Arial" w:hAnsi="Arial" w:cs="Arial"/>
          <w:color w:val="000000"/>
          <w:sz w:val="22"/>
          <w:szCs w:val="22"/>
        </w:rPr>
        <w:t xml:space="preserve"> de 2018</w:t>
      </w:r>
      <w:r w:rsidRPr="005045BF">
        <w:rPr>
          <w:rFonts w:ascii="Arial" w:hAnsi="Arial" w:cs="Arial"/>
          <w:color w:val="000000"/>
          <w:sz w:val="22"/>
          <w:szCs w:val="22"/>
        </w:rPr>
        <w:t xml:space="preserve">. </w:t>
      </w:r>
    </w:p>
    <w:p w14:paraId="26DCD0E9" w14:textId="77777777" w:rsidR="009839DB" w:rsidRPr="005045BF" w:rsidRDefault="009839DB" w:rsidP="00C77DDE">
      <w:pPr>
        <w:pStyle w:val="Prrafodelista"/>
        <w:ind w:left="0"/>
        <w:contextualSpacing w:val="0"/>
        <w:rPr>
          <w:rFonts w:ascii="Arial" w:hAnsi="Arial" w:cs="Arial"/>
          <w:color w:val="000000"/>
          <w:sz w:val="22"/>
          <w:szCs w:val="22"/>
        </w:rPr>
      </w:pPr>
    </w:p>
    <w:p w14:paraId="2CE6C386" w14:textId="6B2C12F1" w:rsidR="00023DBB" w:rsidRPr="005045BF" w:rsidRDefault="002639FA" w:rsidP="00C77DDE">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A </w:t>
      </w:r>
      <w:r w:rsidR="00B26A5C" w:rsidRPr="005045BF">
        <w:rPr>
          <w:rFonts w:ascii="Arial" w:hAnsi="Arial" w:cs="Arial"/>
          <w:color w:val="000000"/>
          <w:sz w:val="22"/>
          <w:szCs w:val="22"/>
        </w:rPr>
        <w:t>continuación,</w:t>
      </w:r>
      <w:r w:rsidRPr="005045BF">
        <w:rPr>
          <w:rFonts w:ascii="Arial" w:hAnsi="Arial" w:cs="Arial"/>
          <w:color w:val="000000"/>
          <w:sz w:val="22"/>
          <w:szCs w:val="22"/>
        </w:rPr>
        <w:t xml:space="preserve"> se presenta</w:t>
      </w:r>
      <w:r w:rsidR="000C4A9C" w:rsidRPr="005045BF">
        <w:rPr>
          <w:rFonts w:ascii="Arial" w:hAnsi="Arial" w:cs="Arial"/>
          <w:color w:val="000000"/>
          <w:sz w:val="22"/>
          <w:szCs w:val="22"/>
        </w:rPr>
        <w:t xml:space="preserve">n </w:t>
      </w:r>
      <w:r w:rsidR="00B26A5C" w:rsidRPr="005045BF">
        <w:rPr>
          <w:rFonts w:ascii="Arial" w:hAnsi="Arial" w:cs="Arial"/>
          <w:color w:val="000000"/>
          <w:sz w:val="22"/>
          <w:szCs w:val="22"/>
        </w:rPr>
        <w:t>los conceptos de energía</w:t>
      </w:r>
      <w:r w:rsidR="00992799" w:rsidRPr="005045BF">
        <w:rPr>
          <w:rFonts w:ascii="Arial" w:hAnsi="Arial" w:cs="Arial"/>
          <w:color w:val="000000"/>
          <w:sz w:val="22"/>
          <w:szCs w:val="22"/>
        </w:rPr>
        <w:t xml:space="preserve">, </w:t>
      </w:r>
      <w:r w:rsidR="00B26A5C" w:rsidRPr="005045BF">
        <w:rPr>
          <w:rFonts w:ascii="Arial" w:hAnsi="Arial" w:cs="Arial"/>
          <w:color w:val="000000"/>
          <w:sz w:val="22"/>
          <w:szCs w:val="22"/>
        </w:rPr>
        <w:t>acueducto</w:t>
      </w:r>
      <w:r w:rsidR="00992799" w:rsidRPr="005045BF">
        <w:rPr>
          <w:rFonts w:ascii="Arial" w:hAnsi="Arial" w:cs="Arial"/>
          <w:color w:val="000000"/>
          <w:sz w:val="22"/>
          <w:szCs w:val="22"/>
        </w:rPr>
        <w:t xml:space="preserve"> y aseo, </w:t>
      </w:r>
      <w:r w:rsidR="00B26A5C" w:rsidRPr="005045BF">
        <w:rPr>
          <w:rFonts w:ascii="Arial" w:hAnsi="Arial" w:cs="Arial"/>
          <w:color w:val="000000"/>
          <w:sz w:val="22"/>
          <w:szCs w:val="22"/>
        </w:rPr>
        <w:t>los cuales</w:t>
      </w:r>
      <w:r w:rsidR="00992799" w:rsidRPr="005045BF">
        <w:rPr>
          <w:rFonts w:ascii="Arial" w:hAnsi="Arial" w:cs="Arial"/>
          <w:color w:val="000000"/>
          <w:sz w:val="22"/>
          <w:szCs w:val="22"/>
        </w:rPr>
        <w:t xml:space="preserve"> </w:t>
      </w:r>
      <w:r w:rsidR="00B26A5C" w:rsidRPr="005045BF">
        <w:rPr>
          <w:rFonts w:ascii="Arial" w:hAnsi="Arial" w:cs="Arial"/>
          <w:color w:val="000000"/>
          <w:sz w:val="22"/>
          <w:szCs w:val="22"/>
        </w:rPr>
        <w:t xml:space="preserve">están incluidos en las medidas de austeridad referentes a la sostenibilidad ambiental.  </w:t>
      </w:r>
      <w:r w:rsidRPr="005045BF">
        <w:rPr>
          <w:rFonts w:ascii="Arial" w:hAnsi="Arial" w:cs="Arial"/>
          <w:color w:val="000000"/>
          <w:sz w:val="22"/>
          <w:szCs w:val="22"/>
        </w:rPr>
        <w:t xml:space="preserve"> </w:t>
      </w:r>
    </w:p>
    <w:p w14:paraId="69F1C4ED" w14:textId="6597F35C" w:rsidR="00EB4537" w:rsidRPr="005045BF" w:rsidRDefault="00EB4537" w:rsidP="00992799">
      <w:pPr>
        <w:ind w:left="708"/>
        <w:rPr>
          <w:rFonts w:ascii="Arial" w:hAnsi="Arial" w:cs="Arial"/>
          <w:b/>
          <w:color w:val="000000"/>
          <w:sz w:val="22"/>
          <w:szCs w:val="22"/>
          <w:highlight w:val="yellow"/>
        </w:rPr>
      </w:pPr>
    </w:p>
    <w:p w14:paraId="11600E28" w14:textId="77777777" w:rsidR="00F93D61" w:rsidRPr="005045BF" w:rsidRDefault="00F93D61" w:rsidP="00C77DDE">
      <w:pPr>
        <w:rPr>
          <w:rFonts w:ascii="Arial" w:hAnsi="Arial" w:cs="Arial"/>
          <w:b/>
          <w:color w:val="000000"/>
          <w:sz w:val="22"/>
          <w:szCs w:val="22"/>
        </w:rPr>
      </w:pPr>
    </w:p>
    <w:p w14:paraId="2BE7BC74" w14:textId="5A85D09F" w:rsidR="00535509" w:rsidRPr="003E5934" w:rsidRDefault="00AD73A3" w:rsidP="003E5934">
      <w:pPr>
        <w:pStyle w:val="Prrafodelista"/>
        <w:numPr>
          <w:ilvl w:val="1"/>
          <w:numId w:val="43"/>
        </w:numPr>
        <w:ind w:left="567" w:hanging="567"/>
        <w:rPr>
          <w:rFonts w:ascii="Arial" w:hAnsi="Arial" w:cs="Arial"/>
          <w:b/>
          <w:color w:val="000000"/>
          <w:sz w:val="22"/>
          <w:szCs w:val="22"/>
        </w:rPr>
      </w:pPr>
      <w:r w:rsidRPr="003E5934">
        <w:rPr>
          <w:rFonts w:ascii="Arial" w:hAnsi="Arial" w:cs="Arial"/>
          <w:b/>
          <w:color w:val="000000"/>
          <w:sz w:val="22"/>
          <w:szCs w:val="22"/>
        </w:rPr>
        <w:t xml:space="preserve"> </w:t>
      </w:r>
      <w:r w:rsidR="00535509" w:rsidRPr="003E5934">
        <w:rPr>
          <w:rFonts w:ascii="Arial" w:hAnsi="Arial" w:cs="Arial"/>
          <w:b/>
          <w:color w:val="000000"/>
          <w:sz w:val="22"/>
          <w:szCs w:val="22"/>
        </w:rPr>
        <w:t>ENERG</w:t>
      </w:r>
      <w:r w:rsidR="00A959FB" w:rsidRPr="003E5934">
        <w:rPr>
          <w:rFonts w:ascii="Arial" w:hAnsi="Arial" w:cs="Arial"/>
          <w:b/>
          <w:color w:val="000000"/>
          <w:sz w:val="22"/>
          <w:szCs w:val="22"/>
        </w:rPr>
        <w:t>Í</w:t>
      </w:r>
      <w:r w:rsidR="00535509" w:rsidRPr="003E5934">
        <w:rPr>
          <w:rFonts w:ascii="Arial" w:hAnsi="Arial" w:cs="Arial"/>
          <w:b/>
          <w:color w:val="000000"/>
          <w:sz w:val="22"/>
          <w:szCs w:val="22"/>
        </w:rPr>
        <w:t>A</w:t>
      </w:r>
    </w:p>
    <w:p w14:paraId="743580A2" w14:textId="77777777" w:rsidR="00A90B93" w:rsidRPr="005045BF" w:rsidRDefault="00A90B93" w:rsidP="00C77DDE">
      <w:pPr>
        <w:pStyle w:val="Prrafodelista"/>
        <w:ind w:left="360"/>
        <w:contextualSpacing w:val="0"/>
        <w:rPr>
          <w:rFonts w:ascii="Arial" w:hAnsi="Arial" w:cs="Arial"/>
          <w:b/>
          <w:color w:val="000000"/>
          <w:sz w:val="22"/>
          <w:szCs w:val="22"/>
        </w:rPr>
      </w:pPr>
    </w:p>
    <w:p w14:paraId="4394C688" w14:textId="10B17717" w:rsidR="002B2D1B" w:rsidRPr="005045BF" w:rsidRDefault="00B93162" w:rsidP="00C77DDE">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Para este concepto analizado, </w:t>
      </w:r>
      <w:r w:rsidR="00000FCA" w:rsidRPr="005045BF">
        <w:rPr>
          <w:rFonts w:ascii="Arial" w:hAnsi="Arial" w:cs="Arial"/>
          <w:color w:val="000000"/>
          <w:sz w:val="22"/>
          <w:szCs w:val="22"/>
        </w:rPr>
        <w:t xml:space="preserve">es importante precisar que el Ministerio de Hacienda y Crédito Público comparte la sede del Edificio San Agustín con la Dirección de Impuestos y Aduanas Nacionales de Colombia -DIAN (pisos </w:t>
      </w:r>
      <w:r w:rsidR="006975F4" w:rsidRPr="005045BF">
        <w:rPr>
          <w:rFonts w:ascii="Arial" w:hAnsi="Arial" w:cs="Arial"/>
          <w:color w:val="000000"/>
          <w:sz w:val="22"/>
          <w:szCs w:val="22"/>
        </w:rPr>
        <w:t xml:space="preserve">4°, </w:t>
      </w:r>
      <w:r w:rsidR="00000FCA" w:rsidRPr="005045BF">
        <w:rPr>
          <w:rFonts w:ascii="Arial" w:hAnsi="Arial" w:cs="Arial"/>
          <w:color w:val="000000"/>
          <w:sz w:val="22"/>
          <w:szCs w:val="22"/>
        </w:rPr>
        <w:t xml:space="preserve">5° y 6°). Por tal razón, la Subdirección de Servicios mediante un </w:t>
      </w:r>
      <w:r w:rsidR="00D57902" w:rsidRPr="005045BF">
        <w:rPr>
          <w:rFonts w:ascii="Arial" w:hAnsi="Arial" w:cs="Arial"/>
          <w:color w:val="000000"/>
          <w:sz w:val="22"/>
          <w:szCs w:val="22"/>
        </w:rPr>
        <w:t xml:space="preserve">ejercicio de </w:t>
      </w:r>
      <w:r w:rsidR="00000FCA" w:rsidRPr="005045BF">
        <w:rPr>
          <w:rFonts w:ascii="Arial" w:hAnsi="Arial" w:cs="Arial"/>
          <w:color w:val="000000"/>
          <w:sz w:val="22"/>
          <w:szCs w:val="22"/>
        </w:rPr>
        <w:t>prorrateo determina el valor que le corresponde a la DIAN por el servicio de energía</w:t>
      </w:r>
      <w:r w:rsidR="002869E9" w:rsidRPr="005045BF">
        <w:rPr>
          <w:rFonts w:ascii="Arial" w:hAnsi="Arial" w:cs="Arial"/>
          <w:color w:val="000000"/>
          <w:sz w:val="22"/>
          <w:szCs w:val="22"/>
        </w:rPr>
        <w:t xml:space="preserve"> y mes a mes envía a dicha entidad el </w:t>
      </w:r>
      <w:r w:rsidR="00431DA7" w:rsidRPr="005045BF">
        <w:rPr>
          <w:rFonts w:ascii="Arial" w:hAnsi="Arial" w:cs="Arial"/>
          <w:color w:val="000000"/>
          <w:sz w:val="22"/>
          <w:szCs w:val="22"/>
        </w:rPr>
        <w:t xml:space="preserve">oficio de </w:t>
      </w:r>
      <w:r w:rsidR="002869E9" w:rsidRPr="005045BF">
        <w:rPr>
          <w:rFonts w:ascii="Arial" w:hAnsi="Arial" w:cs="Arial"/>
          <w:color w:val="000000"/>
          <w:sz w:val="22"/>
          <w:szCs w:val="22"/>
        </w:rPr>
        <w:t xml:space="preserve">solicitud de pago del </w:t>
      </w:r>
      <w:r w:rsidR="004A2CA3" w:rsidRPr="005045BF">
        <w:rPr>
          <w:rFonts w:ascii="Arial" w:hAnsi="Arial" w:cs="Arial"/>
          <w:color w:val="000000"/>
          <w:sz w:val="22"/>
          <w:szCs w:val="22"/>
        </w:rPr>
        <w:t>respectivo v</w:t>
      </w:r>
      <w:r w:rsidR="002869E9" w:rsidRPr="005045BF">
        <w:rPr>
          <w:rFonts w:ascii="Arial" w:hAnsi="Arial" w:cs="Arial"/>
          <w:color w:val="000000"/>
          <w:sz w:val="22"/>
          <w:szCs w:val="22"/>
        </w:rPr>
        <w:t>alor</w:t>
      </w:r>
      <w:r w:rsidR="002026B1" w:rsidRPr="005045BF">
        <w:rPr>
          <w:rFonts w:ascii="Arial" w:hAnsi="Arial" w:cs="Arial"/>
          <w:color w:val="000000"/>
          <w:sz w:val="22"/>
          <w:szCs w:val="22"/>
        </w:rPr>
        <w:t xml:space="preserve">. Lo anterior, se evidenció a través de </w:t>
      </w:r>
      <w:r w:rsidR="0005785C" w:rsidRPr="005045BF">
        <w:rPr>
          <w:rFonts w:ascii="Arial" w:hAnsi="Arial" w:cs="Arial"/>
          <w:color w:val="000000"/>
          <w:sz w:val="22"/>
          <w:szCs w:val="22"/>
        </w:rPr>
        <w:t>las comunicaciones</w:t>
      </w:r>
      <w:r w:rsidR="00D57902" w:rsidRPr="005045BF">
        <w:rPr>
          <w:rFonts w:ascii="Arial" w:hAnsi="Arial" w:cs="Arial"/>
          <w:color w:val="000000"/>
          <w:sz w:val="22"/>
          <w:szCs w:val="22"/>
        </w:rPr>
        <w:t xml:space="preserve"> expedidas por </w:t>
      </w:r>
      <w:r w:rsidR="00992799" w:rsidRPr="005045BF">
        <w:rPr>
          <w:rFonts w:ascii="Arial" w:hAnsi="Arial" w:cs="Arial"/>
          <w:color w:val="000000"/>
          <w:sz w:val="22"/>
          <w:szCs w:val="22"/>
        </w:rPr>
        <w:t xml:space="preserve">dicha </w:t>
      </w:r>
      <w:r w:rsidR="00D57902" w:rsidRPr="005045BF">
        <w:rPr>
          <w:rFonts w:ascii="Arial" w:hAnsi="Arial" w:cs="Arial"/>
          <w:color w:val="000000"/>
          <w:sz w:val="22"/>
          <w:szCs w:val="22"/>
        </w:rPr>
        <w:t>Subdirección</w:t>
      </w:r>
      <w:r w:rsidR="00B63930" w:rsidRPr="005045BF">
        <w:rPr>
          <w:rFonts w:ascii="Arial" w:hAnsi="Arial" w:cs="Arial"/>
          <w:color w:val="000000"/>
          <w:sz w:val="22"/>
          <w:szCs w:val="22"/>
        </w:rPr>
        <w:t xml:space="preserve">, a saber: </w:t>
      </w:r>
    </w:p>
    <w:p w14:paraId="3D9116AA" w14:textId="77777777" w:rsidR="002B2D1B" w:rsidRPr="005045BF" w:rsidRDefault="002B2D1B" w:rsidP="00A90B93">
      <w:pPr>
        <w:pStyle w:val="Prrafodelista"/>
        <w:ind w:left="0"/>
        <w:contextualSpacing w:val="0"/>
        <w:rPr>
          <w:rFonts w:ascii="Arial" w:hAnsi="Arial" w:cs="Arial"/>
          <w:color w:val="000000"/>
          <w:sz w:val="22"/>
          <w:szCs w:val="22"/>
        </w:rPr>
      </w:pPr>
    </w:p>
    <w:tbl>
      <w:tblPr>
        <w:tblStyle w:val="Tablaconcuadrcula1clara-nfasis1"/>
        <w:tblW w:w="0" w:type="auto"/>
        <w:tblLook w:val="04A0" w:firstRow="1" w:lastRow="0" w:firstColumn="1" w:lastColumn="0" w:noHBand="0" w:noVBand="1"/>
      </w:tblPr>
      <w:tblGrid>
        <w:gridCol w:w="2478"/>
        <w:gridCol w:w="961"/>
        <w:gridCol w:w="1217"/>
        <w:gridCol w:w="1573"/>
        <w:gridCol w:w="2005"/>
        <w:gridCol w:w="1395"/>
      </w:tblGrid>
      <w:tr w:rsidR="00A23BCE" w:rsidRPr="005045BF" w14:paraId="268BF813" w14:textId="77777777" w:rsidTr="00A23BC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auto"/>
            <w:shd w:val="clear" w:color="auto" w:fill="4F81BD" w:themeFill="accent1"/>
            <w:noWrap/>
            <w:vAlign w:val="center"/>
            <w:hideMark/>
          </w:tcPr>
          <w:p w14:paraId="36C3BA12" w14:textId="77777777" w:rsidR="00A23BCE" w:rsidRPr="005045BF" w:rsidRDefault="00A23BCE" w:rsidP="00021ABF">
            <w:pPr>
              <w:spacing w:before="120" w:after="100"/>
              <w:rPr>
                <w:rFonts w:ascii="Arial" w:hAnsi="Arial" w:cs="Arial"/>
                <w:color w:val="FFFFFF"/>
                <w:sz w:val="20"/>
                <w:szCs w:val="20"/>
              </w:rPr>
            </w:pPr>
            <w:r w:rsidRPr="005045BF">
              <w:rPr>
                <w:rFonts w:ascii="Arial" w:hAnsi="Arial" w:cs="Arial"/>
                <w:color w:val="FFFFFF"/>
                <w:sz w:val="20"/>
                <w:szCs w:val="20"/>
              </w:rPr>
              <w:t>Concepto</w:t>
            </w:r>
          </w:p>
        </w:tc>
        <w:tc>
          <w:tcPr>
            <w:tcW w:w="0" w:type="auto"/>
            <w:shd w:val="clear" w:color="auto" w:fill="4F81BD" w:themeFill="accent1"/>
            <w:vAlign w:val="center"/>
            <w:hideMark/>
          </w:tcPr>
          <w:p w14:paraId="0DC61265" w14:textId="77777777" w:rsidR="00A23BCE" w:rsidRPr="005045BF" w:rsidRDefault="00A23BCE" w:rsidP="00021AB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Periodo</w:t>
            </w:r>
          </w:p>
        </w:tc>
        <w:tc>
          <w:tcPr>
            <w:tcW w:w="0" w:type="auto"/>
            <w:shd w:val="clear" w:color="auto" w:fill="4F81BD" w:themeFill="accent1"/>
            <w:vAlign w:val="center"/>
            <w:hideMark/>
          </w:tcPr>
          <w:p w14:paraId="02BC559B" w14:textId="77777777" w:rsidR="00A23BCE" w:rsidRPr="005045BF" w:rsidRDefault="00A23BCE" w:rsidP="00021AB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 xml:space="preserve">Fecha </w:t>
            </w:r>
          </w:p>
        </w:tc>
        <w:tc>
          <w:tcPr>
            <w:tcW w:w="0" w:type="auto"/>
            <w:shd w:val="clear" w:color="auto" w:fill="4F81BD" w:themeFill="accent1"/>
            <w:vAlign w:val="center"/>
            <w:hideMark/>
          </w:tcPr>
          <w:p w14:paraId="0E2CD588" w14:textId="77777777" w:rsidR="00A23BCE" w:rsidRPr="005045BF" w:rsidRDefault="00A23BCE" w:rsidP="00021AB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Radicado</w:t>
            </w:r>
          </w:p>
        </w:tc>
        <w:tc>
          <w:tcPr>
            <w:tcW w:w="0" w:type="auto"/>
            <w:shd w:val="clear" w:color="auto" w:fill="4F81BD" w:themeFill="accent1"/>
            <w:vAlign w:val="center"/>
            <w:hideMark/>
          </w:tcPr>
          <w:p w14:paraId="69087B0D" w14:textId="127A3410" w:rsidR="00A23BCE" w:rsidRPr="005045BF" w:rsidRDefault="00A23BCE" w:rsidP="00021AB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Valor a Cobrar – Prorrateo ($)</w:t>
            </w:r>
          </w:p>
        </w:tc>
        <w:tc>
          <w:tcPr>
            <w:tcW w:w="0" w:type="auto"/>
            <w:shd w:val="clear" w:color="auto" w:fill="4F81BD" w:themeFill="accent1"/>
            <w:vAlign w:val="center"/>
            <w:hideMark/>
          </w:tcPr>
          <w:p w14:paraId="05659EDB" w14:textId="77777777" w:rsidR="00A23BCE" w:rsidRPr="005045BF" w:rsidRDefault="00A23BCE" w:rsidP="00021ABF">
            <w:pPr>
              <w:spacing w:before="120" w:after="10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sz w:val="20"/>
                <w:szCs w:val="20"/>
              </w:rPr>
            </w:pPr>
            <w:r w:rsidRPr="005045BF">
              <w:rPr>
                <w:rFonts w:ascii="Arial" w:hAnsi="Arial" w:cs="Arial"/>
                <w:color w:val="FFFFFF"/>
                <w:sz w:val="20"/>
                <w:szCs w:val="20"/>
              </w:rPr>
              <w:t>Factura</w:t>
            </w:r>
          </w:p>
        </w:tc>
      </w:tr>
      <w:tr w:rsidR="00EC149F" w:rsidRPr="005045BF" w14:paraId="2B19C4C4" w14:textId="77777777" w:rsidTr="008E1BA7">
        <w:trPr>
          <w:cantSplit/>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62B8B370" w14:textId="77777777" w:rsidR="00EC149F" w:rsidRPr="005045BF" w:rsidRDefault="00EC149F" w:rsidP="00021ABF">
            <w:pPr>
              <w:spacing w:before="120" w:after="10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Servicio de Energía - Edificio San Agustín</w:t>
            </w:r>
          </w:p>
        </w:tc>
        <w:tc>
          <w:tcPr>
            <w:tcW w:w="0" w:type="auto"/>
            <w:vAlign w:val="center"/>
            <w:hideMark/>
          </w:tcPr>
          <w:p w14:paraId="62C8B4EA" w14:textId="11FE6BAA"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Enero</w:t>
            </w:r>
          </w:p>
        </w:tc>
        <w:tc>
          <w:tcPr>
            <w:tcW w:w="0" w:type="auto"/>
            <w:noWrap/>
            <w:vAlign w:val="bottom"/>
            <w:hideMark/>
          </w:tcPr>
          <w:p w14:paraId="48D15E0F" w14:textId="6BFEBB81"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4/02/2020</w:t>
            </w:r>
          </w:p>
        </w:tc>
        <w:tc>
          <w:tcPr>
            <w:tcW w:w="0" w:type="auto"/>
            <w:noWrap/>
            <w:vAlign w:val="bottom"/>
            <w:hideMark/>
          </w:tcPr>
          <w:p w14:paraId="23123241" w14:textId="1E827FB5"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2-2020-003786</w:t>
            </w:r>
          </w:p>
        </w:tc>
        <w:tc>
          <w:tcPr>
            <w:tcW w:w="0" w:type="auto"/>
            <w:vAlign w:val="bottom"/>
            <w:hideMark/>
          </w:tcPr>
          <w:p w14:paraId="0C1EA210" w14:textId="703A5A0A"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53.278.800</w:t>
            </w:r>
          </w:p>
        </w:tc>
        <w:tc>
          <w:tcPr>
            <w:tcW w:w="0" w:type="auto"/>
            <w:vAlign w:val="bottom"/>
            <w:hideMark/>
          </w:tcPr>
          <w:p w14:paraId="0E3BE701" w14:textId="6F59C761"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580158203-7</w:t>
            </w:r>
          </w:p>
        </w:tc>
      </w:tr>
      <w:tr w:rsidR="00EC149F" w:rsidRPr="005045BF" w14:paraId="663BFF1E" w14:textId="77777777" w:rsidTr="008E1BA7">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169E5DE9" w14:textId="77777777" w:rsidR="00EC149F" w:rsidRPr="005045BF" w:rsidRDefault="00EC149F" w:rsidP="00021ABF">
            <w:pPr>
              <w:spacing w:before="120" w:after="100"/>
              <w:rPr>
                <w:rFonts w:ascii="Arial" w:hAnsi="Arial" w:cs="Arial"/>
                <w:color w:val="0F243E" w:themeColor="text2" w:themeShade="80"/>
                <w:sz w:val="20"/>
                <w:szCs w:val="20"/>
              </w:rPr>
            </w:pPr>
          </w:p>
        </w:tc>
        <w:tc>
          <w:tcPr>
            <w:tcW w:w="0" w:type="auto"/>
            <w:vAlign w:val="center"/>
            <w:hideMark/>
          </w:tcPr>
          <w:p w14:paraId="54856ACA" w14:textId="3747771C"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Febrero </w:t>
            </w:r>
          </w:p>
        </w:tc>
        <w:tc>
          <w:tcPr>
            <w:tcW w:w="0" w:type="auto"/>
            <w:noWrap/>
            <w:vAlign w:val="bottom"/>
            <w:hideMark/>
          </w:tcPr>
          <w:p w14:paraId="1D5EBB99" w14:textId="681B50FF" w:rsidR="00EC149F" w:rsidRPr="005045BF" w:rsidRDefault="00EC149F" w:rsidP="00021ABF">
            <w:pPr>
              <w:spacing w:before="120" w:after="10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2/03/2020</w:t>
            </w:r>
          </w:p>
        </w:tc>
        <w:tc>
          <w:tcPr>
            <w:tcW w:w="0" w:type="auto"/>
            <w:noWrap/>
            <w:vAlign w:val="bottom"/>
            <w:hideMark/>
          </w:tcPr>
          <w:p w14:paraId="564FABDB" w14:textId="2BFA728D" w:rsidR="00EC149F" w:rsidRPr="005045BF" w:rsidRDefault="00EC149F" w:rsidP="00021ABF">
            <w:pPr>
              <w:spacing w:before="120" w:after="10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2-2020-016795</w:t>
            </w:r>
          </w:p>
        </w:tc>
        <w:tc>
          <w:tcPr>
            <w:tcW w:w="0" w:type="auto"/>
            <w:noWrap/>
            <w:vAlign w:val="bottom"/>
            <w:hideMark/>
          </w:tcPr>
          <w:p w14:paraId="4980D124" w14:textId="79049BB2"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51.936.049</w:t>
            </w:r>
          </w:p>
        </w:tc>
        <w:tc>
          <w:tcPr>
            <w:tcW w:w="0" w:type="auto"/>
            <w:noWrap/>
            <w:vAlign w:val="bottom"/>
            <w:hideMark/>
          </w:tcPr>
          <w:p w14:paraId="6DE43116" w14:textId="6974A4B1"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583649745-4</w:t>
            </w:r>
          </w:p>
        </w:tc>
      </w:tr>
      <w:tr w:rsidR="00EC149F" w:rsidRPr="005045BF" w14:paraId="556A5B6C" w14:textId="77777777" w:rsidTr="008E1BA7">
        <w:trPr>
          <w:cantSplit/>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26B711EB" w14:textId="77777777" w:rsidR="00EC149F" w:rsidRPr="005045BF" w:rsidRDefault="00EC149F" w:rsidP="00021ABF">
            <w:pPr>
              <w:spacing w:before="120" w:after="100"/>
              <w:rPr>
                <w:rFonts w:ascii="Arial" w:hAnsi="Arial" w:cs="Arial"/>
                <w:color w:val="0F243E" w:themeColor="text2" w:themeShade="80"/>
                <w:sz w:val="20"/>
                <w:szCs w:val="20"/>
              </w:rPr>
            </w:pPr>
          </w:p>
        </w:tc>
        <w:tc>
          <w:tcPr>
            <w:tcW w:w="0" w:type="auto"/>
            <w:vAlign w:val="center"/>
            <w:hideMark/>
          </w:tcPr>
          <w:p w14:paraId="58372D0D" w14:textId="173D2FC3"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Marzo </w:t>
            </w:r>
          </w:p>
        </w:tc>
        <w:tc>
          <w:tcPr>
            <w:tcW w:w="0" w:type="auto"/>
            <w:vAlign w:val="center"/>
            <w:hideMark/>
          </w:tcPr>
          <w:p w14:paraId="57C82CE7" w14:textId="2D46C18A"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31/03/2020</w:t>
            </w:r>
          </w:p>
        </w:tc>
        <w:tc>
          <w:tcPr>
            <w:tcW w:w="0" w:type="auto"/>
            <w:noWrap/>
            <w:vAlign w:val="bottom"/>
            <w:hideMark/>
          </w:tcPr>
          <w:p w14:paraId="356F8A50" w14:textId="0FD66E10" w:rsidR="00EC149F" w:rsidRPr="005045BF" w:rsidRDefault="00775FC4"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2-2020-011615</w:t>
            </w:r>
          </w:p>
        </w:tc>
        <w:tc>
          <w:tcPr>
            <w:tcW w:w="0" w:type="auto"/>
            <w:noWrap/>
            <w:vAlign w:val="bottom"/>
            <w:hideMark/>
          </w:tcPr>
          <w:p w14:paraId="1319E439" w14:textId="3DC5BAD3"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50.666.441</w:t>
            </w:r>
          </w:p>
        </w:tc>
        <w:tc>
          <w:tcPr>
            <w:tcW w:w="0" w:type="auto"/>
            <w:noWrap/>
            <w:vAlign w:val="bottom"/>
            <w:hideMark/>
          </w:tcPr>
          <w:p w14:paraId="63552B48" w14:textId="527AAE89" w:rsidR="00EC149F" w:rsidRPr="005045BF" w:rsidRDefault="00EC149F" w:rsidP="00021ABF">
            <w:pPr>
              <w:spacing w:before="120" w:after="10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587201505-4</w:t>
            </w:r>
          </w:p>
        </w:tc>
      </w:tr>
    </w:tbl>
    <w:p w14:paraId="4A7448B7" w14:textId="77777777" w:rsidR="00C279E2" w:rsidRPr="005045BF" w:rsidRDefault="00C279E2" w:rsidP="00B63930">
      <w:pPr>
        <w:pStyle w:val="Prrafodelista"/>
        <w:ind w:left="0"/>
        <w:contextualSpacing w:val="0"/>
        <w:rPr>
          <w:rFonts w:ascii="Arial" w:hAnsi="Arial" w:cs="Arial"/>
          <w:color w:val="000000"/>
          <w:sz w:val="22"/>
          <w:szCs w:val="22"/>
        </w:rPr>
      </w:pPr>
    </w:p>
    <w:p w14:paraId="6B126562" w14:textId="78705AC0" w:rsidR="00EF3D09" w:rsidRPr="005045BF" w:rsidRDefault="00EF3D09" w:rsidP="00B63930">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De acuerdo con la consulta efectuada en las obligaciones registradas en el SIIF se constató que</w:t>
      </w:r>
      <w:r w:rsidR="00B63930" w:rsidRPr="005045BF">
        <w:rPr>
          <w:rFonts w:ascii="Arial" w:hAnsi="Arial" w:cs="Arial"/>
          <w:color w:val="000000"/>
          <w:sz w:val="22"/>
          <w:szCs w:val="22"/>
        </w:rPr>
        <w:t xml:space="preserve"> la</w:t>
      </w:r>
      <w:r w:rsidRPr="005045BF">
        <w:rPr>
          <w:rFonts w:ascii="Arial" w:hAnsi="Arial" w:cs="Arial"/>
          <w:color w:val="000000"/>
          <w:sz w:val="22"/>
          <w:szCs w:val="22"/>
        </w:rPr>
        <w:t xml:space="preserve"> DIAN </w:t>
      </w:r>
      <w:r w:rsidR="00DB03DA">
        <w:rPr>
          <w:rFonts w:ascii="Arial" w:hAnsi="Arial" w:cs="Arial"/>
          <w:color w:val="000000"/>
          <w:sz w:val="22"/>
          <w:szCs w:val="22"/>
        </w:rPr>
        <w:t xml:space="preserve">realizó </w:t>
      </w:r>
      <w:r w:rsidRPr="005045BF">
        <w:rPr>
          <w:rFonts w:ascii="Arial" w:hAnsi="Arial" w:cs="Arial"/>
          <w:color w:val="000000"/>
          <w:sz w:val="22"/>
          <w:szCs w:val="22"/>
        </w:rPr>
        <w:t>los reintegros correspondientes al pago del servicio de energía</w:t>
      </w:r>
      <w:r w:rsidR="00B63930" w:rsidRPr="005045BF">
        <w:rPr>
          <w:rFonts w:ascii="Arial" w:hAnsi="Arial" w:cs="Arial"/>
          <w:color w:val="000000"/>
          <w:sz w:val="22"/>
          <w:szCs w:val="22"/>
        </w:rPr>
        <w:t xml:space="preserve"> </w:t>
      </w:r>
      <w:r w:rsidR="006A1DCA" w:rsidRPr="005045BF">
        <w:rPr>
          <w:rFonts w:ascii="Arial" w:hAnsi="Arial" w:cs="Arial"/>
          <w:color w:val="000000"/>
          <w:sz w:val="22"/>
          <w:szCs w:val="22"/>
        </w:rPr>
        <w:t xml:space="preserve">del </w:t>
      </w:r>
      <w:r w:rsidR="00C07E1A" w:rsidRPr="005045BF">
        <w:rPr>
          <w:rFonts w:ascii="Arial" w:hAnsi="Arial" w:cs="Arial"/>
          <w:color w:val="000000"/>
          <w:sz w:val="22"/>
          <w:szCs w:val="22"/>
        </w:rPr>
        <w:t xml:space="preserve">primer </w:t>
      </w:r>
      <w:r w:rsidR="00D93033" w:rsidRPr="005045BF">
        <w:rPr>
          <w:rFonts w:ascii="Arial" w:hAnsi="Arial" w:cs="Arial"/>
          <w:color w:val="000000"/>
          <w:sz w:val="22"/>
          <w:szCs w:val="22"/>
        </w:rPr>
        <w:t>trimestre de</w:t>
      </w:r>
      <w:r w:rsidR="00B63930" w:rsidRPr="005045BF">
        <w:rPr>
          <w:rFonts w:ascii="Arial" w:hAnsi="Arial" w:cs="Arial"/>
          <w:color w:val="000000"/>
          <w:sz w:val="22"/>
          <w:szCs w:val="22"/>
        </w:rPr>
        <w:t xml:space="preserve"> 20</w:t>
      </w:r>
      <w:r w:rsidR="00E87689" w:rsidRPr="005045BF">
        <w:rPr>
          <w:rFonts w:ascii="Arial" w:hAnsi="Arial" w:cs="Arial"/>
          <w:color w:val="000000"/>
          <w:sz w:val="22"/>
          <w:szCs w:val="22"/>
        </w:rPr>
        <w:t>20</w:t>
      </w:r>
      <w:r w:rsidR="00B63930" w:rsidRPr="005045BF">
        <w:rPr>
          <w:rFonts w:ascii="Arial" w:hAnsi="Arial" w:cs="Arial"/>
          <w:color w:val="000000"/>
          <w:sz w:val="22"/>
          <w:szCs w:val="22"/>
        </w:rPr>
        <w:t xml:space="preserve">. </w:t>
      </w:r>
      <w:r w:rsidRPr="005045BF">
        <w:rPr>
          <w:rFonts w:ascii="Arial" w:hAnsi="Arial" w:cs="Arial"/>
          <w:color w:val="000000"/>
          <w:sz w:val="22"/>
          <w:szCs w:val="22"/>
        </w:rPr>
        <w:t xml:space="preserve"> </w:t>
      </w:r>
    </w:p>
    <w:p w14:paraId="6633C4D1" w14:textId="77777777" w:rsidR="00EF3D09" w:rsidRPr="005045BF" w:rsidRDefault="00EF3D09" w:rsidP="001D13BE">
      <w:pPr>
        <w:pStyle w:val="Prrafodelista"/>
        <w:spacing w:line="168" w:lineRule="auto"/>
        <w:ind w:left="0"/>
        <w:contextualSpacing w:val="0"/>
        <w:rPr>
          <w:rFonts w:ascii="Arial" w:hAnsi="Arial" w:cs="Arial"/>
          <w:color w:val="000000"/>
          <w:sz w:val="22"/>
          <w:szCs w:val="22"/>
        </w:rPr>
      </w:pPr>
    </w:p>
    <w:p w14:paraId="393D0E9F" w14:textId="5EF7DF06" w:rsidR="004A2CA3" w:rsidRPr="005045BF" w:rsidRDefault="002869E9" w:rsidP="00021ABF">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Es</w:t>
      </w:r>
      <w:r w:rsidR="00000FCA" w:rsidRPr="005045BF">
        <w:rPr>
          <w:rFonts w:ascii="Arial" w:hAnsi="Arial" w:cs="Arial"/>
          <w:color w:val="000000"/>
          <w:sz w:val="22"/>
          <w:szCs w:val="22"/>
        </w:rPr>
        <w:t xml:space="preserve"> de aclarar, que este Ministerio tiene establecido como política realizar el pago</w:t>
      </w:r>
      <w:r w:rsidRPr="005045BF">
        <w:rPr>
          <w:rFonts w:ascii="Arial" w:hAnsi="Arial" w:cs="Arial"/>
          <w:color w:val="000000"/>
          <w:sz w:val="22"/>
          <w:szCs w:val="22"/>
        </w:rPr>
        <w:t xml:space="preserve"> por el valor </w:t>
      </w:r>
      <w:r w:rsidR="00000FCA" w:rsidRPr="005045BF">
        <w:rPr>
          <w:rFonts w:ascii="Arial" w:hAnsi="Arial" w:cs="Arial"/>
          <w:color w:val="000000"/>
          <w:sz w:val="22"/>
          <w:szCs w:val="22"/>
        </w:rPr>
        <w:t>total factur</w:t>
      </w:r>
      <w:r w:rsidR="000242A7" w:rsidRPr="005045BF">
        <w:rPr>
          <w:rFonts w:ascii="Arial" w:hAnsi="Arial" w:cs="Arial"/>
          <w:color w:val="000000"/>
          <w:sz w:val="22"/>
          <w:szCs w:val="22"/>
        </w:rPr>
        <w:t>ado</w:t>
      </w:r>
      <w:r w:rsidR="004A2CA3" w:rsidRPr="005045BF">
        <w:rPr>
          <w:rFonts w:ascii="Arial" w:hAnsi="Arial" w:cs="Arial"/>
          <w:color w:val="000000"/>
          <w:sz w:val="22"/>
          <w:szCs w:val="22"/>
        </w:rPr>
        <w:t xml:space="preserve"> por servicio de energía de</w:t>
      </w:r>
      <w:r w:rsidRPr="005045BF">
        <w:rPr>
          <w:rFonts w:ascii="Arial" w:hAnsi="Arial" w:cs="Arial"/>
          <w:color w:val="000000"/>
          <w:sz w:val="22"/>
          <w:szCs w:val="22"/>
        </w:rPr>
        <w:t xml:space="preserve"> cada mes de la sede de San Agustín, con el fin de evitar posibles atrasos </w:t>
      </w:r>
      <w:r w:rsidR="004A2CA3" w:rsidRPr="005045BF">
        <w:rPr>
          <w:rFonts w:ascii="Arial" w:hAnsi="Arial" w:cs="Arial"/>
          <w:color w:val="000000"/>
          <w:sz w:val="22"/>
          <w:szCs w:val="22"/>
        </w:rPr>
        <w:t>que generen intereses de mora.</w:t>
      </w:r>
      <w:r w:rsidRPr="005045BF">
        <w:rPr>
          <w:rFonts w:ascii="Arial" w:hAnsi="Arial" w:cs="Arial"/>
          <w:color w:val="000000"/>
          <w:sz w:val="22"/>
          <w:szCs w:val="22"/>
        </w:rPr>
        <w:t xml:space="preserve"> </w:t>
      </w:r>
    </w:p>
    <w:p w14:paraId="7666AD0B" w14:textId="77777777" w:rsidR="00080935" w:rsidRPr="005045BF" w:rsidRDefault="00080935" w:rsidP="00021ABF">
      <w:pPr>
        <w:pStyle w:val="Prrafodelista"/>
        <w:spacing w:line="168" w:lineRule="auto"/>
        <w:ind w:left="0"/>
        <w:contextualSpacing w:val="0"/>
        <w:rPr>
          <w:rFonts w:ascii="Arial" w:hAnsi="Arial" w:cs="Arial"/>
          <w:color w:val="000000"/>
          <w:sz w:val="22"/>
          <w:szCs w:val="22"/>
          <w:highlight w:val="yellow"/>
        </w:rPr>
      </w:pPr>
    </w:p>
    <w:p w14:paraId="705A34C7" w14:textId="09567808" w:rsidR="00A83BFB" w:rsidRPr="005045BF" w:rsidRDefault="00D36B67" w:rsidP="00021ABF">
      <w:pPr>
        <w:pStyle w:val="Prrafodelista"/>
        <w:ind w:left="0"/>
        <w:contextualSpacing w:val="0"/>
        <w:rPr>
          <w:rFonts w:ascii="Arial" w:eastAsia="Times New Roman" w:hAnsi="Arial" w:cs="Arial"/>
          <w:color w:val="000000" w:themeColor="text1"/>
          <w:sz w:val="22"/>
          <w:szCs w:val="22"/>
          <w:lang w:eastAsia="es-CO"/>
        </w:rPr>
      </w:pPr>
      <w:r w:rsidRPr="005045BF">
        <w:rPr>
          <w:rFonts w:ascii="Arial" w:eastAsia="Times New Roman" w:hAnsi="Arial" w:cs="Arial"/>
          <w:color w:val="000000" w:themeColor="text1"/>
          <w:sz w:val="22"/>
          <w:szCs w:val="22"/>
          <w:lang w:eastAsia="es-CO"/>
        </w:rPr>
        <w:lastRenderedPageBreak/>
        <w:t>Con</w:t>
      </w:r>
      <w:r w:rsidR="00B0434C" w:rsidRPr="005045BF">
        <w:rPr>
          <w:rFonts w:ascii="Arial" w:eastAsia="Times New Roman" w:hAnsi="Arial" w:cs="Arial"/>
          <w:color w:val="000000" w:themeColor="text1"/>
          <w:sz w:val="22"/>
          <w:szCs w:val="22"/>
          <w:lang w:eastAsia="es-CO"/>
        </w:rPr>
        <w:t xml:space="preserve"> el propósito de aplicar el</w:t>
      </w:r>
      <w:r w:rsidRPr="005045BF">
        <w:rPr>
          <w:rFonts w:ascii="Arial" w:eastAsia="Times New Roman" w:hAnsi="Arial" w:cs="Arial"/>
          <w:color w:val="000000" w:themeColor="text1"/>
          <w:sz w:val="22"/>
          <w:szCs w:val="22"/>
          <w:lang w:eastAsia="es-CO"/>
        </w:rPr>
        <w:t xml:space="preserve"> proce</w:t>
      </w:r>
      <w:r w:rsidR="00A83BFB" w:rsidRPr="005045BF">
        <w:rPr>
          <w:rFonts w:ascii="Arial" w:eastAsia="Times New Roman" w:hAnsi="Arial" w:cs="Arial"/>
          <w:color w:val="000000" w:themeColor="text1"/>
          <w:sz w:val="22"/>
          <w:szCs w:val="22"/>
          <w:lang w:eastAsia="es-CO"/>
        </w:rPr>
        <w:t xml:space="preserve">dimiento </w:t>
      </w:r>
      <w:r w:rsidRPr="005045BF">
        <w:rPr>
          <w:rFonts w:ascii="Arial" w:eastAsia="Times New Roman" w:hAnsi="Arial" w:cs="Arial"/>
          <w:color w:val="000000" w:themeColor="text1"/>
          <w:sz w:val="22"/>
          <w:szCs w:val="22"/>
          <w:lang w:eastAsia="es-CO"/>
        </w:rPr>
        <w:t xml:space="preserve">de prorrateo para determinar el consumo </w:t>
      </w:r>
      <w:r w:rsidR="00A83BFB" w:rsidRPr="005045BF">
        <w:rPr>
          <w:rFonts w:ascii="Arial" w:eastAsia="Times New Roman" w:hAnsi="Arial" w:cs="Arial"/>
          <w:color w:val="000000" w:themeColor="text1"/>
          <w:sz w:val="22"/>
          <w:szCs w:val="22"/>
          <w:lang w:eastAsia="es-CO"/>
        </w:rPr>
        <w:t>de los servicios de energía</w:t>
      </w:r>
      <w:r w:rsidR="006A1DCA" w:rsidRPr="005045BF">
        <w:rPr>
          <w:rFonts w:ascii="Arial" w:eastAsia="Times New Roman" w:hAnsi="Arial" w:cs="Arial"/>
          <w:color w:val="000000" w:themeColor="text1"/>
          <w:sz w:val="22"/>
          <w:szCs w:val="22"/>
          <w:lang w:eastAsia="es-CO"/>
        </w:rPr>
        <w:t xml:space="preserve"> y </w:t>
      </w:r>
      <w:r w:rsidR="00A83BFB" w:rsidRPr="005045BF">
        <w:rPr>
          <w:rFonts w:ascii="Arial" w:eastAsia="Times New Roman" w:hAnsi="Arial" w:cs="Arial"/>
          <w:color w:val="000000" w:themeColor="text1"/>
          <w:sz w:val="22"/>
          <w:szCs w:val="22"/>
          <w:lang w:eastAsia="es-CO"/>
        </w:rPr>
        <w:t xml:space="preserve">acueducto  </w:t>
      </w:r>
      <w:r w:rsidR="00B0434C" w:rsidRPr="005045BF">
        <w:rPr>
          <w:rFonts w:ascii="Arial" w:hAnsi="Arial" w:cs="Arial"/>
          <w:color w:val="000000" w:themeColor="text1"/>
          <w:sz w:val="22"/>
          <w:szCs w:val="22"/>
        </w:rPr>
        <w:t>que corresponde a la utilización de los</w:t>
      </w:r>
      <w:r w:rsidR="00A83BFB" w:rsidRPr="005045BF">
        <w:rPr>
          <w:rFonts w:ascii="Arial" w:hAnsi="Arial" w:cs="Arial"/>
          <w:color w:val="000000" w:themeColor="text1"/>
          <w:sz w:val="22"/>
          <w:szCs w:val="22"/>
        </w:rPr>
        <w:t xml:space="preserve"> pisos 4°, 5° y 6° del Edificio San Agustín asignados a la DIAN, </w:t>
      </w:r>
      <w:r w:rsidR="005870B6" w:rsidRPr="005045BF">
        <w:rPr>
          <w:rFonts w:ascii="Arial" w:hAnsi="Arial" w:cs="Arial"/>
          <w:color w:val="000000" w:themeColor="text1"/>
          <w:sz w:val="22"/>
          <w:szCs w:val="22"/>
        </w:rPr>
        <w:t>se</w:t>
      </w:r>
      <w:r w:rsidR="00783D8A" w:rsidRPr="005045BF">
        <w:rPr>
          <w:rFonts w:ascii="Arial" w:hAnsi="Arial" w:cs="Arial"/>
          <w:color w:val="000000" w:themeColor="text1"/>
          <w:sz w:val="22"/>
          <w:szCs w:val="22"/>
        </w:rPr>
        <w:t xml:space="preserve"> definió mediante </w:t>
      </w:r>
      <w:r w:rsidR="005870B6" w:rsidRPr="005045BF">
        <w:rPr>
          <w:rFonts w:ascii="Arial" w:hAnsi="Arial" w:cs="Arial"/>
          <w:color w:val="000000" w:themeColor="text1"/>
          <w:sz w:val="22"/>
          <w:szCs w:val="22"/>
        </w:rPr>
        <w:t xml:space="preserve">el Contrato de Comodato </w:t>
      </w:r>
      <w:r w:rsidR="00D93033" w:rsidRPr="005045BF">
        <w:rPr>
          <w:rFonts w:ascii="Arial" w:hAnsi="Arial" w:cs="Arial"/>
          <w:color w:val="000000" w:themeColor="text1"/>
          <w:sz w:val="22"/>
          <w:szCs w:val="22"/>
          <w:shd w:val="clear" w:color="auto" w:fill="FFFFFF"/>
        </w:rPr>
        <w:t xml:space="preserve">8.004-2019 </w:t>
      </w:r>
      <w:r w:rsidR="006A1DCA" w:rsidRPr="005045BF">
        <w:rPr>
          <w:rFonts w:ascii="Arial" w:hAnsi="Arial" w:cs="Arial"/>
          <w:color w:val="000000" w:themeColor="text1"/>
          <w:sz w:val="22"/>
          <w:szCs w:val="22"/>
          <w:shd w:val="clear" w:color="auto" w:fill="FFFFFF"/>
        </w:rPr>
        <w:t xml:space="preserve">del 15 de octubre de 2019 </w:t>
      </w:r>
      <w:r w:rsidR="00B0434C" w:rsidRPr="005045BF">
        <w:rPr>
          <w:rFonts w:ascii="Arial" w:eastAsia="Times New Roman" w:hAnsi="Arial" w:cs="Arial"/>
          <w:color w:val="000000" w:themeColor="text1"/>
          <w:sz w:val="22"/>
          <w:szCs w:val="22"/>
          <w:lang w:eastAsia="es-CO"/>
        </w:rPr>
        <w:t xml:space="preserve">entre </w:t>
      </w:r>
      <w:r w:rsidR="006A1DCA" w:rsidRPr="005045BF">
        <w:rPr>
          <w:rFonts w:ascii="Arial" w:eastAsia="Times New Roman" w:hAnsi="Arial" w:cs="Arial"/>
          <w:color w:val="000000" w:themeColor="text1"/>
          <w:sz w:val="22"/>
          <w:szCs w:val="22"/>
          <w:lang w:eastAsia="es-CO"/>
        </w:rPr>
        <w:t>este</w:t>
      </w:r>
      <w:r w:rsidR="00B0434C" w:rsidRPr="005045BF">
        <w:rPr>
          <w:rFonts w:ascii="Arial" w:eastAsia="Times New Roman" w:hAnsi="Arial" w:cs="Arial"/>
          <w:color w:val="000000" w:themeColor="text1"/>
          <w:sz w:val="22"/>
          <w:szCs w:val="22"/>
          <w:lang w:eastAsia="es-CO"/>
        </w:rPr>
        <w:t xml:space="preserve"> Ministerio y la DIAN, entre otras, </w:t>
      </w:r>
      <w:r w:rsidR="00783D8A" w:rsidRPr="005045BF">
        <w:rPr>
          <w:rFonts w:ascii="Arial" w:eastAsia="Times New Roman" w:hAnsi="Arial" w:cs="Arial"/>
          <w:color w:val="000000" w:themeColor="text1"/>
          <w:sz w:val="22"/>
          <w:szCs w:val="22"/>
          <w:lang w:eastAsia="es-CO"/>
        </w:rPr>
        <w:t>la</w:t>
      </w:r>
      <w:r w:rsidR="00B0434C" w:rsidRPr="005045BF">
        <w:rPr>
          <w:rFonts w:ascii="Arial" w:eastAsia="Times New Roman" w:hAnsi="Arial" w:cs="Arial"/>
          <w:color w:val="000000" w:themeColor="text1"/>
          <w:sz w:val="22"/>
          <w:szCs w:val="22"/>
          <w:lang w:eastAsia="es-CO"/>
        </w:rPr>
        <w:t xml:space="preserve"> obligación de la DIAN</w:t>
      </w:r>
      <w:r w:rsidR="00783D8A" w:rsidRPr="005045BF">
        <w:rPr>
          <w:rFonts w:ascii="Arial" w:eastAsia="Times New Roman" w:hAnsi="Arial" w:cs="Arial"/>
          <w:color w:val="000000" w:themeColor="text1"/>
          <w:sz w:val="22"/>
          <w:szCs w:val="22"/>
          <w:lang w:eastAsia="es-CO"/>
        </w:rPr>
        <w:t xml:space="preserve"> de</w:t>
      </w:r>
      <w:r w:rsidR="00B0434C" w:rsidRPr="005045BF">
        <w:rPr>
          <w:rFonts w:ascii="Arial" w:eastAsia="Times New Roman" w:hAnsi="Arial" w:cs="Arial"/>
          <w:color w:val="000000" w:themeColor="text1"/>
          <w:sz w:val="22"/>
          <w:szCs w:val="22"/>
          <w:lang w:eastAsia="es-CO"/>
        </w:rPr>
        <w:t xml:space="preserve"> remitir a</w:t>
      </w:r>
      <w:r w:rsidR="00BF6721" w:rsidRPr="005045BF">
        <w:rPr>
          <w:rFonts w:ascii="Arial" w:eastAsia="Times New Roman" w:hAnsi="Arial" w:cs="Arial"/>
          <w:color w:val="000000" w:themeColor="text1"/>
          <w:sz w:val="22"/>
          <w:szCs w:val="22"/>
          <w:lang w:eastAsia="es-CO"/>
        </w:rPr>
        <w:t>l Comodante (MHCP) la certificación de forma trimestral d</w:t>
      </w:r>
      <w:r w:rsidR="00783D8A" w:rsidRPr="005045BF">
        <w:rPr>
          <w:rFonts w:ascii="Arial" w:eastAsia="Times New Roman" w:hAnsi="Arial" w:cs="Arial"/>
          <w:color w:val="000000" w:themeColor="text1"/>
          <w:sz w:val="22"/>
          <w:szCs w:val="22"/>
          <w:lang w:eastAsia="es-CO"/>
        </w:rPr>
        <w:t>el número de personas que se ubican en las áreas entregadas en comodato</w:t>
      </w:r>
      <w:r w:rsidR="00BF6721" w:rsidRPr="005045BF">
        <w:rPr>
          <w:rFonts w:ascii="Arial" w:eastAsia="Times New Roman" w:hAnsi="Arial" w:cs="Arial"/>
          <w:color w:val="000000" w:themeColor="text1"/>
          <w:sz w:val="22"/>
          <w:szCs w:val="22"/>
          <w:lang w:eastAsia="es-CO"/>
        </w:rPr>
        <w:t xml:space="preserve">. </w:t>
      </w:r>
    </w:p>
    <w:p w14:paraId="7BDB7E95" w14:textId="77777777" w:rsidR="007B4297" w:rsidRPr="005045BF" w:rsidRDefault="007B4297" w:rsidP="00021ABF">
      <w:pPr>
        <w:pStyle w:val="Prrafodelista"/>
        <w:spacing w:line="168" w:lineRule="auto"/>
        <w:ind w:left="0"/>
        <w:contextualSpacing w:val="0"/>
        <w:rPr>
          <w:rFonts w:ascii="Arial" w:hAnsi="Arial" w:cs="Arial"/>
          <w:color w:val="000000"/>
          <w:sz w:val="22"/>
          <w:szCs w:val="22"/>
        </w:rPr>
      </w:pPr>
    </w:p>
    <w:p w14:paraId="1DC5FDCE" w14:textId="1AD2FAAE" w:rsidR="00C74490" w:rsidRPr="005045BF" w:rsidRDefault="007B4297" w:rsidP="00021ABF">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Frente a lo anterior, se observó que para el periodo correspondiente al primer trimestre de 2020 el </w:t>
      </w:r>
      <w:r w:rsidR="00C74490" w:rsidRPr="005045BF">
        <w:rPr>
          <w:rFonts w:ascii="Arial" w:hAnsi="Arial" w:cs="Arial"/>
          <w:color w:val="000000"/>
          <w:sz w:val="22"/>
          <w:szCs w:val="22"/>
        </w:rPr>
        <w:t xml:space="preserve">cálculo del </w:t>
      </w:r>
      <w:r w:rsidRPr="005045BF">
        <w:rPr>
          <w:rFonts w:ascii="Arial" w:hAnsi="Arial" w:cs="Arial"/>
          <w:color w:val="000000"/>
          <w:sz w:val="22"/>
          <w:szCs w:val="22"/>
        </w:rPr>
        <w:t>prorrateo</w:t>
      </w:r>
      <w:r w:rsidR="00C74490" w:rsidRPr="005045BF">
        <w:rPr>
          <w:rFonts w:ascii="Arial" w:hAnsi="Arial" w:cs="Arial"/>
          <w:color w:val="000000"/>
          <w:sz w:val="22"/>
          <w:szCs w:val="22"/>
        </w:rPr>
        <w:t xml:space="preserve"> del servicio de energía, acueducto y aseo fue realizado teniendo en cuenta un </w:t>
      </w:r>
      <w:r w:rsidR="00C74490" w:rsidRPr="005045BF">
        <w:rPr>
          <w:rFonts w:ascii="Arial" w:eastAsia="Times New Roman" w:hAnsi="Arial" w:cs="Arial"/>
          <w:color w:val="000000"/>
          <w:sz w:val="22"/>
          <w:szCs w:val="22"/>
          <w:lang w:eastAsia="es-CO"/>
        </w:rPr>
        <w:t xml:space="preserve">total de 1685 funcionarios que laboran en el edificio San Agustín, de los cuales 640 funcionarios pertenecen a la DIAN, según actualización del total de funcionarios realizada en la vigencia 2013. </w:t>
      </w:r>
    </w:p>
    <w:p w14:paraId="32A1415D" w14:textId="6F555025" w:rsidR="00C74490" w:rsidRPr="005045BF" w:rsidRDefault="00C74490" w:rsidP="00021ABF">
      <w:pPr>
        <w:pStyle w:val="Prrafodelista"/>
        <w:spacing w:line="168" w:lineRule="auto"/>
        <w:ind w:left="0"/>
        <w:contextualSpacing w:val="0"/>
        <w:rPr>
          <w:rFonts w:ascii="Arial" w:hAnsi="Arial" w:cs="Arial"/>
          <w:color w:val="000000"/>
          <w:sz w:val="22"/>
          <w:szCs w:val="22"/>
        </w:rPr>
      </w:pPr>
    </w:p>
    <w:p w14:paraId="0AF22D6C" w14:textId="77777777" w:rsidR="00DB03DA" w:rsidRDefault="00D93033" w:rsidP="00021ABF">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Sobre el particular, la Subdirección de Servicios informó que</w:t>
      </w:r>
      <w:r w:rsidR="00C74490" w:rsidRPr="005045BF">
        <w:rPr>
          <w:rFonts w:ascii="Arial" w:hAnsi="Arial" w:cs="Arial"/>
          <w:color w:val="000000"/>
          <w:sz w:val="22"/>
          <w:szCs w:val="22"/>
        </w:rPr>
        <w:t xml:space="preserve"> con corte al cuarto trimestre de 2019 la</w:t>
      </w:r>
      <w:r w:rsidRPr="005045BF">
        <w:rPr>
          <w:rFonts w:ascii="Arial" w:hAnsi="Arial" w:cs="Arial"/>
          <w:color w:val="000000"/>
          <w:sz w:val="22"/>
          <w:szCs w:val="22"/>
        </w:rPr>
        <w:t xml:space="preserve"> DIAN expidió la certificación </w:t>
      </w:r>
      <w:r w:rsidR="003F0E7D" w:rsidRPr="005045BF">
        <w:rPr>
          <w:rFonts w:ascii="Arial" w:hAnsi="Arial" w:cs="Arial"/>
          <w:color w:val="000000"/>
          <w:sz w:val="22"/>
          <w:szCs w:val="22"/>
        </w:rPr>
        <w:t xml:space="preserve">de acuerdo con lo definido en </w:t>
      </w:r>
      <w:r w:rsidRPr="005045BF">
        <w:rPr>
          <w:rFonts w:ascii="Arial" w:hAnsi="Arial" w:cs="Arial"/>
          <w:color w:val="000000"/>
          <w:sz w:val="22"/>
          <w:szCs w:val="22"/>
        </w:rPr>
        <w:t>el convenio de comodato, sin embargo, dicha Subdirección identificó que la información allí contenida no estaba completa</w:t>
      </w:r>
      <w:r w:rsidR="003F0E7D" w:rsidRPr="005045BF">
        <w:rPr>
          <w:rFonts w:ascii="Arial" w:hAnsi="Arial" w:cs="Arial"/>
          <w:color w:val="000000"/>
          <w:sz w:val="22"/>
          <w:szCs w:val="22"/>
        </w:rPr>
        <w:t>,</w:t>
      </w:r>
      <w:r w:rsidRPr="005045BF">
        <w:rPr>
          <w:rFonts w:ascii="Arial" w:hAnsi="Arial" w:cs="Arial"/>
          <w:color w:val="000000"/>
          <w:sz w:val="22"/>
          <w:szCs w:val="22"/>
        </w:rPr>
        <w:t xml:space="preserve"> toda vez que la DIAN solo informó los funcionarios,</w:t>
      </w:r>
      <w:r w:rsidR="00957964" w:rsidRPr="005045BF">
        <w:rPr>
          <w:rFonts w:ascii="Arial" w:hAnsi="Arial" w:cs="Arial"/>
          <w:color w:val="000000"/>
          <w:sz w:val="22"/>
          <w:szCs w:val="22"/>
        </w:rPr>
        <w:t xml:space="preserve"> </w:t>
      </w:r>
      <w:r w:rsidRPr="005045BF">
        <w:rPr>
          <w:rFonts w:ascii="Arial" w:hAnsi="Arial" w:cs="Arial"/>
          <w:color w:val="000000"/>
          <w:sz w:val="22"/>
          <w:szCs w:val="22"/>
        </w:rPr>
        <w:t>dejando de incluir a</w:t>
      </w:r>
      <w:r w:rsidR="002F76DF" w:rsidRPr="005045BF">
        <w:rPr>
          <w:rFonts w:ascii="Arial" w:hAnsi="Arial" w:cs="Arial"/>
          <w:color w:val="000000"/>
          <w:sz w:val="22"/>
          <w:szCs w:val="22"/>
        </w:rPr>
        <w:t xml:space="preserve"> </w:t>
      </w:r>
      <w:r w:rsidR="003F0E7D" w:rsidRPr="005045BF">
        <w:rPr>
          <w:rFonts w:ascii="Arial" w:hAnsi="Arial" w:cs="Arial"/>
          <w:color w:val="000000"/>
          <w:sz w:val="22"/>
          <w:szCs w:val="22"/>
        </w:rPr>
        <w:t xml:space="preserve">los </w:t>
      </w:r>
      <w:r w:rsidRPr="005045BF">
        <w:rPr>
          <w:rFonts w:ascii="Arial" w:hAnsi="Arial" w:cs="Arial"/>
          <w:color w:val="000000"/>
          <w:sz w:val="22"/>
          <w:szCs w:val="22"/>
        </w:rPr>
        <w:t>contratista</w:t>
      </w:r>
      <w:r w:rsidR="00211D42" w:rsidRPr="005045BF">
        <w:rPr>
          <w:rFonts w:ascii="Arial" w:hAnsi="Arial" w:cs="Arial"/>
          <w:color w:val="000000"/>
          <w:sz w:val="22"/>
          <w:szCs w:val="22"/>
        </w:rPr>
        <w:t>s</w:t>
      </w:r>
      <w:r w:rsidR="00816AED" w:rsidRPr="005045BF">
        <w:rPr>
          <w:rFonts w:ascii="Arial" w:hAnsi="Arial" w:cs="Arial"/>
          <w:color w:val="000000"/>
          <w:sz w:val="22"/>
          <w:szCs w:val="22"/>
        </w:rPr>
        <w:t xml:space="preserve"> y pasantes</w:t>
      </w:r>
      <w:r w:rsidR="00C74490" w:rsidRPr="005045BF">
        <w:rPr>
          <w:rFonts w:ascii="Arial" w:hAnsi="Arial" w:cs="Arial"/>
          <w:color w:val="000000"/>
          <w:sz w:val="22"/>
          <w:szCs w:val="22"/>
        </w:rPr>
        <w:t xml:space="preserve">. </w:t>
      </w:r>
      <w:r w:rsidR="00DB03DA">
        <w:rPr>
          <w:rFonts w:ascii="Arial" w:hAnsi="Arial" w:cs="Arial"/>
          <w:color w:val="000000"/>
          <w:sz w:val="22"/>
          <w:szCs w:val="22"/>
        </w:rPr>
        <w:t>A</w:t>
      </w:r>
      <w:r w:rsidR="006D0C03" w:rsidRPr="005045BF">
        <w:rPr>
          <w:rFonts w:ascii="Arial" w:hAnsi="Arial" w:cs="Arial"/>
          <w:color w:val="000000"/>
          <w:sz w:val="22"/>
          <w:szCs w:val="22"/>
        </w:rPr>
        <w:t xml:space="preserve"> la fecha de emisión de este informe</w:t>
      </w:r>
      <w:r w:rsidR="00DB03DA">
        <w:rPr>
          <w:rFonts w:ascii="Arial" w:hAnsi="Arial" w:cs="Arial"/>
          <w:color w:val="000000"/>
          <w:sz w:val="22"/>
          <w:szCs w:val="22"/>
        </w:rPr>
        <w:t>,</w:t>
      </w:r>
      <w:r w:rsidR="006D0C03" w:rsidRPr="005045BF">
        <w:rPr>
          <w:rFonts w:ascii="Arial" w:hAnsi="Arial" w:cs="Arial"/>
          <w:color w:val="000000"/>
          <w:sz w:val="22"/>
          <w:szCs w:val="22"/>
        </w:rPr>
        <w:t xml:space="preserve"> la </w:t>
      </w:r>
      <w:r w:rsidR="00C74490" w:rsidRPr="005045BF">
        <w:rPr>
          <w:rFonts w:ascii="Arial" w:hAnsi="Arial" w:cs="Arial"/>
          <w:color w:val="000000"/>
          <w:sz w:val="22"/>
          <w:szCs w:val="22"/>
        </w:rPr>
        <w:t>DIAN</w:t>
      </w:r>
      <w:r w:rsidR="006D0C03" w:rsidRPr="005045BF">
        <w:rPr>
          <w:rFonts w:ascii="Arial" w:hAnsi="Arial" w:cs="Arial"/>
          <w:color w:val="000000"/>
          <w:sz w:val="22"/>
          <w:szCs w:val="22"/>
        </w:rPr>
        <w:t xml:space="preserve"> no la había</w:t>
      </w:r>
      <w:r w:rsidR="00C74490" w:rsidRPr="005045BF">
        <w:rPr>
          <w:rFonts w:ascii="Arial" w:hAnsi="Arial" w:cs="Arial"/>
          <w:color w:val="000000"/>
          <w:sz w:val="22"/>
          <w:szCs w:val="22"/>
        </w:rPr>
        <w:t xml:space="preserve"> </w:t>
      </w:r>
      <w:r w:rsidR="006D0C03" w:rsidRPr="005045BF">
        <w:rPr>
          <w:rFonts w:ascii="Arial" w:hAnsi="Arial" w:cs="Arial"/>
          <w:color w:val="000000"/>
          <w:sz w:val="22"/>
          <w:szCs w:val="22"/>
        </w:rPr>
        <w:t>actualizado</w:t>
      </w:r>
      <w:r w:rsidR="00DB03DA" w:rsidRPr="00DB03DA">
        <w:rPr>
          <w:rFonts w:ascii="Arial" w:hAnsi="Arial" w:cs="Arial"/>
          <w:color w:val="000000"/>
          <w:sz w:val="22"/>
          <w:szCs w:val="22"/>
        </w:rPr>
        <w:t xml:space="preserve"> </w:t>
      </w:r>
      <w:r w:rsidR="00DB03DA">
        <w:rPr>
          <w:rFonts w:ascii="Arial" w:hAnsi="Arial" w:cs="Arial"/>
          <w:color w:val="000000"/>
          <w:sz w:val="22"/>
          <w:szCs w:val="22"/>
        </w:rPr>
        <w:t>d</w:t>
      </w:r>
      <w:r w:rsidR="00DB03DA" w:rsidRPr="005045BF">
        <w:rPr>
          <w:rFonts w:ascii="Arial" w:hAnsi="Arial" w:cs="Arial"/>
          <w:color w:val="000000"/>
          <w:sz w:val="22"/>
          <w:szCs w:val="22"/>
        </w:rPr>
        <w:t>icha certificación</w:t>
      </w:r>
      <w:r w:rsidR="006D0C03" w:rsidRPr="005045BF">
        <w:rPr>
          <w:rFonts w:ascii="Arial" w:hAnsi="Arial" w:cs="Arial"/>
          <w:color w:val="000000"/>
          <w:sz w:val="22"/>
          <w:szCs w:val="22"/>
        </w:rPr>
        <w:t>.</w:t>
      </w:r>
      <w:r w:rsidR="00021ABF" w:rsidRPr="005045BF">
        <w:rPr>
          <w:rFonts w:ascii="Arial" w:hAnsi="Arial" w:cs="Arial"/>
          <w:color w:val="000000"/>
          <w:sz w:val="22"/>
          <w:szCs w:val="22"/>
        </w:rPr>
        <w:t xml:space="preserve"> </w:t>
      </w:r>
    </w:p>
    <w:p w14:paraId="3528DFF0" w14:textId="77777777" w:rsidR="00DB03DA" w:rsidRDefault="00DB03DA" w:rsidP="00021ABF">
      <w:pPr>
        <w:pStyle w:val="Prrafodelista"/>
        <w:ind w:left="0"/>
        <w:contextualSpacing w:val="0"/>
        <w:rPr>
          <w:rFonts w:ascii="Arial" w:hAnsi="Arial" w:cs="Arial"/>
          <w:color w:val="000000"/>
          <w:sz w:val="22"/>
          <w:szCs w:val="22"/>
        </w:rPr>
      </w:pPr>
    </w:p>
    <w:p w14:paraId="71024295" w14:textId="07C53FAF" w:rsidR="00C74490" w:rsidRPr="005045BF" w:rsidRDefault="00DB03DA" w:rsidP="00021ABF">
      <w:pPr>
        <w:pStyle w:val="Prrafodelista"/>
        <w:ind w:left="0"/>
        <w:contextualSpacing w:val="0"/>
        <w:rPr>
          <w:rFonts w:ascii="Arial" w:hAnsi="Arial" w:cs="Arial"/>
          <w:color w:val="000000"/>
          <w:sz w:val="22"/>
          <w:szCs w:val="22"/>
        </w:rPr>
      </w:pPr>
      <w:r>
        <w:rPr>
          <w:rFonts w:ascii="Arial" w:hAnsi="Arial" w:cs="Arial"/>
          <w:color w:val="000000"/>
          <w:sz w:val="22"/>
          <w:szCs w:val="22"/>
        </w:rPr>
        <w:t>L</w:t>
      </w:r>
      <w:r w:rsidR="00C74490" w:rsidRPr="005045BF">
        <w:rPr>
          <w:rFonts w:ascii="Arial" w:hAnsi="Arial" w:cs="Arial"/>
          <w:color w:val="000000"/>
          <w:sz w:val="22"/>
          <w:szCs w:val="22"/>
        </w:rPr>
        <w:t>a situación antes descrita, puede generar que el valor de cobro de los servicios públicos</w:t>
      </w:r>
      <w:r w:rsidR="00AD4EF9" w:rsidRPr="005045BF">
        <w:rPr>
          <w:rFonts w:ascii="Arial" w:hAnsi="Arial" w:cs="Arial"/>
          <w:color w:val="000000"/>
          <w:sz w:val="22"/>
          <w:szCs w:val="22"/>
        </w:rPr>
        <w:t xml:space="preserve"> efectuado</w:t>
      </w:r>
      <w:r w:rsidR="006D0C03" w:rsidRPr="005045BF">
        <w:rPr>
          <w:rFonts w:ascii="Arial" w:hAnsi="Arial" w:cs="Arial"/>
          <w:color w:val="000000"/>
          <w:sz w:val="22"/>
          <w:szCs w:val="22"/>
        </w:rPr>
        <w:t>s</w:t>
      </w:r>
      <w:r w:rsidR="00AD4EF9" w:rsidRPr="005045BF">
        <w:rPr>
          <w:rFonts w:ascii="Arial" w:hAnsi="Arial" w:cs="Arial"/>
          <w:color w:val="000000"/>
          <w:sz w:val="22"/>
          <w:szCs w:val="22"/>
        </w:rPr>
        <w:t xml:space="preserve"> a la DIAN, </w:t>
      </w:r>
      <w:r w:rsidR="00C74490" w:rsidRPr="005045BF">
        <w:rPr>
          <w:rFonts w:ascii="Arial" w:hAnsi="Arial" w:cs="Arial"/>
          <w:color w:val="000000"/>
          <w:sz w:val="22"/>
          <w:szCs w:val="22"/>
        </w:rPr>
        <w:t>derivado de</w:t>
      </w:r>
      <w:r w:rsidR="006D0C03" w:rsidRPr="005045BF">
        <w:rPr>
          <w:rFonts w:ascii="Arial" w:hAnsi="Arial" w:cs="Arial"/>
          <w:color w:val="000000"/>
          <w:sz w:val="22"/>
          <w:szCs w:val="22"/>
        </w:rPr>
        <w:t xml:space="preserve"> proceso de </w:t>
      </w:r>
      <w:r w:rsidR="00C74490" w:rsidRPr="005045BF">
        <w:rPr>
          <w:rFonts w:ascii="Arial" w:hAnsi="Arial" w:cs="Arial"/>
          <w:color w:val="000000"/>
          <w:sz w:val="22"/>
          <w:szCs w:val="22"/>
        </w:rPr>
        <w:t>prorrateo</w:t>
      </w:r>
      <w:r w:rsidR="00AD4EF9" w:rsidRPr="005045BF">
        <w:rPr>
          <w:rFonts w:ascii="Arial" w:hAnsi="Arial" w:cs="Arial"/>
          <w:color w:val="000000"/>
          <w:sz w:val="22"/>
          <w:szCs w:val="22"/>
        </w:rPr>
        <w:t>,</w:t>
      </w:r>
      <w:r w:rsidR="00957964" w:rsidRPr="005045BF">
        <w:rPr>
          <w:rFonts w:ascii="Arial" w:hAnsi="Arial" w:cs="Arial"/>
          <w:color w:val="000000"/>
          <w:sz w:val="22"/>
          <w:szCs w:val="22"/>
        </w:rPr>
        <w:t xml:space="preserve"> esté sobreestimado o subestimado, </w:t>
      </w:r>
      <w:r w:rsidR="006D0C03" w:rsidRPr="005045BF">
        <w:rPr>
          <w:rFonts w:ascii="Arial" w:hAnsi="Arial" w:cs="Arial"/>
          <w:color w:val="000000"/>
          <w:sz w:val="22"/>
          <w:szCs w:val="22"/>
        </w:rPr>
        <w:t xml:space="preserve">según el caso, </w:t>
      </w:r>
      <w:r w:rsidR="00957964" w:rsidRPr="005045BF">
        <w:rPr>
          <w:rFonts w:ascii="Arial" w:hAnsi="Arial" w:cs="Arial"/>
          <w:color w:val="000000"/>
          <w:sz w:val="22"/>
          <w:szCs w:val="22"/>
        </w:rPr>
        <w:t xml:space="preserve">dado que, los datos utilizados para el cálculo corresponden a vigencias anteriores. </w:t>
      </w:r>
    </w:p>
    <w:p w14:paraId="547777A2" w14:textId="77777777" w:rsidR="00C74490" w:rsidRPr="005045BF" w:rsidRDefault="00C74490" w:rsidP="00021ABF">
      <w:pPr>
        <w:pStyle w:val="Prrafodelista"/>
        <w:spacing w:line="168" w:lineRule="auto"/>
        <w:ind w:left="0"/>
        <w:contextualSpacing w:val="0"/>
        <w:rPr>
          <w:rFonts w:ascii="Arial" w:hAnsi="Arial" w:cs="Arial"/>
          <w:color w:val="000000"/>
          <w:sz w:val="22"/>
          <w:szCs w:val="22"/>
        </w:rPr>
      </w:pPr>
    </w:p>
    <w:p w14:paraId="32D81D7B" w14:textId="186706B8" w:rsidR="008C530D" w:rsidRPr="005045BF" w:rsidRDefault="00C74490" w:rsidP="00021ABF">
      <w:pPr>
        <w:pStyle w:val="Prrafodelista"/>
        <w:ind w:left="0"/>
        <w:contextualSpacing w:val="0"/>
        <w:rPr>
          <w:rFonts w:ascii="Arial" w:hAnsi="Arial" w:cs="Arial"/>
          <w:color w:val="000000" w:themeColor="text1"/>
          <w:sz w:val="22"/>
          <w:szCs w:val="22"/>
          <w:shd w:val="clear" w:color="auto" w:fill="FFFFFF"/>
        </w:rPr>
      </w:pPr>
      <w:r w:rsidRPr="005045BF">
        <w:rPr>
          <w:rFonts w:ascii="Arial" w:eastAsia="Times New Roman" w:hAnsi="Arial" w:cs="Arial"/>
          <w:color w:val="000000"/>
          <w:sz w:val="22"/>
          <w:szCs w:val="22"/>
          <w:lang w:eastAsia="es-CO"/>
        </w:rPr>
        <w:t xml:space="preserve">Teniendo en cuenta lo anterior, se </w:t>
      </w:r>
      <w:r w:rsidRPr="005045BF">
        <w:rPr>
          <w:rFonts w:ascii="Arial" w:eastAsia="Times New Roman" w:hAnsi="Arial" w:cs="Arial"/>
          <w:b/>
          <w:bCs/>
          <w:color w:val="000000"/>
          <w:sz w:val="22"/>
          <w:szCs w:val="22"/>
          <w:lang w:eastAsia="es-CO"/>
        </w:rPr>
        <w:t xml:space="preserve">recomienda </w:t>
      </w:r>
      <w:r w:rsidRPr="005045BF">
        <w:rPr>
          <w:rFonts w:ascii="Arial" w:eastAsia="Times New Roman" w:hAnsi="Arial" w:cs="Arial"/>
          <w:color w:val="000000"/>
          <w:sz w:val="22"/>
          <w:szCs w:val="22"/>
          <w:lang w:eastAsia="es-CO"/>
        </w:rPr>
        <w:t>a la Subdirección de Servicios adelantar las</w:t>
      </w:r>
      <w:r w:rsidRPr="005045BF">
        <w:rPr>
          <w:rFonts w:ascii="Arial" w:eastAsia="Times New Roman" w:hAnsi="Arial" w:cs="Arial"/>
          <w:color w:val="000000"/>
          <w:sz w:val="22"/>
          <w:szCs w:val="22"/>
          <w:lang w:eastAsia="es-CO"/>
        </w:rPr>
        <w:br/>
        <w:t>gestiones pertinentes</w:t>
      </w:r>
      <w:r w:rsidR="00082D0E" w:rsidRPr="005045BF">
        <w:rPr>
          <w:rFonts w:ascii="Arial" w:eastAsia="Times New Roman" w:hAnsi="Arial" w:cs="Arial"/>
          <w:color w:val="000000"/>
          <w:sz w:val="22"/>
          <w:szCs w:val="22"/>
          <w:lang w:eastAsia="es-CO"/>
        </w:rPr>
        <w:t xml:space="preserve"> y las acciones a que haya lugar</w:t>
      </w:r>
      <w:r w:rsidRPr="005045BF">
        <w:rPr>
          <w:rFonts w:ascii="Arial" w:eastAsia="Times New Roman" w:hAnsi="Arial" w:cs="Arial"/>
          <w:color w:val="000000"/>
          <w:sz w:val="22"/>
          <w:szCs w:val="22"/>
          <w:lang w:eastAsia="es-CO"/>
        </w:rPr>
        <w:t xml:space="preserve"> </w:t>
      </w:r>
      <w:r w:rsidR="00082D0E" w:rsidRPr="005045BF">
        <w:rPr>
          <w:rFonts w:ascii="Arial" w:eastAsia="Times New Roman" w:hAnsi="Arial" w:cs="Arial"/>
          <w:color w:val="000000"/>
          <w:sz w:val="22"/>
          <w:szCs w:val="22"/>
          <w:lang w:eastAsia="es-CO"/>
        </w:rPr>
        <w:t xml:space="preserve">para que la DIAN cumpla con la obligación establecida en </w:t>
      </w:r>
      <w:r w:rsidR="00B951CC">
        <w:rPr>
          <w:rFonts w:ascii="Arial" w:eastAsia="Times New Roman" w:hAnsi="Arial" w:cs="Arial"/>
          <w:color w:val="000000"/>
          <w:sz w:val="22"/>
          <w:szCs w:val="22"/>
          <w:lang w:eastAsia="es-CO"/>
        </w:rPr>
        <w:t xml:space="preserve">el </w:t>
      </w:r>
      <w:r w:rsidR="00082D0E" w:rsidRPr="005045BF">
        <w:rPr>
          <w:rFonts w:ascii="Arial" w:hAnsi="Arial" w:cs="Arial"/>
          <w:color w:val="000000" w:themeColor="text1"/>
          <w:sz w:val="22"/>
          <w:szCs w:val="22"/>
        </w:rPr>
        <w:t xml:space="preserve">Contrato de Comodato </w:t>
      </w:r>
      <w:r w:rsidR="00082D0E" w:rsidRPr="005045BF">
        <w:rPr>
          <w:rFonts w:ascii="Arial" w:hAnsi="Arial" w:cs="Arial"/>
          <w:color w:val="000000" w:themeColor="text1"/>
          <w:sz w:val="22"/>
          <w:szCs w:val="22"/>
          <w:shd w:val="clear" w:color="auto" w:fill="FFFFFF"/>
        </w:rPr>
        <w:t>8.004-2019 referente a la</w:t>
      </w:r>
      <w:r w:rsidR="00B951CC">
        <w:rPr>
          <w:rFonts w:ascii="Arial" w:hAnsi="Arial" w:cs="Arial"/>
          <w:color w:val="000000" w:themeColor="text1"/>
          <w:sz w:val="22"/>
          <w:szCs w:val="22"/>
          <w:shd w:val="clear" w:color="auto" w:fill="FFFFFF"/>
        </w:rPr>
        <w:t xml:space="preserve"> emisión de la</w:t>
      </w:r>
      <w:r w:rsidR="00082D0E" w:rsidRPr="005045BF">
        <w:rPr>
          <w:rFonts w:ascii="Arial" w:hAnsi="Arial" w:cs="Arial"/>
          <w:color w:val="000000" w:themeColor="text1"/>
          <w:sz w:val="22"/>
          <w:szCs w:val="22"/>
          <w:shd w:val="clear" w:color="auto" w:fill="FFFFFF"/>
        </w:rPr>
        <w:t xml:space="preserve"> certificación </w:t>
      </w:r>
      <w:r w:rsidR="008C530D" w:rsidRPr="005045BF">
        <w:rPr>
          <w:rFonts w:ascii="Arial" w:hAnsi="Arial" w:cs="Arial"/>
          <w:color w:val="000000" w:themeColor="text1"/>
          <w:sz w:val="22"/>
          <w:szCs w:val="22"/>
          <w:shd w:val="clear" w:color="auto" w:fill="FFFFFF"/>
        </w:rPr>
        <w:t xml:space="preserve">del </w:t>
      </w:r>
      <w:r w:rsidR="008C530D" w:rsidRPr="005045BF">
        <w:rPr>
          <w:rFonts w:ascii="Arial" w:eastAsia="Times New Roman" w:hAnsi="Arial" w:cs="Arial"/>
          <w:color w:val="000000"/>
          <w:sz w:val="22"/>
          <w:szCs w:val="22"/>
          <w:lang w:eastAsia="es-CO"/>
        </w:rPr>
        <w:t xml:space="preserve">total de unidades de consumo (funcionarios, contratistas y otros) </w:t>
      </w:r>
      <w:r w:rsidR="00082D0E" w:rsidRPr="005045BF">
        <w:rPr>
          <w:rFonts w:ascii="Arial" w:hAnsi="Arial" w:cs="Arial"/>
          <w:color w:val="000000" w:themeColor="text1"/>
          <w:sz w:val="22"/>
          <w:szCs w:val="22"/>
          <w:shd w:val="clear" w:color="auto" w:fill="FFFFFF"/>
        </w:rPr>
        <w:t xml:space="preserve">de forma </w:t>
      </w:r>
      <w:r w:rsidR="00150D64">
        <w:rPr>
          <w:rFonts w:ascii="Arial" w:hAnsi="Arial" w:cs="Arial"/>
          <w:color w:val="000000" w:themeColor="text1"/>
          <w:sz w:val="22"/>
          <w:szCs w:val="22"/>
          <w:shd w:val="clear" w:color="auto" w:fill="FFFFFF"/>
        </w:rPr>
        <w:t xml:space="preserve">oportuna y </w:t>
      </w:r>
      <w:r w:rsidR="009147E1">
        <w:rPr>
          <w:rFonts w:ascii="Arial" w:hAnsi="Arial" w:cs="Arial"/>
          <w:color w:val="000000" w:themeColor="text1"/>
          <w:sz w:val="22"/>
          <w:szCs w:val="22"/>
          <w:shd w:val="clear" w:color="auto" w:fill="FFFFFF"/>
        </w:rPr>
        <w:t xml:space="preserve">completa. </w:t>
      </w:r>
      <w:r w:rsidR="008C530D" w:rsidRPr="005045BF">
        <w:rPr>
          <w:rFonts w:ascii="Arial" w:hAnsi="Arial" w:cs="Arial"/>
          <w:color w:val="000000" w:themeColor="text1"/>
          <w:sz w:val="22"/>
          <w:szCs w:val="22"/>
          <w:shd w:val="clear" w:color="auto" w:fill="FFFFFF"/>
        </w:rPr>
        <w:t xml:space="preserve">   </w:t>
      </w:r>
    </w:p>
    <w:p w14:paraId="28A91D37" w14:textId="77777777" w:rsidR="00021ABF" w:rsidRPr="005045BF" w:rsidRDefault="00021ABF" w:rsidP="00021ABF">
      <w:pPr>
        <w:pStyle w:val="Prrafodelista"/>
        <w:spacing w:line="168" w:lineRule="auto"/>
        <w:ind w:left="0"/>
        <w:contextualSpacing w:val="0"/>
        <w:rPr>
          <w:rFonts w:ascii="Arial" w:hAnsi="Arial" w:cs="Arial"/>
          <w:color w:val="000000" w:themeColor="text1"/>
          <w:sz w:val="22"/>
          <w:szCs w:val="22"/>
          <w:shd w:val="clear" w:color="auto" w:fill="FFFFFF"/>
        </w:rPr>
      </w:pPr>
    </w:p>
    <w:p w14:paraId="41F84357" w14:textId="35472155" w:rsidR="006035CA" w:rsidRPr="005045BF" w:rsidRDefault="00791AB4" w:rsidP="00021ABF">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De otra parte, para el </w:t>
      </w:r>
      <w:r w:rsidR="006035CA" w:rsidRPr="005045BF">
        <w:rPr>
          <w:rFonts w:ascii="Arial" w:hAnsi="Arial" w:cs="Arial"/>
          <w:color w:val="000000"/>
          <w:sz w:val="22"/>
          <w:szCs w:val="22"/>
        </w:rPr>
        <w:t xml:space="preserve">análisis del servicio de energía, se realizó teniendo en cuenta la porción del valor facturado y el consumo que le corresponde a este Ministerio, según la información enviada por la Subdirección de Servicios correspondiente a las sedes de San Agustín y Casas de Santa Bárbara para el </w:t>
      </w:r>
      <w:r w:rsidRPr="005045BF">
        <w:rPr>
          <w:rFonts w:ascii="Arial" w:hAnsi="Arial" w:cs="Arial"/>
          <w:color w:val="000000"/>
          <w:sz w:val="22"/>
          <w:szCs w:val="22"/>
        </w:rPr>
        <w:t xml:space="preserve">primer </w:t>
      </w:r>
      <w:r w:rsidR="006035CA" w:rsidRPr="005045BF">
        <w:rPr>
          <w:rFonts w:ascii="Arial" w:hAnsi="Arial" w:cs="Arial"/>
          <w:color w:val="000000"/>
          <w:sz w:val="22"/>
          <w:szCs w:val="22"/>
        </w:rPr>
        <w:t>trimestre de 20</w:t>
      </w:r>
      <w:r w:rsidRPr="005045BF">
        <w:rPr>
          <w:rFonts w:ascii="Arial" w:hAnsi="Arial" w:cs="Arial"/>
          <w:color w:val="000000"/>
          <w:sz w:val="22"/>
          <w:szCs w:val="22"/>
        </w:rPr>
        <w:t>20</w:t>
      </w:r>
      <w:r w:rsidR="006035CA" w:rsidRPr="005045BF">
        <w:rPr>
          <w:rFonts w:ascii="Arial" w:hAnsi="Arial" w:cs="Arial"/>
          <w:color w:val="000000"/>
          <w:sz w:val="22"/>
          <w:szCs w:val="22"/>
        </w:rPr>
        <w:t xml:space="preserve"> y 201</w:t>
      </w:r>
      <w:r w:rsidRPr="005045BF">
        <w:rPr>
          <w:rFonts w:ascii="Arial" w:hAnsi="Arial" w:cs="Arial"/>
          <w:color w:val="000000"/>
          <w:sz w:val="22"/>
          <w:szCs w:val="22"/>
        </w:rPr>
        <w:t>9</w:t>
      </w:r>
      <w:r w:rsidR="006035CA" w:rsidRPr="005045BF">
        <w:rPr>
          <w:rFonts w:ascii="Arial" w:hAnsi="Arial" w:cs="Arial"/>
          <w:color w:val="000000"/>
          <w:sz w:val="22"/>
          <w:szCs w:val="22"/>
        </w:rPr>
        <w:t xml:space="preserve">. </w:t>
      </w:r>
    </w:p>
    <w:p w14:paraId="68E963BD" w14:textId="4222482F" w:rsidR="00942825" w:rsidRPr="005045BF" w:rsidRDefault="00942825" w:rsidP="00021ABF">
      <w:pPr>
        <w:pStyle w:val="Prrafodelista"/>
        <w:ind w:left="0"/>
        <w:contextualSpacing w:val="0"/>
        <w:rPr>
          <w:rFonts w:ascii="Arial" w:hAnsi="Arial" w:cs="Arial"/>
          <w:color w:val="000000"/>
          <w:sz w:val="22"/>
          <w:szCs w:val="22"/>
          <w:highlight w:val="yellow"/>
        </w:rPr>
      </w:pPr>
    </w:p>
    <w:p w14:paraId="3837FDDA" w14:textId="77777777" w:rsidR="008C4809" w:rsidRPr="005045BF" w:rsidRDefault="008C4809" w:rsidP="00021ABF">
      <w:pPr>
        <w:pStyle w:val="Prrafodelista"/>
        <w:spacing w:line="168" w:lineRule="auto"/>
        <w:ind w:left="0"/>
        <w:contextualSpacing w:val="0"/>
        <w:rPr>
          <w:rFonts w:ascii="Arial" w:hAnsi="Arial" w:cs="Arial"/>
          <w:color w:val="000000"/>
          <w:sz w:val="22"/>
          <w:szCs w:val="22"/>
          <w:highlight w:val="yellow"/>
        </w:rPr>
      </w:pPr>
    </w:p>
    <w:p w14:paraId="267455ED" w14:textId="231CD3F3" w:rsidR="00425AB1" w:rsidRPr="003E5934" w:rsidRDefault="000E7F3A" w:rsidP="003E5934">
      <w:pPr>
        <w:pStyle w:val="Prrafodelista"/>
        <w:numPr>
          <w:ilvl w:val="2"/>
          <w:numId w:val="48"/>
        </w:numPr>
        <w:rPr>
          <w:rFonts w:ascii="Arial" w:hAnsi="Arial" w:cs="Arial"/>
          <w:b/>
          <w:color w:val="000000" w:themeColor="text1"/>
          <w:sz w:val="22"/>
          <w:szCs w:val="22"/>
        </w:rPr>
      </w:pPr>
      <w:r w:rsidRPr="003E5934">
        <w:rPr>
          <w:rFonts w:ascii="Arial" w:hAnsi="Arial" w:cs="Arial"/>
          <w:b/>
          <w:color w:val="000000" w:themeColor="text1"/>
          <w:sz w:val="22"/>
          <w:szCs w:val="22"/>
        </w:rPr>
        <w:t xml:space="preserve">Sede Edificio San Agustín </w:t>
      </w:r>
    </w:p>
    <w:p w14:paraId="3D6F76E9" w14:textId="73B88F29" w:rsidR="00425AB1" w:rsidRPr="005045BF" w:rsidRDefault="00425AB1" w:rsidP="00021ABF">
      <w:pPr>
        <w:pStyle w:val="Prrafodelista"/>
        <w:spacing w:line="168" w:lineRule="auto"/>
        <w:ind w:left="0"/>
        <w:contextualSpacing w:val="0"/>
        <w:rPr>
          <w:rFonts w:ascii="Arial" w:hAnsi="Arial" w:cs="Arial"/>
          <w:b/>
          <w:color w:val="000000" w:themeColor="text1"/>
          <w:sz w:val="22"/>
          <w:szCs w:val="22"/>
          <w:highlight w:val="yellow"/>
        </w:rPr>
      </w:pPr>
    </w:p>
    <w:p w14:paraId="0A590644" w14:textId="3A25E273" w:rsidR="00425AB1" w:rsidRPr="005045BF" w:rsidRDefault="00425AB1" w:rsidP="000E7F3A">
      <w:pPr>
        <w:jc w:val="both"/>
        <w:rPr>
          <w:rFonts w:ascii="Arial" w:hAnsi="Arial" w:cs="Arial"/>
          <w:b/>
          <w:color w:val="000000" w:themeColor="text1"/>
          <w:sz w:val="22"/>
          <w:szCs w:val="22"/>
        </w:rPr>
      </w:pPr>
      <w:r w:rsidRPr="005045BF">
        <w:rPr>
          <w:rFonts w:ascii="Arial" w:hAnsi="Arial" w:cs="Arial"/>
          <w:color w:val="000000"/>
          <w:sz w:val="22"/>
          <w:szCs w:val="22"/>
        </w:rPr>
        <w:t xml:space="preserve">En lo que respecta a la sede San Agustín, el consumo de kilovatios y el valor facturado por el servicio de energía en el </w:t>
      </w:r>
      <w:r w:rsidR="005D2F0F" w:rsidRPr="005045BF">
        <w:rPr>
          <w:rFonts w:ascii="Arial" w:hAnsi="Arial" w:cs="Arial"/>
          <w:color w:val="000000"/>
          <w:sz w:val="22"/>
          <w:szCs w:val="22"/>
        </w:rPr>
        <w:t xml:space="preserve">primer </w:t>
      </w:r>
      <w:r w:rsidRPr="005045BF">
        <w:rPr>
          <w:rFonts w:ascii="Arial" w:hAnsi="Arial" w:cs="Arial"/>
          <w:color w:val="000000"/>
          <w:sz w:val="22"/>
          <w:szCs w:val="22"/>
        </w:rPr>
        <w:t>trimestre de 20</w:t>
      </w:r>
      <w:r w:rsidR="005D2F0F" w:rsidRPr="005045BF">
        <w:rPr>
          <w:rFonts w:ascii="Arial" w:hAnsi="Arial" w:cs="Arial"/>
          <w:color w:val="000000"/>
          <w:sz w:val="22"/>
          <w:szCs w:val="22"/>
        </w:rPr>
        <w:t>20</w:t>
      </w:r>
      <w:r w:rsidRPr="005045BF">
        <w:rPr>
          <w:rFonts w:ascii="Arial" w:hAnsi="Arial" w:cs="Arial"/>
          <w:color w:val="000000"/>
          <w:sz w:val="22"/>
          <w:szCs w:val="22"/>
        </w:rPr>
        <w:t xml:space="preserve"> comparado con el mismo periodo de la vigencia 201</w:t>
      </w:r>
      <w:r w:rsidR="005D2F0F" w:rsidRPr="005045BF">
        <w:rPr>
          <w:rFonts w:ascii="Arial" w:hAnsi="Arial" w:cs="Arial"/>
          <w:color w:val="000000"/>
          <w:sz w:val="22"/>
          <w:szCs w:val="22"/>
        </w:rPr>
        <w:t>9</w:t>
      </w:r>
      <w:r w:rsidRPr="005045BF">
        <w:rPr>
          <w:rFonts w:ascii="Arial" w:hAnsi="Arial" w:cs="Arial"/>
          <w:color w:val="000000"/>
          <w:sz w:val="22"/>
          <w:szCs w:val="22"/>
        </w:rPr>
        <w:t xml:space="preserve">, presentó </w:t>
      </w:r>
      <w:r w:rsidRPr="005045BF">
        <w:rPr>
          <w:rFonts w:ascii="Arial" w:hAnsi="Arial" w:cs="Arial"/>
          <w:b/>
          <w:color w:val="000000"/>
          <w:sz w:val="22"/>
          <w:szCs w:val="22"/>
        </w:rPr>
        <w:t>variaciones negativas</w:t>
      </w:r>
      <w:r w:rsidRPr="005045BF">
        <w:rPr>
          <w:rFonts w:ascii="Arial" w:hAnsi="Arial" w:cs="Arial"/>
          <w:bCs/>
          <w:color w:val="000000"/>
          <w:sz w:val="22"/>
          <w:szCs w:val="22"/>
        </w:rPr>
        <w:t xml:space="preserve"> en los tres meses analizados</w:t>
      </w:r>
      <w:r w:rsidR="00EC1AFB" w:rsidRPr="005045BF">
        <w:rPr>
          <w:rFonts w:ascii="Arial" w:hAnsi="Arial" w:cs="Arial"/>
          <w:bCs/>
          <w:color w:val="000000"/>
          <w:sz w:val="22"/>
          <w:szCs w:val="22"/>
        </w:rPr>
        <w:t xml:space="preserve">. </w:t>
      </w:r>
      <w:r w:rsidRPr="005045BF">
        <w:rPr>
          <w:rFonts w:ascii="Arial" w:hAnsi="Arial" w:cs="Arial"/>
          <w:bCs/>
          <w:color w:val="000000"/>
          <w:sz w:val="22"/>
          <w:szCs w:val="22"/>
        </w:rPr>
        <w:t>De lo anterior, se deduce que la disminución en el valor facturado</w:t>
      </w:r>
      <w:r w:rsidRPr="005045BF">
        <w:rPr>
          <w:rFonts w:ascii="Arial" w:hAnsi="Arial" w:cs="Arial"/>
          <w:color w:val="000000"/>
          <w:sz w:val="22"/>
          <w:szCs w:val="22"/>
        </w:rPr>
        <w:t xml:space="preserve"> está directamente relacionada con el ahorro observado en el número de kilovatios consumidos en el periodo objeto de verificación. </w:t>
      </w:r>
    </w:p>
    <w:p w14:paraId="5D9BC16D" w14:textId="0354C7A3" w:rsidR="00425AB1" w:rsidRPr="005045BF" w:rsidRDefault="00425AB1" w:rsidP="000E7F3A">
      <w:pPr>
        <w:pStyle w:val="Prrafodelista"/>
        <w:ind w:left="0"/>
        <w:contextualSpacing w:val="0"/>
        <w:rPr>
          <w:rFonts w:ascii="Arial" w:hAnsi="Arial" w:cs="Arial"/>
          <w:color w:val="000000"/>
          <w:sz w:val="22"/>
          <w:szCs w:val="22"/>
        </w:rPr>
      </w:pPr>
    </w:p>
    <w:tbl>
      <w:tblPr>
        <w:tblStyle w:val="Tablaconcuadrcula1clara-nfasis1"/>
        <w:tblW w:w="9497" w:type="dxa"/>
        <w:tblInd w:w="137" w:type="dxa"/>
        <w:tblLayout w:type="fixed"/>
        <w:tblLook w:val="04A0" w:firstRow="1" w:lastRow="0" w:firstColumn="1" w:lastColumn="0" w:noHBand="0" w:noVBand="1"/>
      </w:tblPr>
      <w:tblGrid>
        <w:gridCol w:w="1701"/>
        <w:gridCol w:w="1276"/>
        <w:gridCol w:w="992"/>
        <w:gridCol w:w="1276"/>
        <w:gridCol w:w="1417"/>
        <w:gridCol w:w="1418"/>
        <w:gridCol w:w="1417"/>
      </w:tblGrid>
      <w:tr w:rsidR="003050BC" w:rsidRPr="005045BF" w14:paraId="131AB045" w14:textId="77777777" w:rsidTr="00442C13">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497" w:type="dxa"/>
            <w:gridSpan w:val="7"/>
            <w:shd w:val="clear" w:color="auto" w:fill="4F81BD" w:themeFill="accent1"/>
            <w:vAlign w:val="center"/>
            <w:hideMark/>
          </w:tcPr>
          <w:p w14:paraId="07AD0162" w14:textId="30D58716" w:rsidR="003050BC" w:rsidRPr="005045BF" w:rsidRDefault="003050BC" w:rsidP="00DB03DA">
            <w:pPr>
              <w:spacing w:before="120" w:after="12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 Energía I</w:t>
            </w:r>
            <w:r w:rsidR="00E25DA8" w:rsidRPr="005045BF">
              <w:rPr>
                <w:rFonts w:ascii="Arial" w:hAnsi="Arial" w:cs="Arial"/>
                <w:color w:val="FFFFFF" w:themeColor="background1"/>
                <w:sz w:val="20"/>
                <w:szCs w:val="20"/>
              </w:rPr>
              <w:t xml:space="preserve"> </w:t>
            </w:r>
            <w:r w:rsidRPr="005045BF">
              <w:rPr>
                <w:rFonts w:ascii="Arial" w:hAnsi="Arial" w:cs="Arial"/>
                <w:color w:val="FFFFFF" w:themeColor="background1"/>
                <w:sz w:val="20"/>
                <w:szCs w:val="20"/>
              </w:rPr>
              <w:t>Trimestre de 20</w:t>
            </w:r>
            <w:r w:rsidR="00BE5515" w:rsidRPr="005045BF">
              <w:rPr>
                <w:rFonts w:ascii="Arial" w:hAnsi="Arial" w:cs="Arial"/>
                <w:color w:val="FFFFFF" w:themeColor="background1"/>
                <w:sz w:val="20"/>
                <w:szCs w:val="20"/>
              </w:rPr>
              <w:t>20</w:t>
            </w:r>
            <w:r w:rsidR="00983CE4" w:rsidRPr="005045BF">
              <w:rPr>
                <w:rFonts w:ascii="Arial" w:hAnsi="Arial" w:cs="Arial"/>
                <w:color w:val="FFFFFF" w:themeColor="background1"/>
                <w:sz w:val="20"/>
                <w:szCs w:val="20"/>
              </w:rPr>
              <w:t xml:space="preserve"> -2019</w:t>
            </w:r>
          </w:p>
        </w:tc>
      </w:tr>
      <w:tr w:rsidR="003050BC" w:rsidRPr="005045BF" w14:paraId="71C023B9" w14:textId="77777777" w:rsidTr="00912901">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701" w:type="dxa"/>
            <w:shd w:val="clear" w:color="auto" w:fill="4F81BD" w:themeFill="accent1"/>
            <w:vAlign w:val="center"/>
            <w:hideMark/>
          </w:tcPr>
          <w:p w14:paraId="01E90C3B" w14:textId="77777777" w:rsidR="003050BC" w:rsidRPr="005045BF" w:rsidRDefault="003050BC" w:rsidP="00DB03DA">
            <w:pPr>
              <w:spacing w:before="120" w:after="120"/>
              <w:jc w:val="center"/>
              <w:rPr>
                <w:rFonts w:ascii="Arial" w:hAnsi="Arial" w:cs="Arial"/>
                <w:b w:val="0"/>
                <w:color w:val="000000"/>
                <w:sz w:val="20"/>
                <w:szCs w:val="20"/>
              </w:rPr>
            </w:pPr>
            <w:r w:rsidRPr="005045BF">
              <w:rPr>
                <w:rFonts w:ascii="Arial" w:hAnsi="Arial" w:cs="Arial"/>
                <w:b w:val="0"/>
                <w:color w:val="FFFFFF" w:themeColor="background1"/>
                <w:sz w:val="20"/>
                <w:szCs w:val="20"/>
              </w:rPr>
              <w:t>Sede</w:t>
            </w:r>
          </w:p>
        </w:tc>
        <w:tc>
          <w:tcPr>
            <w:tcW w:w="1276" w:type="dxa"/>
            <w:shd w:val="clear" w:color="auto" w:fill="4F81BD" w:themeFill="accent1"/>
            <w:vAlign w:val="center"/>
            <w:hideMark/>
          </w:tcPr>
          <w:p w14:paraId="6486D9A5" w14:textId="77777777" w:rsidR="003050BC" w:rsidRPr="005045BF" w:rsidRDefault="003050BC"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Concepto</w:t>
            </w:r>
          </w:p>
        </w:tc>
        <w:tc>
          <w:tcPr>
            <w:tcW w:w="992" w:type="dxa"/>
            <w:shd w:val="clear" w:color="auto" w:fill="4F81BD" w:themeFill="accent1"/>
            <w:vAlign w:val="center"/>
            <w:hideMark/>
          </w:tcPr>
          <w:p w14:paraId="24588136" w14:textId="77777777" w:rsidR="003050BC" w:rsidRPr="005045BF" w:rsidRDefault="003050BC"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Vigencia</w:t>
            </w:r>
          </w:p>
        </w:tc>
        <w:tc>
          <w:tcPr>
            <w:tcW w:w="1276" w:type="dxa"/>
            <w:shd w:val="clear" w:color="auto" w:fill="4F81BD" w:themeFill="accent1"/>
            <w:vAlign w:val="center"/>
            <w:hideMark/>
          </w:tcPr>
          <w:p w14:paraId="7261BF2B" w14:textId="51423FF8" w:rsidR="003050BC" w:rsidRPr="005045BF" w:rsidRDefault="00BE5515"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Enero</w:t>
            </w:r>
          </w:p>
        </w:tc>
        <w:tc>
          <w:tcPr>
            <w:tcW w:w="1417" w:type="dxa"/>
            <w:shd w:val="clear" w:color="auto" w:fill="4F81BD" w:themeFill="accent1"/>
            <w:vAlign w:val="center"/>
            <w:hideMark/>
          </w:tcPr>
          <w:p w14:paraId="2AEFCA8F" w14:textId="4C4825F4" w:rsidR="003050BC" w:rsidRPr="005045BF" w:rsidRDefault="00BE5515"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Febrero</w:t>
            </w:r>
          </w:p>
        </w:tc>
        <w:tc>
          <w:tcPr>
            <w:tcW w:w="1418" w:type="dxa"/>
            <w:shd w:val="clear" w:color="auto" w:fill="4F81BD" w:themeFill="accent1"/>
            <w:vAlign w:val="center"/>
            <w:hideMark/>
          </w:tcPr>
          <w:p w14:paraId="4C3AA631" w14:textId="1754F3F1" w:rsidR="003050BC" w:rsidRPr="005045BF" w:rsidRDefault="00BE5515"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Marzo</w:t>
            </w:r>
          </w:p>
        </w:tc>
        <w:tc>
          <w:tcPr>
            <w:tcW w:w="1417" w:type="dxa"/>
            <w:shd w:val="clear" w:color="auto" w:fill="4F81BD" w:themeFill="accent1"/>
            <w:vAlign w:val="center"/>
            <w:hideMark/>
          </w:tcPr>
          <w:p w14:paraId="7D33781D" w14:textId="77777777" w:rsidR="00BE5515" w:rsidRPr="005045BF" w:rsidRDefault="003050BC"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val="0"/>
                <w:bCs w:val="0"/>
                <w:color w:val="FFFFFF" w:themeColor="background1"/>
                <w:sz w:val="20"/>
                <w:szCs w:val="20"/>
              </w:rPr>
              <w:t>T</w:t>
            </w:r>
            <w:r w:rsidR="00B62703" w:rsidRPr="005045BF">
              <w:rPr>
                <w:rFonts w:ascii="Arial" w:hAnsi="Arial" w:cs="Arial"/>
                <w:b w:val="0"/>
                <w:bCs w:val="0"/>
                <w:color w:val="FFFFFF" w:themeColor="background1"/>
                <w:sz w:val="20"/>
                <w:szCs w:val="20"/>
              </w:rPr>
              <w:t xml:space="preserve">otal </w:t>
            </w:r>
          </w:p>
          <w:p w14:paraId="01068244" w14:textId="02EDF097" w:rsidR="003050BC" w:rsidRPr="005045BF" w:rsidRDefault="00B62703" w:rsidP="00DB03DA">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20"/>
                <w:szCs w:val="20"/>
              </w:rPr>
            </w:pPr>
            <w:r w:rsidRPr="005045BF">
              <w:rPr>
                <w:rFonts w:ascii="Arial" w:hAnsi="Arial" w:cs="Arial"/>
                <w:b w:val="0"/>
                <w:bCs w:val="0"/>
                <w:color w:val="FFFFFF" w:themeColor="background1"/>
                <w:sz w:val="20"/>
                <w:szCs w:val="20"/>
              </w:rPr>
              <w:t>I</w:t>
            </w:r>
            <w:r w:rsidR="00BE5515" w:rsidRPr="005045BF">
              <w:rPr>
                <w:rFonts w:ascii="Arial" w:hAnsi="Arial" w:cs="Arial"/>
                <w:b w:val="0"/>
                <w:bCs w:val="0"/>
                <w:color w:val="FFFFFF" w:themeColor="background1"/>
                <w:sz w:val="20"/>
                <w:szCs w:val="20"/>
              </w:rPr>
              <w:t xml:space="preserve"> </w:t>
            </w:r>
            <w:r w:rsidR="003050BC" w:rsidRPr="005045BF">
              <w:rPr>
                <w:rFonts w:ascii="Arial" w:hAnsi="Arial" w:cs="Arial"/>
                <w:b w:val="0"/>
                <w:bCs w:val="0"/>
                <w:color w:val="FFFFFF" w:themeColor="background1"/>
                <w:sz w:val="20"/>
                <w:szCs w:val="20"/>
              </w:rPr>
              <w:t>Trimestre</w:t>
            </w:r>
          </w:p>
        </w:tc>
      </w:tr>
      <w:tr w:rsidR="00442C13" w:rsidRPr="005045BF" w14:paraId="7F0ED715" w14:textId="77777777" w:rsidTr="00912901">
        <w:trPr>
          <w:cantSplit/>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hideMark/>
          </w:tcPr>
          <w:p w14:paraId="732752D0" w14:textId="77777777" w:rsidR="00442C13" w:rsidRPr="005045BF" w:rsidRDefault="00442C13" w:rsidP="00DB03DA">
            <w:pPr>
              <w:spacing w:before="120" w:after="1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Edificio San Agustín</w:t>
            </w:r>
          </w:p>
        </w:tc>
        <w:tc>
          <w:tcPr>
            <w:tcW w:w="1276" w:type="dxa"/>
            <w:vMerge w:val="restart"/>
            <w:vAlign w:val="center"/>
            <w:hideMark/>
          </w:tcPr>
          <w:p w14:paraId="46A0DC70" w14:textId="7777777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Energía Kw/h</w:t>
            </w:r>
          </w:p>
        </w:tc>
        <w:tc>
          <w:tcPr>
            <w:tcW w:w="992" w:type="dxa"/>
            <w:vAlign w:val="center"/>
            <w:hideMark/>
          </w:tcPr>
          <w:p w14:paraId="24359DAA" w14:textId="434029A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2020</w:t>
            </w:r>
          </w:p>
        </w:tc>
        <w:tc>
          <w:tcPr>
            <w:tcW w:w="1276" w:type="dxa"/>
            <w:vAlign w:val="center"/>
          </w:tcPr>
          <w:p w14:paraId="37EE4898" w14:textId="767E50A4"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350.609</w:t>
            </w:r>
          </w:p>
        </w:tc>
        <w:tc>
          <w:tcPr>
            <w:tcW w:w="1417" w:type="dxa"/>
            <w:vAlign w:val="center"/>
          </w:tcPr>
          <w:p w14:paraId="4B63ADC9" w14:textId="66E8A547"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320.557</w:t>
            </w:r>
          </w:p>
        </w:tc>
        <w:tc>
          <w:tcPr>
            <w:tcW w:w="1418" w:type="dxa"/>
            <w:vAlign w:val="center"/>
          </w:tcPr>
          <w:p w14:paraId="4A0EC532" w14:textId="06197ED2"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312.530</w:t>
            </w:r>
          </w:p>
        </w:tc>
        <w:tc>
          <w:tcPr>
            <w:tcW w:w="1417" w:type="dxa"/>
            <w:vAlign w:val="center"/>
          </w:tcPr>
          <w:p w14:paraId="33AFEC73" w14:textId="52EFC728"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983.696 </w:t>
            </w:r>
          </w:p>
        </w:tc>
      </w:tr>
      <w:tr w:rsidR="00442C13" w:rsidRPr="005045BF" w14:paraId="4278B0CA" w14:textId="77777777" w:rsidTr="00912901">
        <w:trPr>
          <w:cantSplit/>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775E42A0" w14:textId="77777777" w:rsidR="00442C13" w:rsidRPr="005045BF" w:rsidRDefault="00442C13" w:rsidP="00DB03DA">
            <w:pPr>
              <w:spacing w:before="120" w:after="120"/>
              <w:rPr>
                <w:rFonts w:ascii="Arial" w:hAnsi="Arial" w:cs="Arial"/>
                <w:color w:val="0F243E" w:themeColor="text2" w:themeShade="80"/>
                <w:sz w:val="20"/>
                <w:szCs w:val="20"/>
              </w:rPr>
            </w:pPr>
          </w:p>
        </w:tc>
        <w:tc>
          <w:tcPr>
            <w:tcW w:w="1276" w:type="dxa"/>
            <w:vMerge/>
            <w:vAlign w:val="center"/>
            <w:hideMark/>
          </w:tcPr>
          <w:p w14:paraId="762EFA05" w14:textId="77777777" w:rsidR="00442C13" w:rsidRPr="005045BF" w:rsidRDefault="00442C13" w:rsidP="00DB03D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033A8270" w14:textId="56BFC0D1"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2019</w:t>
            </w:r>
          </w:p>
        </w:tc>
        <w:tc>
          <w:tcPr>
            <w:tcW w:w="1276" w:type="dxa"/>
            <w:vAlign w:val="center"/>
          </w:tcPr>
          <w:p w14:paraId="76AAB676" w14:textId="26C15C74"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370.644</w:t>
            </w:r>
          </w:p>
        </w:tc>
        <w:tc>
          <w:tcPr>
            <w:tcW w:w="1417" w:type="dxa"/>
            <w:vAlign w:val="center"/>
          </w:tcPr>
          <w:p w14:paraId="0E26BA6B" w14:textId="6304A08F"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368.139</w:t>
            </w:r>
          </w:p>
        </w:tc>
        <w:tc>
          <w:tcPr>
            <w:tcW w:w="1418" w:type="dxa"/>
            <w:vAlign w:val="center"/>
          </w:tcPr>
          <w:p w14:paraId="7ECA547D" w14:textId="439086A9"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399.444</w:t>
            </w:r>
          </w:p>
        </w:tc>
        <w:tc>
          <w:tcPr>
            <w:tcW w:w="1417" w:type="dxa"/>
            <w:vAlign w:val="center"/>
          </w:tcPr>
          <w:p w14:paraId="33183366" w14:textId="53B81ECC"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1.138.227 </w:t>
            </w:r>
          </w:p>
        </w:tc>
      </w:tr>
      <w:tr w:rsidR="00442C13" w:rsidRPr="005045BF" w14:paraId="236BACDC" w14:textId="77777777" w:rsidTr="00912901">
        <w:trPr>
          <w:cantSplit/>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4F81BD" w:themeFill="accent1"/>
            <w:vAlign w:val="center"/>
            <w:hideMark/>
          </w:tcPr>
          <w:p w14:paraId="2B22FBF8" w14:textId="77777777" w:rsidR="00442C13" w:rsidRPr="005045BF" w:rsidRDefault="00442C13" w:rsidP="00DB03DA">
            <w:pPr>
              <w:spacing w:before="120" w:after="12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7829109D" w14:textId="7777777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Cantidad</w:t>
            </w:r>
          </w:p>
        </w:tc>
        <w:tc>
          <w:tcPr>
            <w:tcW w:w="1276" w:type="dxa"/>
            <w:shd w:val="clear" w:color="auto" w:fill="4F81BD" w:themeFill="accent1"/>
            <w:vAlign w:val="center"/>
          </w:tcPr>
          <w:p w14:paraId="5A6F47BA" w14:textId="529F5494"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(20.035)</w:t>
            </w:r>
          </w:p>
        </w:tc>
        <w:tc>
          <w:tcPr>
            <w:tcW w:w="1417" w:type="dxa"/>
            <w:shd w:val="clear" w:color="auto" w:fill="4F81BD" w:themeFill="accent1"/>
            <w:vAlign w:val="center"/>
          </w:tcPr>
          <w:p w14:paraId="7A1F8B99" w14:textId="01045ADA"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(47.582)</w:t>
            </w:r>
          </w:p>
        </w:tc>
        <w:tc>
          <w:tcPr>
            <w:tcW w:w="1418" w:type="dxa"/>
            <w:shd w:val="clear" w:color="auto" w:fill="4F81BD" w:themeFill="accent1"/>
            <w:vAlign w:val="center"/>
          </w:tcPr>
          <w:p w14:paraId="273B7567" w14:textId="4537C9B3"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(86.914)</w:t>
            </w:r>
          </w:p>
        </w:tc>
        <w:tc>
          <w:tcPr>
            <w:tcW w:w="1417" w:type="dxa"/>
            <w:shd w:val="clear" w:color="auto" w:fill="4F81BD" w:themeFill="accent1"/>
            <w:vAlign w:val="center"/>
          </w:tcPr>
          <w:p w14:paraId="2F13BDF8" w14:textId="5C3FF896"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(154.531)</w:t>
            </w:r>
          </w:p>
        </w:tc>
      </w:tr>
      <w:tr w:rsidR="00442C13" w:rsidRPr="005045BF" w14:paraId="6F937116" w14:textId="77777777" w:rsidTr="00912901">
        <w:trPr>
          <w:cantSplit/>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4F81BD" w:themeFill="accent1"/>
            <w:vAlign w:val="center"/>
            <w:hideMark/>
          </w:tcPr>
          <w:p w14:paraId="74D33E9F" w14:textId="77777777" w:rsidR="00442C13" w:rsidRPr="005045BF" w:rsidRDefault="00442C13" w:rsidP="00DB03DA">
            <w:pPr>
              <w:spacing w:before="120" w:after="12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67165DA2" w14:textId="7777777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276" w:type="dxa"/>
            <w:shd w:val="clear" w:color="auto" w:fill="4F81BD" w:themeFill="accent1"/>
            <w:vAlign w:val="center"/>
          </w:tcPr>
          <w:p w14:paraId="60130410" w14:textId="6D6CAA90"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(5%)</w:t>
            </w:r>
          </w:p>
        </w:tc>
        <w:tc>
          <w:tcPr>
            <w:tcW w:w="1417" w:type="dxa"/>
            <w:shd w:val="clear" w:color="auto" w:fill="4F81BD" w:themeFill="accent1"/>
            <w:vAlign w:val="center"/>
          </w:tcPr>
          <w:p w14:paraId="548FCF73" w14:textId="204F372F"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(13%)</w:t>
            </w:r>
          </w:p>
        </w:tc>
        <w:tc>
          <w:tcPr>
            <w:tcW w:w="1418" w:type="dxa"/>
            <w:shd w:val="clear" w:color="auto" w:fill="4F81BD" w:themeFill="accent1"/>
            <w:vAlign w:val="center"/>
          </w:tcPr>
          <w:p w14:paraId="2C164F5D" w14:textId="28CDFBF9"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(22%)</w:t>
            </w:r>
          </w:p>
        </w:tc>
        <w:tc>
          <w:tcPr>
            <w:tcW w:w="1417" w:type="dxa"/>
            <w:shd w:val="clear" w:color="auto" w:fill="4F81BD" w:themeFill="accent1"/>
            <w:vAlign w:val="center"/>
          </w:tcPr>
          <w:p w14:paraId="6EEF5B6E" w14:textId="5436998B"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b/>
                <w:bCs/>
                <w:color w:val="FFFFFF" w:themeColor="background1"/>
                <w:sz w:val="20"/>
                <w:szCs w:val="20"/>
              </w:rPr>
              <w:t>(14%)</w:t>
            </w:r>
          </w:p>
        </w:tc>
      </w:tr>
      <w:tr w:rsidR="00442C13" w:rsidRPr="005045BF" w14:paraId="36B6C546" w14:textId="77777777" w:rsidTr="00021ABF">
        <w:trPr>
          <w:cantSplit/>
          <w:trHeight w:val="582"/>
        </w:trPr>
        <w:tc>
          <w:tcPr>
            <w:cnfStyle w:val="001000000000" w:firstRow="0" w:lastRow="0" w:firstColumn="1" w:lastColumn="0" w:oddVBand="0" w:evenVBand="0" w:oddHBand="0" w:evenHBand="0" w:firstRowFirstColumn="0" w:firstRowLastColumn="0" w:lastRowFirstColumn="0" w:lastRowLastColumn="0"/>
            <w:tcW w:w="1701" w:type="dxa"/>
            <w:vMerge w:val="restart"/>
            <w:vAlign w:val="center"/>
            <w:hideMark/>
          </w:tcPr>
          <w:p w14:paraId="06664904" w14:textId="77777777" w:rsidR="00442C13" w:rsidRPr="005045BF" w:rsidRDefault="00442C13" w:rsidP="00DB03DA">
            <w:pPr>
              <w:spacing w:before="120" w:after="12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lastRenderedPageBreak/>
              <w:t>Edificio San Agustín</w:t>
            </w:r>
          </w:p>
        </w:tc>
        <w:tc>
          <w:tcPr>
            <w:tcW w:w="1276" w:type="dxa"/>
            <w:vMerge w:val="restart"/>
            <w:vAlign w:val="center"/>
            <w:hideMark/>
          </w:tcPr>
          <w:p w14:paraId="1D0BC0D9" w14:textId="7777777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Valor ($) Consumo </w:t>
            </w:r>
          </w:p>
        </w:tc>
        <w:tc>
          <w:tcPr>
            <w:tcW w:w="992" w:type="dxa"/>
            <w:vAlign w:val="center"/>
            <w:hideMark/>
          </w:tcPr>
          <w:p w14:paraId="66F2069E" w14:textId="0E61B5B2"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2020</w:t>
            </w:r>
          </w:p>
        </w:tc>
        <w:tc>
          <w:tcPr>
            <w:tcW w:w="1276" w:type="dxa"/>
            <w:noWrap/>
            <w:vAlign w:val="center"/>
          </w:tcPr>
          <w:p w14:paraId="6DF4C7AB" w14:textId="589CB739"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86.994.290 </w:t>
            </w:r>
          </w:p>
        </w:tc>
        <w:tc>
          <w:tcPr>
            <w:tcW w:w="1417" w:type="dxa"/>
            <w:noWrap/>
            <w:vAlign w:val="center"/>
          </w:tcPr>
          <w:p w14:paraId="629CD704" w14:textId="65DDF7C4"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84.801.831 </w:t>
            </w:r>
          </w:p>
        </w:tc>
        <w:tc>
          <w:tcPr>
            <w:tcW w:w="1418" w:type="dxa"/>
            <w:noWrap/>
            <w:vAlign w:val="center"/>
          </w:tcPr>
          <w:p w14:paraId="35F1A3DF" w14:textId="69FC7467"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 82.728.799 </w:t>
            </w:r>
          </w:p>
        </w:tc>
        <w:tc>
          <w:tcPr>
            <w:tcW w:w="1417" w:type="dxa"/>
            <w:vAlign w:val="center"/>
          </w:tcPr>
          <w:p w14:paraId="12287FAD" w14:textId="3D18A6E1"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254.524.920 </w:t>
            </w:r>
          </w:p>
        </w:tc>
      </w:tr>
      <w:tr w:rsidR="00442C13" w:rsidRPr="005045BF" w14:paraId="7A16DA3C" w14:textId="77777777" w:rsidTr="00912901">
        <w:trPr>
          <w:cantSplit/>
        </w:trPr>
        <w:tc>
          <w:tcPr>
            <w:cnfStyle w:val="001000000000" w:firstRow="0" w:lastRow="0" w:firstColumn="1" w:lastColumn="0" w:oddVBand="0" w:evenVBand="0" w:oddHBand="0" w:evenHBand="0" w:firstRowFirstColumn="0" w:firstRowLastColumn="0" w:lastRowFirstColumn="0" w:lastRowLastColumn="0"/>
            <w:tcW w:w="1701" w:type="dxa"/>
            <w:vMerge/>
            <w:vAlign w:val="center"/>
            <w:hideMark/>
          </w:tcPr>
          <w:p w14:paraId="1CBAD577" w14:textId="77777777" w:rsidR="00442C13" w:rsidRPr="005045BF" w:rsidRDefault="00442C13" w:rsidP="00DB03DA">
            <w:pPr>
              <w:spacing w:before="120" w:after="120"/>
              <w:rPr>
                <w:rFonts w:ascii="Arial" w:hAnsi="Arial" w:cs="Arial"/>
                <w:color w:val="0F243E" w:themeColor="text2" w:themeShade="80"/>
                <w:sz w:val="20"/>
                <w:szCs w:val="20"/>
              </w:rPr>
            </w:pPr>
          </w:p>
        </w:tc>
        <w:tc>
          <w:tcPr>
            <w:tcW w:w="1276" w:type="dxa"/>
            <w:vMerge/>
            <w:vAlign w:val="center"/>
            <w:hideMark/>
          </w:tcPr>
          <w:p w14:paraId="469BF133" w14:textId="77777777" w:rsidR="00442C13" w:rsidRPr="005045BF" w:rsidRDefault="00442C13" w:rsidP="00DB03D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992" w:type="dxa"/>
            <w:vAlign w:val="center"/>
            <w:hideMark/>
          </w:tcPr>
          <w:p w14:paraId="6781097E" w14:textId="4A0387B9"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2019</w:t>
            </w:r>
          </w:p>
        </w:tc>
        <w:tc>
          <w:tcPr>
            <w:tcW w:w="1276" w:type="dxa"/>
            <w:noWrap/>
            <w:vAlign w:val="center"/>
          </w:tcPr>
          <w:p w14:paraId="5C560A0D" w14:textId="1E12475F"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96.281.167</w:t>
            </w:r>
          </w:p>
        </w:tc>
        <w:tc>
          <w:tcPr>
            <w:tcW w:w="1417" w:type="dxa"/>
            <w:noWrap/>
            <w:vAlign w:val="center"/>
          </w:tcPr>
          <w:p w14:paraId="6BCC8869" w14:textId="3E48C687"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88.547.049</w:t>
            </w:r>
          </w:p>
        </w:tc>
        <w:tc>
          <w:tcPr>
            <w:tcW w:w="1418" w:type="dxa"/>
            <w:noWrap/>
            <w:vAlign w:val="center"/>
          </w:tcPr>
          <w:p w14:paraId="209A0F5F" w14:textId="08F4F9AB"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98.836.119</w:t>
            </w:r>
          </w:p>
        </w:tc>
        <w:tc>
          <w:tcPr>
            <w:tcW w:w="1417" w:type="dxa"/>
            <w:vAlign w:val="center"/>
          </w:tcPr>
          <w:p w14:paraId="514C604A" w14:textId="4E7892FE" w:rsidR="00442C13" w:rsidRPr="005045BF" w:rsidRDefault="00442C13"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283.664.335 </w:t>
            </w:r>
          </w:p>
        </w:tc>
      </w:tr>
      <w:tr w:rsidR="00442C13" w:rsidRPr="005045BF" w14:paraId="6AEB2F76" w14:textId="77777777" w:rsidTr="00021ABF">
        <w:trPr>
          <w:cantSplit/>
          <w:trHeight w:val="495"/>
        </w:trPr>
        <w:tc>
          <w:tcPr>
            <w:cnfStyle w:val="001000000000" w:firstRow="0" w:lastRow="0" w:firstColumn="1" w:lastColumn="0" w:oddVBand="0" w:evenVBand="0" w:oddHBand="0" w:evenHBand="0" w:firstRowFirstColumn="0" w:firstRowLastColumn="0" w:lastRowFirstColumn="0" w:lastRowLastColumn="0"/>
            <w:tcW w:w="1701" w:type="dxa"/>
            <w:vMerge w:val="restart"/>
            <w:shd w:val="clear" w:color="auto" w:fill="4F81BD" w:themeFill="accent1"/>
            <w:vAlign w:val="center"/>
            <w:hideMark/>
          </w:tcPr>
          <w:p w14:paraId="59BF2A74" w14:textId="77777777" w:rsidR="00442C13" w:rsidRPr="005045BF" w:rsidRDefault="00442C13" w:rsidP="00DB03DA">
            <w:pPr>
              <w:spacing w:before="120" w:after="12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2268" w:type="dxa"/>
            <w:gridSpan w:val="2"/>
            <w:shd w:val="clear" w:color="auto" w:fill="4F81BD" w:themeFill="accent1"/>
            <w:vAlign w:val="center"/>
            <w:hideMark/>
          </w:tcPr>
          <w:p w14:paraId="15CC8B52" w14:textId="08B46273"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Valor ($) Consumo</w:t>
            </w:r>
          </w:p>
        </w:tc>
        <w:tc>
          <w:tcPr>
            <w:tcW w:w="1276" w:type="dxa"/>
            <w:shd w:val="clear" w:color="auto" w:fill="4F81BD" w:themeFill="accent1"/>
            <w:vAlign w:val="center"/>
          </w:tcPr>
          <w:p w14:paraId="630980D5" w14:textId="750120C2" w:rsidR="00442C13" w:rsidRPr="005045BF" w:rsidRDefault="00912901"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9.286.877</w:t>
            </w:r>
            <w:r w:rsidRPr="005045BF">
              <w:rPr>
                <w:rFonts w:ascii="Arial" w:hAnsi="Arial" w:cs="Arial"/>
                <w:b/>
                <w:bCs/>
                <w:color w:val="FFFFFF" w:themeColor="background1"/>
                <w:sz w:val="20"/>
                <w:szCs w:val="20"/>
              </w:rPr>
              <w:t>)</w:t>
            </w:r>
          </w:p>
        </w:tc>
        <w:tc>
          <w:tcPr>
            <w:tcW w:w="1417" w:type="dxa"/>
            <w:shd w:val="clear" w:color="auto" w:fill="4F81BD" w:themeFill="accent1"/>
            <w:vAlign w:val="center"/>
          </w:tcPr>
          <w:p w14:paraId="7EA0667C" w14:textId="68FCFEE8" w:rsidR="00442C13" w:rsidRPr="005045BF" w:rsidRDefault="00912901"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3.745.218</w:t>
            </w:r>
            <w:r w:rsidRPr="005045BF">
              <w:rPr>
                <w:rFonts w:ascii="Arial" w:hAnsi="Arial" w:cs="Arial"/>
                <w:b/>
                <w:bCs/>
                <w:color w:val="FFFFFF" w:themeColor="background1"/>
                <w:sz w:val="20"/>
                <w:szCs w:val="20"/>
              </w:rPr>
              <w:t>)</w:t>
            </w:r>
          </w:p>
        </w:tc>
        <w:tc>
          <w:tcPr>
            <w:tcW w:w="1418" w:type="dxa"/>
            <w:shd w:val="clear" w:color="auto" w:fill="4F81BD" w:themeFill="accent1"/>
            <w:vAlign w:val="center"/>
          </w:tcPr>
          <w:p w14:paraId="6A888D98" w14:textId="4A08D0BD" w:rsidR="00442C13" w:rsidRPr="005045BF" w:rsidRDefault="00912901" w:rsidP="00DB03DA">
            <w:pPr>
              <w:spacing w:before="120" w:after="120"/>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16.107.320</w:t>
            </w:r>
            <w:r w:rsidRPr="005045BF">
              <w:rPr>
                <w:rFonts w:ascii="Arial" w:hAnsi="Arial" w:cs="Arial"/>
                <w:b/>
                <w:bCs/>
                <w:color w:val="FFFFFF" w:themeColor="background1"/>
                <w:sz w:val="20"/>
                <w:szCs w:val="20"/>
              </w:rPr>
              <w:t>)</w:t>
            </w:r>
          </w:p>
        </w:tc>
        <w:tc>
          <w:tcPr>
            <w:tcW w:w="1417" w:type="dxa"/>
            <w:shd w:val="clear" w:color="auto" w:fill="4F81BD" w:themeFill="accent1"/>
            <w:vAlign w:val="center"/>
          </w:tcPr>
          <w:p w14:paraId="13ACE573" w14:textId="055F3482" w:rsidR="00442C13" w:rsidRPr="005045BF" w:rsidRDefault="00912901" w:rsidP="00DB03DA">
            <w:pPr>
              <w:spacing w:before="120" w:after="12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29.139.415</w:t>
            </w:r>
            <w:r w:rsidRPr="005045BF">
              <w:rPr>
                <w:rFonts w:ascii="Arial" w:hAnsi="Arial" w:cs="Arial"/>
                <w:b/>
                <w:bCs/>
                <w:color w:val="FFFFFF" w:themeColor="background1"/>
                <w:sz w:val="20"/>
                <w:szCs w:val="20"/>
              </w:rPr>
              <w:t>)</w:t>
            </w:r>
          </w:p>
        </w:tc>
      </w:tr>
      <w:tr w:rsidR="00442C13" w:rsidRPr="005045BF" w14:paraId="058803C8" w14:textId="77777777" w:rsidTr="00021ABF">
        <w:trPr>
          <w:cantSplit/>
          <w:trHeight w:val="559"/>
        </w:trPr>
        <w:tc>
          <w:tcPr>
            <w:cnfStyle w:val="001000000000" w:firstRow="0" w:lastRow="0" w:firstColumn="1" w:lastColumn="0" w:oddVBand="0" w:evenVBand="0" w:oddHBand="0" w:evenHBand="0" w:firstRowFirstColumn="0" w:firstRowLastColumn="0" w:lastRowFirstColumn="0" w:lastRowLastColumn="0"/>
            <w:tcW w:w="1701" w:type="dxa"/>
            <w:vMerge/>
            <w:shd w:val="clear" w:color="auto" w:fill="4F81BD" w:themeFill="accent1"/>
            <w:vAlign w:val="center"/>
            <w:hideMark/>
          </w:tcPr>
          <w:p w14:paraId="5B88B508" w14:textId="77777777" w:rsidR="00442C13" w:rsidRPr="005045BF" w:rsidRDefault="00442C13" w:rsidP="00DB03DA">
            <w:pPr>
              <w:spacing w:before="120" w:after="120"/>
              <w:rPr>
                <w:rFonts w:ascii="Arial" w:hAnsi="Arial" w:cs="Arial"/>
                <w:color w:val="FFFFFF" w:themeColor="background1"/>
                <w:sz w:val="20"/>
                <w:szCs w:val="20"/>
              </w:rPr>
            </w:pPr>
          </w:p>
        </w:tc>
        <w:tc>
          <w:tcPr>
            <w:tcW w:w="2268" w:type="dxa"/>
            <w:gridSpan w:val="2"/>
            <w:shd w:val="clear" w:color="auto" w:fill="4F81BD" w:themeFill="accent1"/>
            <w:vAlign w:val="center"/>
            <w:hideMark/>
          </w:tcPr>
          <w:p w14:paraId="2695D4CA" w14:textId="77777777" w:rsidR="00442C13" w:rsidRPr="005045BF" w:rsidRDefault="00442C13"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276" w:type="dxa"/>
            <w:shd w:val="clear" w:color="auto" w:fill="4F81BD" w:themeFill="accent1"/>
            <w:vAlign w:val="center"/>
          </w:tcPr>
          <w:p w14:paraId="5D111DE7" w14:textId="3FBC31A8" w:rsidR="00442C13" w:rsidRPr="005045BF" w:rsidRDefault="00912901"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10%</w:t>
            </w:r>
            <w:r w:rsidRPr="005045BF">
              <w:rPr>
                <w:rFonts w:ascii="Arial" w:hAnsi="Arial" w:cs="Arial"/>
                <w:b/>
                <w:bCs/>
                <w:color w:val="FFFFFF" w:themeColor="background1"/>
                <w:sz w:val="20"/>
                <w:szCs w:val="20"/>
              </w:rPr>
              <w:t>)</w:t>
            </w:r>
          </w:p>
        </w:tc>
        <w:tc>
          <w:tcPr>
            <w:tcW w:w="1417" w:type="dxa"/>
            <w:shd w:val="clear" w:color="auto" w:fill="4F81BD" w:themeFill="accent1"/>
            <w:vAlign w:val="center"/>
          </w:tcPr>
          <w:p w14:paraId="74B4FC8F" w14:textId="5D56C42D" w:rsidR="00442C13" w:rsidRPr="005045BF" w:rsidRDefault="00912901"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4%</w:t>
            </w:r>
            <w:r w:rsidRPr="005045BF">
              <w:rPr>
                <w:rFonts w:ascii="Arial" w:hAnsi="Arial" w:cs="Arial"/>
                <w:b/>
                <w:bCs/>
                <w:color w:val="FFFFFF" w:themeColor="background1"/>
                <w:sz w:val="20"/>
                <w:szCs w:val="20"/>
              </w:rPr>
              <w:t>)</w:t>
            </w:r>
          </w:p>
        </w:tc>
        <w:tc>
          <w:tcPr>
            <w:tcW w:w="1418" w:type="dxa"/>
            <w:shd w:val="clear" w:color="auto" w:fill="4F81BD" w:themeFill="accent1"/>
            <w:vAlign w:val="center"/>
          </w:tcPr>
          <w:p w14:paraId="5E49EB64" w14:textId="0970E49F" w:rsidR="00442C13" w:rsidRPr="005045BF" w:rsidRDefault="00912901"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16%</w:t>
            </w:r>
            <w:r w:rsidRPr="005045BF">
              <w:rPr>
                <w:rFonts w:ascii="Arial" w:hAnsi="Arial" w:cs="Arial"/>
                <w:b/>
                <w:bCs/>
                <w:color w:val="FFFFFF" w:themeColor="background1"/>
                <w:sz w:val="20"/>
                <w:szCs w:val="20"/>
              </w:rPr>
              <w:t>)</w:t>
            </w:r>
          </w:p>
        </w:tc>
        <w:tc>
          <w:tcPr>
            <w:tcW w:w="1417" w:type="dxa"/>
            <w:shd w:val="clear" w:color="auto" w:fill="4F81BD" w:themeFill="accent1"/>
            <w:vAlign w:val="center"/>
          </w:tcPr>
          <w:p w14:paraId="54D83577" w14:textId="531779F4" w:rsidR="00442C13" w:rsidRPr="005045BF" w:rsidRDefault="00912901" w:rsidP="00DB03D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r w:rsidR="00442C13" w:rsidRPr="005045BF">
              <w:rPr>
                <w:rFonts w:ascii="Arial" w:hAnsi="Arial" w:cs="Arial"/>
                <w:b/>
                <w:bCs/>
                <w:color w:val="FFFFFF" w:themeColor="background1"/>
                <w:sz w:val="20"/>
                <w:szCs w:val="20"/>
              </w:rPr>
              <w:t>10%</w:t>
            </w:r>
            <w:r w:rsidRPr="005045BF">
              <w:rPr>
                <w:rFonts w:ascii="Arial" w:hAnsi="Arial" w:cs="Arial"/>
                <w:b/>
                <w:bCs/>
                <w:color w:val="FFFFFF" w:themeColor="background1"/>
                <w:sz w:val="20"/>
                <w:szCs w:val="20"/>
              </w:rPr>
              <w:t>)</w:t>
            </w:r>
          </w:p>
        </w:tc>
      </w:tr>
    </w:tbl>
    <w:p w14:paraId="2EEFCBC5" w14:textId="76BE1CA6" w:rsidR="008C4809" w:rsidRPr="005045BF" w:rsidRDefault="008C4809" w:rsidP="00912901">
      <w:pPr>
        <w:pStyle w:val="Prrafodelista"/>
        <w:ind w:left="0" w:firstLine="708"/>
        <w:contextualSpacing w:val="0"/>
        <w:jc w:val="left"/>
      </w:pPr>
    </w:p>
    <w:p w14:paraId="5A6D32E9" w14:textId="77777777" w:rsidR="00C2778B" w:rsidRPr="005045BF" w:rsidRDefault="00C2778B" w:rsidP="00C2778B">
      <w:pPr>
        <w:jc w:val="both"/>
        <w:rPr>
          <w:rFonts w:ascii="Arial" w:hAnsi="Arial" w:cs="Arial"/>
          <w:b/>
          <w:color w:val="000000" w:themeColor="text1"/>
          <w:sz w:val="22"/>
          <w:szCs w:val="22"/>
        </w:rPr>
      </w:pPr>
      <w:r w:rsidRPr="005045BF">
        <w:rPr>
          <w:rFonts w:ascii="Arial" w:hAnsi="Arial" w:cs="Arial"/>
          <w:color w:val="000000"/>
          <w:sz w:val="22"/>
          <w:szCs w:val="22"/>
        </w:rPr>
        <w:t xml:space="preserve">De forma global, se observó una </w:t>
      </w:r>
      <w:r w:rsidRPr="005045BF">
        <w:rPr>
          <w:rFonts w:ascii="Arial" w:hAnsi="Arial" w:cs="Arial"/>
          <w:b/>
          <w:bCs/>
          <w:color w:val="000000"/>
          <w:sz w:val="22"/>
          <w:szCs w:val="22"/>
        </w:rPr>
        <w:t>disminución</w:t>
      </w:r>
      <w:r w:rsidRPr="005045BF">
        <w:rPr>
          <w:rFonts w:ascii="Arial" w:hAnsi="Arial" w:cs="Arial"/>
          <w:color w:val="000000"/>
          <w:sz w:val="22"/>
          <w:szCs w:val="22"/>
        </w:rPr>
        <w:t xml:space="preserve"> del 14 % el en consumo de kilovatios, representado un ahorro de 154.531 Kw/h. De igual forma, el valor del gasto facturado se </w:t>
      </w:r>
      <w:r w:rsidRPr="005045BF">
        <w:rPr>
          <w:rFonts w:ascii="Arial" w:hAnsi="Arial" w:cs="Arial"/>
          <w:b/>
          <w:bCs/>
          <w:color w:val="000000"/>
          <w:sz w:val="22"/>
          <w:szCs w:val="22"/>
        </w:rPr>
        <w:t>redujo</w:t>
      </w:r>
      <w:r w:rsidRPr="005045BF">
        <w:rPr>
          <w:rFonts w:ascii="Arial" w:hAnsi="Arial" w:cs="Arial"/>
          <w:color w:val="000000"/>
          <w:sz w:val="22"/>
          <w:szCs w:val="22"/>
        </w:rPr>
        <w:t xml:space="preserve"> en $ 29.139.415 equivalente a un ahorro de 10% para el primer trimestre de 2020 -2019.  </w:t>
      </w:r>
    </w:p>
    <w:p w14:paraId="66C28CF1" w14:textId="77777777" w:rsidR="00C2778B" w:rsidRPr="005045BF" w:rsidRDefault="00C2778B" w:rsidP="004245AB">
      <w:pPr>
        <w:pStyle w:val="Prrafodelista"/>
        <w:ind w:left="0"/>
        <w:contextualSpacing w:val="0"/>
        <w:rPr>
          <w:rFonts w:ascii="Arial" w:hAnsi="Arial" w:cs="Arial"/>
          <w:sz w:val="22"/>
          <w:szCs w:val="22"/>
        </w:rPr>
      </w:pPr>
    </w:p>
    <w:p w14:paraId="765DF7E6" w14:textId="0C9E2A2E" w:rsidR="00433D60" w:rsidRPr="005045BF" w:rsidRDefault="00433D60" w:rsidP="004245AB">
      <w:pPr>
        <w:pStyle w:val="Prrafodelista"/>
        <w:ind w:left="0"/>
        <w:contextualSpacing w:val="0"/>
        <w:rPr>
          <w:rFonts w:ascii="Arial" w:hAnsi="Arial" w:cs="Arial"/>
          <w:sz w:val="22"/>
          <w:szCs w:val="22"/>
        </w:rPr>
      </w:pPr>
      <w:r w:rsidRPr="005045BF">
        <w:rPr>
          <w:rFonts w:ascii="Arial" w:hAnsi="Arial" w:cs="Arial"/>
          <w:sz w:val="22"/>
          <w:szCs w:val="22"/>
        </w:rPr>
        <w:t xml:space="preserve">El comportamiento tanto del consumo como el </w:t>
      </w:r>
      <w:r w:rsidR="004245AB" w:rsidRPr="005045BF">
        <w:rPr>
          <w:rFonts w:ascii="Arial" w:hAnsi="Arial" w:cs="Arial"/>
          <w:sz w:val="22"/>
          <w:szCs w:val="22"/>
        </w:rPr>
        <w:t xml:space="preserve">gasto de energía durante el primer trimestre de 2020 comparado con el mismo periodo de 2019 se presenta en la siguiente </w:t>
      </w:r>
      <w:r w:rsidR="008B0624" w:rsidRPr="005045BF">
        <w:rPr>
          <w:rFonts w:ascii="Arial" w:hAnsi="Arial" w:cs="Arial"/>
          <w:sz w:val="22"/>
          <w:szCs w:val="22"/>
        </w:rPr>
        <w:t>gráfica, en donde se percibe que, frente al consumo medido en kilovatios la tendencia fue decreciente</w:t>
      </w:r>
      <w:r w:rsidR="00162BA3" w:rsidRPr="005045BF">
        <w:rPr>
          <w:rFonts w:ascii="Arial" w:hAnsi="Arial" w:cs="Arial"/>
          <w:sz w:val="22"/>
          <w:szCs w:val="22"/>
        </w:rPr>
        <w:t xml:space="preserve"> y </w:t>
      </w:r>
      <w:r w:rsidR="00DB03DA">
        <w:rPr>
          <w:rFonts w:ascii="Arial" w:hAnsi="Arial" w:cs="Arial"/>
          <w:sz w:val="22"/>
          <w:szCs w:val="22"/>
        </w:rPr>
        <w:t xml:space="preserve">con un incremento del </w:t>
      </w:r>
      <w:r w:rsidR="00162BA3" w:rsidRPr="005045BF">
        <w:rPr>
          <w:rFonts w:ascii="Arial" w:hAnsi="Arial" w:cs="Arial"/>
          <w:sz w:val="22"/>
          <w:szCs w:val="22"/>
        </w:rPr>
        <w:t xml:space="preserve"> el ahorro </w:t>
      </w:r>
      <w:r w:rsidR="00DB03DA">
        <w:rPr>
          <w:rFonts w:ascii="Arial" w:hAnsi="Arial" w:cs="Arial"/>
          <w:sz w:val="22"/>
          <w:szCs w:val="22"/>
        </w:rPr>
        <w:t xml:space="preserve">para cada </w:t>
      </w:r>
      <w:r w:rsidR="008B0624" w:rsidRPr="005045BF">
        <w:rPr>
          <w:rFonts w:ascii="Arial" w:hAnsi="Arial" w:cs="Arial"/>
          <w:sz w:val="22"/>
          <w:szCs w:val="22"/>
        </w:rPr>
        <w:t xml:space="preserve">periodo analizado. Para el concepto del gasto de energía, si bien </w:t>
      </w:r>
      <w:r w:rsidR="00162BA3" w:rsidRPr="005045BF">
        <w:rPr>
          <w:rFonts w:ascii="Arial" w:hAnsi="Arial" w:cs="Arial"/>
          <w:sz w:val="22"/>
          <w:szCs w:val="22"/>
        </w:rPr>
        <w:t xml:space="preserve">para </w:t>
      </w:r>
      <w:r w:rsidR="008B0624" w:rsidRPr="005045BF">
        <w:rPr>
          <w:rFonts w:ascii="Arial" w:hAnsi="Arial" w:cs="Arial"/>
          <w:sz w:val="22"/>
          <w:szCs w:val="22"/>
        </w:rPr>
        <w:t>los</w:t>
      </w:r>
      <w:r w:rsidR="00DD01D5" w:rsidRPr="005045BF">
        <w:rPr>
          <w:rFonts w:ascii="Arial" w:hAnsi="Arial" w:cs="Arial"/>
          <w:sz w:val="22"/>
          <w:szCs w:val="22"/>
        </w:rPr>
        <w:t xml:space="preserve"> </w:t>
      </w:r>
      <w:r w:rsidR="00162BA3" w:rsidRPr="005045BF">
        <w:rPr>
          <w:rFonts w:ascii="Arial" w:hAnsi="Arial" w:cs="Arial"/>
          <w:sz w:val="22"/>
          <w:szCs w:val="22"/>
        </w:rPr>
        <w:t xml:space="preserve">meses </w:t>
      </w:r>
      <w:r w:rsidR="00DD01D5" w:rsidRPr="005045BF">
        <w:rPr>
          <w:rFonts w:ascii="Arial" w:hAnsi="Arial" w:cs="Arial"/>
          <w:sz w:val="22"/>
          <w:szCs w:val="22"/>
        </w:rPr>
        <w:t xml:space="preserve">que </w:t>
      </w:r>
      <w:r w:rsidR="008B0624" w:rsidRPr="005045BF">
        <w:rPr>
          <w:rFonts w:ascii="Arial" w:hAnsi="Arial" w:cs="Arial"/>
          <w:sz w:val="22"/>
          <w:szCs w:val="22"/>
        </w:rPr>
        <w:t xml:space="preserve">conforman el primer trimestre </w:t>
      </w:r>
      <w:r w:rsidR="00162BA3" w:rsidRPr="005045BF">
        <w:rPr>
          <w:rFonts w:ascii="Arial" w:hAnsi="Arial" w:cs="Arial"/>
          <w:sz w:val="22"/>
          <w:szCs w:val="22"/>
        </w:rPr>
        <w:t xml:space="preserve">2020-2019 </w:t>
      </w:r>
      <w:r w:rsidR="008B0624" w:rsidRPr="005045BF">
        <w:rPr>
          <w:rFonts w:ascii="Arial" w:hAnsi="Arial" w:cs="Arial"/>
          <w:sz w:val="22"/>
          <w:szCs w:val="22"/>
        </w:rPr>
        <w:t xml:space="preserve">se observaron variaciones negativas, </w:t>
      </w:r>
      <w:r w:rsidR="00DD01D5" w:rsidRPr="005045BF">
        <w:rPr>
          <w:rFonts w:ascii="Arial" w:hAnsi="Arial" w:cs="Arial"/>
          <w:sz w:val="22"/>
          <w:szCs w:val="22"/>
        </w:rPr>
        <w:t xml:space="preserve">en el mes de febrero </w:t>
      </w:r>
      <w:r w:rsidR="00162BA3" w:rsidRPr="005045BF">
        <w:rPr>
          <w:rFonts w:ascii="Arial" w:hAnsi="Arial" w:cs="Arial"/>
          <w:sz w:val="22"/>
          <w:szCs w:val="22"/>
        </w:rPr>
        <w:t xml:space="preserve">comparado con los meses de enero y marzo, </w:t>
      </w:r>
      <w:r w:rsidR="0086436A" w:rsidRPr="005045BF">
        <w:rPr>
          <w:rFonts w:ascii="Arial" w:hAnsi="Arial" w:cs="Arial"/>
          <w:sz w:val="22"/>
          <w:szCs w:val="22"/>
        </w:rPr>
        <w:t xml:space="preserve">representó el mes con </w:t>
      </w:r>
      <w:r w:rsidR="00162BA3" w:rsidRPr="005045BF">
        <w:rPr>
          <w:rFonts w:ascii="Arial" w:hAnsi="Arial" w:cs="Arial"/>
          <w:sz w:val="22"/>
          <w:szCs w:val="22"/>
        </w:rPr>
        <w:t xml:space="preserve">menor disminución del periodo verificado. </w:t>
      </w:r>
    </w:p>
    <w:p w14:paraId="6AE3E23F" w14:textId="436B725D" w:rsidR="00433D60" w:rsidRPr="005045BF" w:rsidRDefault="00433D60" w:rsidP="00912901">
      <w:pPr>
        <w:pStyle w:val="Prrafodelista"/>
        <w:ind w:left="0" w:firstLine="708"/>
        <w:contextualSpacing w:val="0"/>
        <w:jc w:val="left"/>
      </w:pPr>
    </w:p>
    <w:p w14:paraId="0C0F2DC9" w14:textId="62EAB77C" w:rsidR="00433D60" w:rsidRPr="005045BF" w:rsidRDefault="00433D60" w:rsidP="00685C14">
      <w:pPr>
        <w:pStyle w:val="Prrafodelista"/>
        <w:ind w:left="0"/>
        <w:contextualSpacing w:val="0"/>
        <w:jc w:val="left"/>
      </w:pPr>
      <w:r w:rsidRPr="008425C4">
        <w:rPr>
          <w:rFonts w:ascii="Arial" w:hAnsi="Arial" w:cs="Arial"/>
          <w:noProof/>
        </w:rPr>
        <w:drawing>
          <wp:inline distT="0" distB="0" distL="0" distR="0" wp14:anchorId="051166B3" wp14:editId="1D292D8D">
            <wp:extent cx="6105525" cy="2714625"/>
            <wp:effectExtent l="0" t="0" r="0" b="0"/>
            <wp:docPr id="24" name="Gráfico 24">
              <a:extLst xmlns:a="http://schemas.openxmlformats.org/drawingml/2006/main">
                <a:ext uri="{FF2B5EF4-FFF2-40B4-BE49-F238E27FC236}">
                  <a16:creationId xmlns:a16="http://schemas.microsoft.com/office/drawing/2014/main" id="{5564948E-3659-4C72-93F7-D642A9C0FE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14:paraId="5CE3D799" w14:textId="2A470C62" w:rsidR="007863CC" w:rsidRPr="005045BF" w:rsidRDefault="007863CC" w:rsidP="007863CC">
      <w:pPr>
        <w:pStyle w:val="Prrafodelista"/>
        <w:ind w:left="0"/>
        <w:contextualSpacing w:val="0"/>
        <w:jc w:val="center"/>
        <w:rPr>
          <w:rFonts w:ascii="Arial" w:hAnsi="Arial" w:cs="Arial"/>
          <w:color w:val="000000"/>
          <w:sz w:val="22"/>
          <w:szCs w:val="22"/>
          <w:highlight w:val="yellow"/>
        </w:rPr>
      </w:pPr>
    </w:p>
    <w:p w14:paraId="02B2C91F" w14:textId="77777777" w:rsidR="00C2778B" w:rsidRPr="005045BF" w:rsidRDefault="00C2778B" w:rsidP="007863CC">
      <w:pPr>
        <w:pStyle w:val="Prrafodelista"/>
        <w:ind w:left="0"/>
        <w:contextualSpacing w:val="0"/>
        <w:jc w:val="center"/>
        <w:rPr>
          <w:rFonts w:ascii="Arial" w:hAnsi="Arial" w:cs="Arial"/>
          <w:color w:val="000000"/>
          <w:sz w:val="22"/>
          <w:szCs w:val="22"/>
          <w:highlight w:val="yellow"/>
        </w:rPr>
      </w:pPr>
    </w:p>
    <w:p w14:paraId="6FCD2A0F" w14:textId="6EF925EB" w:rsidR="00847050" w:rsidRPr="003E5934" w:rsidRDefault="00E649A3" w:rsidP="003E5934">
      <w:pPr>
        <w:pStyle w:val="Prrafodelista"/>
        <w:numPr>
          <w:ilvl w:val="2"/>
          <w:numId w:val="48"/>
        </w:numPr>
        <w:rPr>
          <w:rFonts w:ascii="Arial" w:hAnsi="Arial" w:cs="Arial"/>
          <w:b/>
          <w:color w:val="000000"/>
          <w:sz w:val="22"/>
          <w:szCs w:val="22"/>
        </w:rPr>
      </w:pPr>
      <w:r w:rsidRPr="003E5934">
        <w:rPr>
          <w:rFonts w:ascii="Arial" w:hAnsi="Arial" w:cs="Arial"/>
          <w:b/>
          <w:color w:val="000000"/>
          <w:sz w:val="22"/>
          <w:szCs w:val="22"/>
        </w:rPr>
        <w:t>Sede Casas de Santa B</w:t>
      </w:r>
      <w:r w:rsidR="0031032E" w:rsidRPr="003E5934">
        <w:rPr>
          <w:rFonts w:ascii="Arial" w:hAnsi="Arial" w:cs="Arial"/>
          <w:b/>
          <w:color w:val="000000"/>
          <w:sz w:val="22"/>
          <w:szCs w:val="22"/>
        </w:rPr>
        <w:t>á</w:t>
      </w:r>
      <w:r w:rsidRPr="003E5934">
        <w:rPr>
          <w:rFonts w:ascii="Arial" w:hAnsi="Arial" w:cs="Arial"/>
          <w:b/>
          <w:color w:val="000000"/>
          <w:sz w:val="22"/>
          <w:szCs w:val="22"/>
        </w:rPr>
        <w:t xml:space="preserve">rbara </w:t>
      </w:r>
    </w:p>
    <w:p w14:paraId="44A2505A" w14:textId="77777777" w:rsidR="00B97B85" w:rsidRPr="005045BF" w:rsidRDefault="00B97B85" w:rsidP="004712F1">
      <w:pPr>
        <w:jc w:val="both"/>
        <w:rPr>
          <w:rFonts w:ascii="Arial" w:hAnsi="Arial" w:cs="Arial"/>
          <w:color w:val="000000"/>
          <w:sz w:val="22"/>
          <w:szCs w:val="22"/>
          <w:highlight w:val="yellow"/>
        </w:rPr>
      </w:pPr>
    </w:p>
    <w:p w14:paraId="399D9783" w14:textId="57073E4B" w:rsidR="0077636F" w:rsidRPr="005045BF" w:rsidRDefault="00C34573" w:rsidP="00463E91">
      <w:pPr>
        <w:jc w:val="both"/>
        <w:rPr>
          <w:rFonts w:ascii="Arial" w:hAnsi="Arial" w:cs="Arial"/>
          <w:sz w:val="22"/>
          <w:szCs w:val="22"/>
        </w:rPr>
      </w:pPr>
      <w:r w:rsidRPr="005045BF">
        <w:rPr>
          <w:rFonts w:ascii="Arial" w:hAnsi="Arial" w:cs="Arial"/>
          <w:color w:val="000000"/>
          <w:sz w:val="22"/>
          <w:szCs w:val="22"/>
        </w:rPr>
        <w:t xml:space="preserve">Para la sede de Casas de Santa Bárbara, </w:t>
      </w:r>
      <w:r w:rsidRPr="005045BF">
        <w:rPr>
          <w:rFonts w:ascii="Arial" w:hAnsi="Arial" w:cs="Arial"/>
          <w:sz w:val="22"/>
          <w:szCs w:val="22"/>
        </w:rPr>
        <w:t xml:space="preserve">durante el </w:t>
      </w:r>
      <w:r w:rsidR="009B2A65" w:rsidRPr="005045BF">
        <w:rPr>
          <w:rFonts w:ascii="Arial" w:hAnsi="Arial" w:cs="Arial"/>
          <w:sz w:val="22"/>
          <w:szCs w:val="22"/>
        </w:rPr>
        <w:t xml:space="preserve">primer </w:t>
      </w:r>
      <w:r w:rsidR="00617A62" w:rsidRPr="005045BF">
        <w:rPr>
          <w:rFonts w:ascii="Arial" w:hAnsi="Arial" w:cs="Arial"/>
          <w:sz w:val="22"/>
          <w:szCs w:val="22"/>
        </w:rPr>
        <w:t>t</w:t>
      </w:r>
      <w:r w:rsidRPr="005045BF">
        <w:rPr>
          <w:rFonts w:ascii="Arial" w:hAnsi="Arial" w:cs="Arial"/>
          <w:sz w:val="22"/>
          <w:szCs w:val="22"/>
        </w:rPr>
        <w:t>rimestre de 20</w:t>
      </w:r>
      <w:r w:rsidR="009B2A65" w:rsidRPr="005045BF">
        <w:rPr>
          <w:rFonts w:ascii="Arial" w:hAnsi="Arial" w:cs="Arial"/>
          <w:sz w:val="22"/>
          <w:szCs w:val="22"/>
        </w:rPr>
        <w:t>20</w:t>
      </w:r>
      <w:r w:rsidRPr="005045BF">
        <w:rPr>
          <w:rFonts w:ascii="Arial" w:hAnsi="Arial" w:cs="Arial"/>
          <w:sz w:val="22"/>
          <w:szCs w:val="22"/>
        </w:rPr>
        <w:t xml:space="preserve"> comparado con igual</w:t>
      </w:r>
      <w:r w:rsidR="00463E91" w:rsidRPr="005045BF">
        <w:rPr>
          <w:rFonts w:ascii="Arial" w:hAnsi="Arial" w:cs="Arial"/>
          <w:sz w:val="22"/>
          <w:szCs w:val="22"/>
        </w:rPr>
        <w:t xml:space="preserve"> </w:t>
      </w:r>
      <w:r w:rsidR="00E569B6" w:rsidRPr="005045BF">
        <w:rPr>
          <w:rFonts w:ascii="Arial" w:hAnsi="Arial" w:cs="Arial"/>
          <w:sz w:val="22"/>
          <w:szCs w:val="22"/>
        </w:rPr>
        <w:t>trimestre</w:t>
      </w:r>
      <w:r w:rsidRPr="005045BF">
        <w:rPr>
          <w:rFonts w:ascii="Arial" w:hAnsi="Arial" w:cs="Arial"/>
          <w:sz w:val="22"/>
          <w:szCs w:val="22"/>
        </w:rPr>
        <w:t xml:space="preserve"> de 201</w:t>
      </w:r>
      <w:r w:rsidR="00034727" w:rsidRPr="005045BF">
        <w:rPr>
          <w:rFonts w:ascii="Arial" w:hAnsi="Arial" w:cs="Arial"/>
          <w:sz w:val="22"/>
          <w:szCs w:val="22"/>
        </w:rPr>
        <w:t>9</w:t>
      </w:r>
      <w:r w:rsidRPr="005045BF">
        <w:rPr>
          <w:rFonts w:ascii="Arial" w:hAnsi="Arial" w:cs="Arial"/>
          <w:sz w:val="22"/>
          <w:szCs w:val="22"/>
        </w:rPr>
        <w:t xml:space="preserve">, </w:t>
      </w:r>
      <w:r w:rsidR="00617A62" w:rsidRPr="005045BF">
        <w:rPr>
          <w:rFonts w:ascii="Arial" w:hAnsi="Arial" w:cs="Arial"/>
          <w:sz w:val="22"/>
          <w:szCs w:val="22"/>
        </w:rPr>
        <w:t>se present</w:t>
      </w:r>
      <w:r w:rsidR="00E569B6" w:rsidRPr="005045BF">
        <w:rPr>
          <w:rFonts w:ascii="Arial" w:hAnsi="Arial" w:cs="Arial"/>
          <w:sz w:val="22"/>
          <w:szCs w:val="22"/>
        </w:rPr>
        <w:t>ó</w:t>
      </w:r>
      <w:r w:rsidR="00BD61A1" w:rsidRPr="005045BF">
        <w:rPr>
          <w:rFonts w:ascii="Arial" w:hAnsi="Arial" w:cs="Arial"/>
          <w:sz w:val="22"/>
          <w:szCs w:val="22"/>
        </w:rPr>
        <w:t xml:space="preserve"> para el periodo de </w:t>
      </w:r>
      <w:r w:rsidR="00057D5E" w:rsidRPr="005045BF">
        <w:rPr>
          <w:rFonts w:ascii="Arial" w:hAnsi="Arial" w:cs="Arial"/>
          <w:sz w:val="22"/>
          <w:szCs w:val="22"/>
        </w:rPr>
        <w:t xml:space="preserve">enero </w:t>
      </w:r>
      <w:r w:rsidR="00E569B6" w:rsidRPr="005045BF">
        <w:rPr>
          <w:rFonts w:ascii="Arial" w:hAnsi="Arial" w:cs="Arial"/>
          <w:sz w:val="22"/>
          <w:szCs w:val="22"/>
        </w:rPr>
        <w:t xml:space="preserve">un </w:t>
      </w:r>
      <w:r w:rsidR="00E569B6" w:rsidRPr="005045BF">
        <w:rPr>
          <w:rFonts w:ascii="Arial" w:hAnsi="Arial" w:cs="Arial"/>
          <w:b/>
          <w:bCs/>
          <w:sz w:val="22"/>
          <w:szCs w:val="22"/>
        </w:rPr>
        <w:t>incremento</w:t>
      </w:r>
      <w:r w:rsidR="00E569B6" w:rsidRPr="005045BF">
        <w:rPr>
          <w:rFonts w:ascii="Arial" w:hAnsi="Arial" w:cs="Arial"/>
          <w:sz w:val="22"/>
          <w:szCs w:val="22"/>
        </w:rPr>
        <w:t xml:space="preserve"> del </w:t>
      </w:r>
      <w:r w:rsidR="00057D5E" w:rsidRPr="005045BF">
        <w:rPr>
          <w:rFonts w:ascii="Arial" w:hAnsi="Arial" w:cs="Arial"/>
          <w:sz w:val="22"/>
          <w:szCs w:val="22"/>
        </w:rPr>
        <w:t>2</w:t>
      </w:r>
      <w:r w:rsidR="00E569B6" w:rsidRPr="005045BF">
        <w:rPr>
          <w:rFonts w:ascii="Arial" w:hAnsi="Arial" w:cs="Arial"/>
          <w:sz w:val="22"/>
          <w:szCs w:val="22"/>
        </w:rPr>
        <w:t xml:space="preserve">% en el consumo </w:t>
      </w:r>
      <w:r w:rsidR="00BD61A1" w:rsidRPr="005045BF">
        <w:rPr>
          <w:rFonts w:ascii="Arial" w:hAnsi="Arial" w:cs="Arial"/>
          <w:sz w:val="22"/>
          <w:szCs w:val="22"/>
        </w:rPr>
        <w:t xml:space="preserve">de </w:t>
      </w:r>
      <w:r w:rsidR="00E569B6" w:rsidRPr="005045BF">
        <w:rPr>
          <w:rFonts w:ascii="Arial" w:hAnsi="Arial" w:cs="Arial"/>
          <w:sz w:val="22"/>
          <w:szCs w:val="22"/>
        </w:rPr>
        <w:t xml:space="preserve">Kw/h, sin embargo, en lo referente al valor del gasto de energía se observó una </w:t>
      </w:r>
      <w:r w:rsidR="00E569B6" w:rsidRPr="005045BF">
        <w:rPr>
          <w:rFonts w:ascii="Arial" w:hAnsi="Arial" w:cs="Arial"/>
          <w:b/>
          <w:bCs/>
          <w:sz w:val="22"/>
          <w:szCs w:val="22"/>
        </w:rPr>
        <w:t>reducción</w:t>
      </w:r>
      <w:r w:rsidR="00E569B6" w:rsidRPr="005045BF">
        <w:rPr>
          <w:rFonts w:ascii="Arial" w:hAnsi="Arial" w:cs="Arial"/>
          <w:sz w:val="22"/>
          <w:szCs w:val="22"/>
        </w:rPr>
        <w:t xml:space="preserve"> </w:t>
      </w:r>
      <w:r w:rsidR="00057D5E" w:rsidRPr="005045BF">
        <w:rPr>
          <w:rFonts w:ascii="Arial" w:hAnsi="Arial" w:cs="Arial"/>
          <w:sz w:val="22"/>
          <w:szCs w:val="22"/>
        </w:rPr>
        <w:t xml:space="preserve">del 2%. </w:t>
      </w:r>
      <w:r w:rsidR="00E569B6" w:rsidRPr="005045BF">
        <w:rPr>
          <w:rFonts w:ascii="Arial" w:hAnsi="Arial" w:cs="Arial"/>
          <w:sz w:val="22"/>
          <w:szCs w:val="22"/>
        </w:rPr>
        <w:t xml:space="preserve"> Para los periodos de </w:t>
      </w:r>
      <w:r w:rsidR="001C4A36" w:rsidRPr="005045BF">
        <w:rPr>
          <w:rFonts w:ascii="Arial" w:hAnsi="Arial" w:cs="Arial"/>
          <w:sz w:val="22"/>
          <w:szCs w:val="22"/>
        </w:rPr>
        <w:t xml:space="preserve">febrero </w:t>
      </w:r>
      <w:r w:rsidR="00E569B6" w:rsidRPr="005045BF">
        <w:rPr>
          <w:rFonts w:ascii="Arial" w:hAnsi="Arial" w:cs="Arial"/>
          <w:sz w:val="22"/>
          <w:szCs w:val="22"/>
        </w:rPr>
        <w:t xml:space="preserve">y </w:t>
      </w:r>
      <w:r w:rsidR="001C4A36" w:rsidRPr="005045BF">
        <w:rPr>
          <w:rFonts w:ascii="Arial" w:hAnsi="Arial" w:cs="Arial"/>
          <w:sz w:val="22"/>
          <w:szCs w:val="22"/>
        </w:rPr>
        <w:t xml:space="preserve">marzo </w:t>
      </w:r>
      <w:r w:rsidR="00E569B6" w:rsidRPr="005045BF">
        <w:rPr>
          <w:rFonts w:ascii="Arial" w:hAnsi="Arial" w:cs="Arial"/>
          <w:sz w:val="22"/>
          <w:szCs w:val="22"/>
        </w:rPr>
        <w:t xml:space="preserve">se </w:t>
      </w:r>
      <w:r w:rsidR="00F2063A" w:rsidRPr="005045BF">
        <w:rPr>
          <w:rFonts w:ascii="Arial" w:hAnsi="Arial" w:cs="Arial"/>
          <w:sz w:val="22"/>
          <w:szCs w:val="22"/>
        </w:rPr>
        <w:t xml:space="preserve">observaron </w:t>
      </w:r>
      <w:r w:rsidR="00E569B6" w:rsidRPr="005045BF">
        <w:rPr>
          <w:rFonts w:ascii="Arial" w:hAnsi="Arial" w:cs="Arial"/>
          <w:b/>
          <w:bCs/>
          <w:sz w:val="22"/>
          <w:szCs w:val="22"/>
        </w:rPr>
        <w:t>variaciones negativas</w:t>
      </w:r>
      <w:r w:rsidR="00E569B6" w:rsidRPr="005045BF">
        <w:rPr>
          <w:rFonts w:ascii="Arial" w:hAnsi="Arial" w:cs="Arial"/>
          <w:sz w:val="22"/>
          <w:szCs w:val="22"/>
        </w:rPr>
        <w:t xml:space="preserve"> en las dos variables analizadas [ consumo de Kw/h y valor del gasto]</w:t>
      </w:r>
      <w:r w:rsidR="00037CF4" w:rsidRPr="005045BF">
        <w:rPr>
          <w:rFonts w:ascii="Arial" w:hAnsi="Arial" w:cs="Arial"/>
          <w:sz w:val="22"/>
          <w:szCs w:val="22"/>
        </w:rPr>
        <w:t>.</w:t>
      </w:r>
      <w:r w:rsidR="000673AD" w:rsidRPr="005045BF">
        <w:rPr>
          <w:rFonts w:ascii="Arial" w:hAnsi="Arial" w:cs="Arial"/>
          <w:sz w:val="22"/>
          <w:szCs w:val="22"/>
        </w:rPr>
        <w:t xml:space="preserve"> </w:t>
      </w:r>
    </w:p>
    <w:tbl>
      <w:tblPr>
        <w:tblStyle w:val="Tablaconcuadrcula1clara-nfasis1"/>
        <w:tblW w:w="9634" w:type="dxa"/>
        <w:tblLayout w:type="fixed"/>
        <w:tblLook w:val="04A0" w:firstRow="1" w:lastRow="0" w:firstColumn="1" w:lastColumn="0" w:noHBand="0" w:noVBand="1"/>
      </w:tblPr>
      <w:tblGrid>
        <w:gridCol w:w="1417"/>
        <w:gridCol w:w="1555"/>
        <w:gridCol w:w="1134"/>
        <w:gridCol w:w="1280"/>
        <w:gridCol w:w="1276"/>
        <w:gridCol w:w="1417"/>
        <w:gridCol w:w="1555"/>
      </w:tblGrid>
      <w:tr w:rsidR="005236C0" w:rsidRPr="005045BF" w14:paraId="15A32391" w14:textId="77777777" w:rsidTr="00650317">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9634" w:type="dxa"/>
            <w:gridSpan w:val="7"/>
            <w:shd w:val="clear" w:color="auto" w:fill="4F81BD" w:themeFill="accent1"/>
            <w:vAlign w:val="center"/>
            <w:hideMark/>
          </w:tcPr>
          <w:p w14:paraId="64150664" w14:textId="019F0F81" w:rsidR="005236C0" w:rsidRPr="005045BF" w:rsidRDefault="00F94E5B" w:rsidP="00187F25">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lastRenderedPageBreak/>
              <w:t>I Trimestre de 2020 -2019</w:t>
            </w:r>
          </w:p>
        </w:tc>
      </w:tr>
      <w:tr w:rsidR="00F94E5B" w:rsidRPr="005045BF" w14:paraId="23AC692A"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shd w:val="clear" w:color="auto" w:fill="4F81BD" w:themeFill="accent1"/>
            <w:vAlign w:val="center"/>
            <w:hideMark/>
          </w:tcPr>
          <w:p w14:paraId="2E98211B" w14:textId="77777777" w:rsidR="00F94E5B" w:rsidRPr="005045BF" w:rsidRDefault="00F94E5B" w:rsidP="00650317">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Sede</w:t>
            </w:r>
          </w:p>
        </w:tc>
        <w:tc>
          <w:tcPr>
            <w:tcW w:w="1555" w:type="dxa"/>
            <w:shd w:val="clear" w:color="auto" w:fill="4F81BD" w:themeFill="accent1"/>
            <w:vAlign w:val="center"/>
            <w:hideMark/>
          </w:tcPr>
          <w:p w14:paraId="1D3AE1D3" w14:textId="77777777"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Concepto</w:t>
            </w:r>
          </w:p>
        </w:tc>
        <w:tc>
          <w:tcPr>
            <w:tcW w:w="1134" w:type="dxa"/>
            <w:shd w:val="clear" w:color="auto" w:fill="4F81BD" w:themeFill="accent1"/>
            <w:vAlign w:val="center"/>
            <w:hideMark/>
          </w:tcPr>
          <w:p w14:paraId="76F62D65" w14:textId="77777777"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Vigencia</w:t>
            </w:r>
          </w:p>
        </w:tc>
        <w:tc>
          <w:tcPr>
            <w:tcW w:w="1280" w:type="dxa"/>
            <w:shd w:val="clear" w:color="auto" w:fill="4F81BD" w:themeFill="accent1"/>
            <w:vAlign w:val="center"/>
            <w:hideMark/>
          </w:tcPr>
          <w:p w14:paraId="5D388269" w14:textId="5985A237"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Enero</w:t>
            </w:r>
          </w:p>
        </w:tc>
        <w:tc>
          <w:tcPr>
            <w:tcW w:w="1276" w:type="dxa"/>
            <w:shd w:val="clear" w:color="auto" w:fill="4F81BD" w:themeFill="accent1"/>
            <w:vAlign w:val="center"/>
            <w:hideMark/>
          </w:tcPr>
          <w:p w14:paraId="5BEFE6C3" w14:textId="662A1B6A"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Febrero</w:t>
            </w:r>
          </w:p>
        </w:tc>
        <w:tc>
          <w:tcPr>
            <w:tcW w:w="1417" w:type="dxa"/>
            <w:shd w:val="clear" w:color="auto" w:fill="4F81BD" w:themeFill="accent1"/>
            <w:vAlign w:val="center"/>
            <w:hideMark/>
          </w:tcPr>
          <w:p w14:paraId="1D74A0E8" w14:textId="2B119FC3"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Marzo</w:t>
            </w:r>
          </w:p>
        </w:tc>
        <w:tc>
          <w:tcPr>
            <w:tcW w:w="1555" w:type="dxa"/>
            <w:shd w:val="clear" w:color="auto" w:fill="4F81BD" w:themeFill="accent1"/>
            <w:vAlign w:val="center"/>
            <w:hideMark/>
          </w:tcPr>
          <w:p w14:paraId="70F2FB14" w14:textId="77777777" w:rsidR="00650317"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Total</w:t>
            </w:r>
          </w:p>
          <w:p w14:paraId="1E4DA47F" w14:textId="3F7119AE" w:rsidR="00F94E5B" w:rsidRPr="005045BF" w:rsidRDefault="00F94E5B" w:rsidP="00650317">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 I Trimestre</w:t>
            </w:r>
          </w:p>
        </w:tc>
      </w:tr>
      <w:tr w:rsidR="007022EA" w:rsidRPr="005045BF" w14:paraId="64E86738"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284B3F9C" w14:textId="77777777" w:rsidR="007022EA" w:rsidRPr="007A24F9" w:rsidRDefault="007022EA" w:rsidP="007022EA">
            <w:pPr>
              <w:spacing w:before="60" w:after="60"/>
              <w:jc w:val="center"/>
              <w:rPr>
                <w:rFonts w:ascii="Arial" w:hAnsi="Arial" w:cs="Arial"/>
                <w:color w:val="0F243E" w:themeColor="text2" w:themeShade="80"/>
                <w:sz w:val="20"/>
                <w:szCs w:val="20"/>
              </w:rPr>
            </w:pPr>
            <w:r w:rsidRPr="007A24F9">
              <w:rPr>
                <w:rFonts w:ascii="Arial" w:hAnsi="Arial" w:cs="Arial"/>
                <w:color w:val="0F243E" w:themeColor="text2" w:themeShade="80"/>
                <w:sz w:val="20"/>
                <w:szCs w:val="20"/>
              </w:rPr>
              <w:t xml:space="preserve">Casa de Santa Bárbara </w:t>
            </w:r>
          </w:p>
        </w:tc>
        <w:tc>
          <w:tcPr>
            <w:tcW w:w="1555" w:type="dxa"/>
            <w:vMerge w:val="restart"/>
            <w:vAlign w:val="center"/>
            <w:hideMark/>
          </w:tcPr>
          <w:p w14:paraId="69D404DB" w14:textId="77777777"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Consumo Energía Kw/h</w:t>
            </w:r>
          </w:p>
        </w:tc>
        <w:tc>
          <w:tcPr>
            <w:tcW w:w="1134" w:type="dxa"/>
            <w:vAlign w:val="center"/>
          </w:tcPr>
          <w:p w14:paraId="05CB46D0" w14:textId="6FC43238"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2020</w:t>
            </w:r>
          </w:p>
        </w:tc>
        <w:tc>
          <w:tcPr>
            <w:tcW w:w="1280" w:type="dxa"/>
            <w:vAlign w:val="center"/>
          </w:tcPr>
          <w:p w14:paraId="626859B3" w14:textId="1F912721"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86.000</w:t>
            </w:r>
          </w:p>
        </w:tc>
        <w:tc>
          <w:tcPr>
            <w:tcW w:w="1276" w:type="dxa"/>
            <w:vAlign w:val="center"/>
          </w:tcPr>
          <w:p w14:paraId="58461473" w14:textId="1E96EC1D"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80.000</w:t>
            </w:r>
          </w:p>
        </w:tc>
        <w:tc>
          <w:tcPr>
            <w:tcW w:w="1417" w:type="dxa"/>
            <w:vAlign w:val="center"/>
          </w:tcPr>
          <w:p w14:paraId="138B5340" w14:textId="1EECE72F"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78.918</w:t>
            </w:r>
          </w:p>
        </w:tc>
        <w:tc>
          <w:tcPr>
            <w:tcW w:w="1555" w:type="dxa"/>
            <w:vAlign w:val="center"/>
          </w:tcPr>
          <w:p w14:paraId="63057F10" w14:textId="22A6D2DC"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 xml:space="preserve">244.918 </w:t>
            </w:r>
          </w:p>
        </w:tc>
      </w:tr>
      <w:tr w:rsidR="007022EA" w:rsidRPr="005045BF" w14:paraId="4A9F7932"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42CCCA73" w14:textId="77777777" w:rsidR="007022EA" w:rsidRPr="007A24F9" w:rsidRDefault="007022EA" w:rsidP="007022EA">
            <w:pPr>
              <w:spacing w:before="60" w:after="60"/>
              <w:rPr>
                <w:rFonts w:ascii="Arial" w:hAnsi="Arial" w:cs="Arial"/>
                <w:color w:val="0F243E" w:themeColor="text2" w:themeShade="80"/>
                <w:sz w:val="20"/>
                <w:szCs w:val="20"/>
              </w:rPr>
            </w:pPr>
          </w:p>
        </w:tc>
        <w:tc>
          <w:tcPr>
            <w:tcW w:w="1555" w:type="dxa"/>
            <w:vMerge/>
            <w:vAlign w:val="center"/>
            <w:hideMark/>
          </w:tcPr>
          <w:p w14:paraId="457F8853" w14:textId="77777777" w:rsidR="007022EA" w:rsidRPr="007A24F9" w:rsidRDefault="007022EA" w:rsidP="007022E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vAlign w:val="center"/>
          </w:tcPr>
          <w:p w14:paraId="489DBD3B" w14:textId="54C77CB6"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2019</w:t>
            </w:r>
          </w:p>
        </w:tc>
        <w:tc>
          <w:tcPr>
            <w:tcW w:w="1280" w:type="dxa"/>
            <w:vAlign w:val="center"/>
          </w:tcPr>
          <w:p w14:paraId="66715B8B" w14:textId="6910E0BE"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84.000</w:t>
            </w:r>
          </w:p>
        </w:tc>
        <w:tc>
          <w:tcPr>
            <w:tcW w:w="1276" w:type="dxa"/>
            <w:vAlign w:val="center"/>
          </w:tcPr>
          <w:p w14:paraId="25D1DEE8" w14:textId="478AD003"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86.000</w:t>
            </w:r>
          </w:p>
        </w:tc>
        <w:tc>
          <w:tcPr>
            <w:tcW w:w="1417" w:type="dxa"/>
            <w:vAlign w:val="center"/>
          </w:tcPr>
          <w:p w14:paraId="7F6123F9" w14:textId="335AD31D"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92.000</w:t>
            </w:r>
          </w:p>
        </w:tc>
        <w:tc>
          <w:tcPr>
            <w:tcW w:w="1555" w:type="dxa"/>
            <w:vAlign w:val="center"/>
          </w:tcPr>
          <w:p w14:paraId="4CAE026A" w14:textId="74F4086D" w:rsidR="007022EA" w:rsidRPr="007A24F9"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 xml:space="preserve">262.000 </w:t>
            </w:r>
          </w:p>
        </w:tc>
      </w:tr>
      <w:tr w:rsidR="007022EA" w:rsidRPr="005045BF" w14:paraId="405E1040" w14:textId="77777777" w:rsidTr="00650317">
        <w:trPr>
          <w:cantSplit/>
          <w:trHeight w:val="475"/>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62F94116" w14:textId="77777777" w:rsidR="007022EA" w:rsidRPr="005045BF" w:rsidRDefault="007022EA" w:rsidP="007022EA">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2689" w:type="dxa"/>
            <w:gridSpan w:val="2"/>
            <w:shd w:val="clear" w:color="auto" w:fill="4F81BD" w:themeFill="accent1"/>
            <w:vAlign w:val="center"/>
            <w:hideMark/>
          </w:tcPr>
          <w:p w14:paraId="0F42E59A" w14:textId="77777777"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Cantidad</w:t>
            </w:r>
          </w:p>
        </w:tc>
        <w:tc>
          <w:tcPr>
            <w:tcW w:w="1280" w:type="dxa"/>
            <w:shd w:val="clear" w:color="auto" w:fill="4F81BD" w:themeFill="accent1"/>
            <w:vAlign w:val="center"/>
          </w:tcPr>
          <w:p w14:paraId="146EFB0C" w14:textId="4E916B60" w:rsidR="007022EA" w:rsidRPr="005045BF"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2.000</w:t>
            </w:r>
          </w:p>
        </w:tc>
        <w:tc>
          <w:tcPr>
            <w:tcW w:w="1276" w:type="dxa"/>
            <w:shd w:val="clear" w:color="auto" w:fill="4F81BD" w:themeFill="accent1"/>
            <w:vAlign w:val="center"/>
          </w:tcPr>
          <w:p w14:paraId="00A1B462" w14:textId="2F7F6D23" w:rsidR="007022EA" w:rsidRPr="005045BF"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(6.000) </w:t>
            </w:r>
          </w:p>
        </w:tc>
        <w:tc>
          <w:tcPr>
            <w:tcW w:w="1417" w:type="dxa"/>
            <w:shd w:val="clear" w:color="auto" w:fill="4F81BD" w:themeFill="accent1"/>
            <w:vAlign w:val="center"/>
          </w:tcPr>
          <w:p w14:paraId="5691CFD8" w14:textId="375067B1" w:rsidR="007022EA" w:rsidRPr="005045BF"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(13.082) </w:t>
            </w:r>
          </w:p>
        </w:tc>
        <w:tc>
          <w:tcPr>
            <w:tcW w:w="1555" w:type="dxa"/>
            <w:shd w:val="clear" w:color="auto" w:fill="4F81BD" w:themeFill="accent1"/>
            <w:vAlign w:val="center"/>
          </w:tcPr>
          <w:p w14:paraId="32DF6CCF" w14:textId="52376EAB" w:rsidR="007022EA" w:rsidRPr="005045BF" w:rsidRDefault="007022EA" w:rsidP="007022EA">
            <w:pPr>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(17.082)</w:t>
            </w:r>
          </w:p>
        </w:tc>
      </w:tr>
      <w:tr w:rsidR="007022EA" w:rsidRPr="005045BF" w14:paraId="18D00DAC"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73A232ED" w14:textId="77777777" w:rsidR="007022EA" w:rsidRPr="005045BF" w:rsidRDefault="007022EA" w:rsidP="007022EA">
            <w:pPr>
              <w:spacing w:before="60" w:after="60"/>
              <w:rPr>
                <w:rFonts w:ascii="Arial" w:hAnsi="Arial" w:cs="Arial"/>
                <w:color w:val="FFFFFF" w:themeColor="background1"/>
                <w:sz w:val="20"/>
                <w:szCs w:val="20"/>
              </w:rPr>
            </w:pPr>
          </w:p>
        </w:tc>
        <w:tc>
          <w:tcPr>
            <w:tcW w:w="2689" w:type="dxa"/>
            <w:gridSpan w:val="2"/>
            <w:shd w:val="clear" w:color="auto" w:fill="4F81BD" w:themeFill="accent1"/>
            <w:vAlign w:val="center"/>
            <w:hideMark/>
          </w:tcPr>
          <w:p w14:paraId="30889979" w14:textId="77777777"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280" w:type="dxa"/>
            <w:shd w:val="clear" w:color="auto" w:fill="4F81BD" w:themeFill="accent1"/>
            <w:vAlign w:val="center"/>
          </w:tcPr>
          <w:p w14:paraId="037475AD" w14:textId="34316E09"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2%</w:t>
            </w:r>
          </w:p>
        </w:tc>
        <w:tc>
          <w:tcPr>
            <w:tcW w:w="1276" w:type="dxa"/>
            <w:shd w:val="clear" w:color="auto" w:fill="4F81BD" w:themeFill="accent1"/>
            <w:vAlign w:val="center"/>
          </w:tcPr>
          <w:p w14:paraId="25D32299" w14:textId="6A25133B"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(7%)</w:t>
            </w:r>
          </w:p>
        </w:tc>
        <w:tc>
          <w:tcPr>
            <w:tcW w:w="1417" w:type="dxa"/>
            <w:shd w:val="clear" w:color="auto" w:fill="4F81BD" w:themeFill="accent1"/>
            <w:vAlign w:val="center"/>
          </w:tcPr>
          <w:p w14:paraId="2FE31CA0" w14:textId="02C5EB85"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(14%)</w:t>
            </w:r>
          </w:p>
        </w:tc>
        <w:tc>
          <w:tcPr>
            <w:tcW w:w="1555" w:type="dxa"/>
            <w:shd w:val="clear" w:color="auto" w:fill="4F81BD" w:themeFill="accent1"/>
            <w:vAlign w:val="center"/>
          </w:tcPr>
          <w:p w14:paraId="36CE062F" w14:textId="3DB91DA8"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(7%)</w:t>
            </w:r>
          </w:p>
        </w:tc>
      </w:tr>
      <w:tr w:rsidR="007022EA" w:rsidRPr="005045BF" w14:paraId="5590D291" w14:textId="77777777" w:rsidTr="00650317">
        <w:trPr>
          <w:cantSplit/>
          <w:trHeight w:val="837"/>
        </w:trPr>
        <w:tc>
          <w:tcPr>
            <w:cnfStyle w:val="001000000000" w:firstRow="0" w:lastRow="0" w:firstColumn="1" w:lastColumn="0" w:oddVBand="0" w:evenVBand="0" w:oddHBand="0" w:evenHBand="0" w:firstRowFirstColumn="0" w:firstRowLastColumn="0" w:lastRowFirstColumn="0" w:lastRowLastColumn="0"/>
            <w:tcW w:w="1417" w:type="dxa"/>
            <w:vMerge w:val="restart"/>
            <w:vAlign w:val="center"/>
            <w:hideMark/>
          </w:tcPr>
          <w:p w14:paraId="00A935BD" w14:textId="77777777" w:rsidR="007022EA" w:rsidRPr="007A24F9" w:rsidRDefault="007022EA" w:rsidP="007022EA">
            <w:pPr>
              <w:spacing w:before="60" w:after="60"/>
              <w:jc w:val="center"/>
              <w:rPr>
                <w:rFonts w:ascii="Arial" w:hAnsi="Arial" w:cs="Arial"/>
                <w:color w:val="0F243E" w:themeColor="text2" w:themeShade="80"/>
                <w:sz w:val="20"/>
                <w:szCs w:val="20"/>
              </w:rPr>
            </w:pPr>
            <w:r w:rsidRPr="007A24F9">
              <w:rPr>
                <w:rFonts w:ascii="Arial" w:hAnsi="Arial" w:cs="Arial"/>
                <w:color w:val="0F243E" w:themeColor="text2" w:themeShade="80"/>
                <w:sz w:val="20"/>
                <w:szCs w:val="20"/>
              </w:rPr>
              <w:t xml:space="preserve">Casa de Santa Bárbara </w:t>
            </w:r>
          </w:p>
        </w:tc>
        <w:tc>
          <w:tcPr>
            <w:tcW w:w="1555" w:type="dxa"/>
            <w:vMerge w:val="restart"/>
            <w:vAlign w:val="center"/>
            <w:hideMark/>
          </w:tcPr>
          <w:p w14:paraId="767F3440" w14:textId="77777777"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 xml:space="preserve">Valor ($) Consumo </w:t>
            </w:r>
          </w:p>
        </w:tc>
        <w:tc>
          <w:tcPr>
            <w:tcW w:w="1134" w:type="dxa"/>
            <w:vAlign w:val="center"/>
          </w:tcPr>
          <w:p w14:paraId="09047BFB" w14:textId="0D806041"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2020</w:t>
            </w:r>
          </w:p>
        </w:tc>
        <w:tc>
          <w:tcPr>
            <w:tcW w:w="1280" w:type="dxa"/>
            <w:noWrap/>
            <w:vAlign w:val="center"/>
          </w:tcPr>
          <w:p w14:paraId="0C150D73" w14:textId="43B52577"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34.407.230</w:t>
            </w:r>
          </w:p>
        </w:tc>
        <w:tc>
          <w:tcPr>
            <w:tcW w:w="1276" w:type="dxa"/>
            <w:noWrap/>
            <w:vAlign w:val="center"/>
          </w:tcPr>
          <w:p w14:paraId="1EB1B046" w14:textId="176B162F"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34.125.070</w:t>
            </w:r>
          </w:p>
        </w:tc>
        <w:tc>
          <w:tcPr>
            <w:tcW w:w="1417" w:type="dxa"/>
            <w:noWrap/>
            <w:vAlign w:val="center"/>
          </w:tcPr>
          <w:p w14:paraId="21C42973" w14:textId="023EB549"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33.684.080</w:t>
            </w:r>
          </w:p>
        </w:tc>
        <w:tc>
          <w:tcPr>
            <w:tcW w:w="1555" w:type="dxa"/>
            <w:vAlign w:val="center"/>
          </w:tcPr>
          <w:p w14:paraId="7D76E735" w14:textId="26020CFD" w:rsidR="007022EA" w:rsidRPr="007A24F9" w:rsidRDefault="007022EA" w:rsidP="007022E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A24F9">
              <w:rPr>
                <w:rFonts w:ascii="Arial" w:hAnsi="Arial" w:cs="Arial"/>
                <w:color w:val="0F243E" w:themeColor="text2" w:themeShade="80"/>
                <w:sz w:val="20"/>
                <w:szCs w:val="20"/>
              </w:rPr>
              <w:t xml:space="preserve">102.216.380 </w:t>
            </w:r>
          </w:p>
        </w:tc>
      </w:tr>
      <w:tr w:rsidR="007022EA" w:rsidRPr="005045BF" w14:paraId="02FE519F"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vAlign w:val="center"/>
            <w:hideMark/>
          </w:tcPr>
          <w:p w14:paraId="2FEAD753" w14:textId="77777777" w:rsidR="007022EA" w:rsidRPr="007A24F9" w:rsidRDefault="007022EA" w:rsidP="007022EA">
            <w:pPr>
              <w:spacing w:before="60" w:after="60"/>
              <w:rPr>
                <w:rFonts w:ascii="Arial" w:hAnsi="Arial" w:cs="Arial"/>
                <w:color w:val="0F243E" w:themeColor="text2" w:themeShade="80"/>
                <w:sz w:val="20"/>
                <w:szCs w:val="20"/>
              </w:rPr>
            </w:pPr>
          </w:p>
        </w:tc>
        <w:tc>
          <w:tcPr>
            <w:tcW w:w="1555" w:type="dxa"/>
            <w:vMerge/>
            <w:vAlign w:val="center"/>
            <w:hideMark/>
          </w:tcPr>
          <w:p w14:paraId="5F534C0A" w14:textId="77777777" w:rsidR="007022EA" w:rsidRPr="007A24F9" w:rsidRDefault="007022EA" w:rsidP="007022E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p>
        </w:tc>
        <w:tc>
          <w:tcPr>
            <w:tcW w:w="1134" w:type="dxa"/>
            <w:vAlign w:val="center"/>
          </w:tcPr>
          <w:p w14:paraId="19990103" w14:textId="10F95211"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2019</w:t>
            </w:r>
          </w:p>
        </w:tc>
        <w:tc>
          <w:tcPr>
            <w:tcW w:w="1280" w:type="dxa"/>
            <w:noWrap/>
            <w:vAlign w:val="center"/>
          </w:tcPr>
          <w:p w14:paraId="1DC8A0B7" w14:textId="0FCF9131"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35.184.160</w:t>
            </w:r>
          </w:p>
        </w:tc>
        <w:tc>
          <w:tcPr>
            <w:tcW w:w="1276" w:type="dxa"/>
            <w:noWrap/>
            <w:vAlign w:val="center"/>
          </w:tcPr>
          <w:p w14:paraId="34CA510A" w14:textId="2901C5B1"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35.329.480</w:t>
            </w:r>
          </w:p>
        </w:tc>
        <w:tc>
          <w:tcPr>
            <w:tcW w:w="1417" w:type="dxa"/>
            <w:noWrap/>
            <w:vAlign w:val="center"/>
          </w:tcPr>
          <w:p w14:paraId="5093CE30" w14:textId="4409D651" w:rsidR="007022EA" w:rsidRPr="007A24F9"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7A24F9">
              <w:rPr>
                <w:rFonts w:ascii="Arial" w:hAnsi="Arial" w:cs="Arial"/>
                <w:color w:val="0F243E" w:themeColor="text2" w:themeShade="80"/>
                <w:sz w:val="20"/>
                <w:szCs w:val="20"/>
              </w:rPr>
              <w:t>38.648.390</w:t>
            </w:r>
          </w:p>
        </w:tc>
        <w:tc>
          <w:tcPr>
            <w:tcW w:w="1555" w:type="dxa"/>
            <w:vAlign w:val="center"/>
          </w:tcPr>
          <w:p w14:paraId="5159F44F" w14:textId="7F0E5DC8" w:rsidR="007022EA" w:rsidRPr="007A24F9" w:rsidRDefault="007022EA" w:rsidP="007022EA">
            <w:pPr>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7A24F9">
              <w:rPr>
                <w:rFonts w:ascii="Arial" w:hAnsi="Arial" w:cs="Arial"/>
                <w:color w:val="0F243E" w:themeColor="text2" w:themeShade="80"/>
                <w:sz w:val="20"/>
                <w:szCs w:val="20"/>
              </w:rPr>
              <w:t xml:space="preserve">109.162.030 </w:t>
            </w:r>
          </w:p>
        </w:tc>
      </w:tr>
      <w:tr w:rsidR="007022EA" w:rsidRPr="005045BF" w14:paraId="014FC895"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val="restart"/>
            <w:shd w:val="clear" w:color="auto" w:fill="4F81BD" w:themeFill="accent1"/>
            <w:vAlign w:val="center"/>
            <w:hideMark/>
          </w:tcPr>
          <w:p w14:paraId="718DE8D8" w14:textId="77777777" w:rsidR="007022EA" w:rsidRPr="005045BF" w:rsidRDefault="007022EA" w:rsidP="007022EA">
            <w:pPr>
              <w:spacing w:before="60" w:after="6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2689" w:type="dxa"/>
            <w:gridSpan w:val="2"/>
            <w:shd w:val="clear" w:color="auto" w:fill="4F81BD" w:themeFill="accent1"/>
            <w:vAlign w:val="center"/>
            <w:hideMark/>
          </w:tcPr>
          <w:p w14:paraId="6C2AAD7D" w14:textId="77777777"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Cantidad</w:t>
            </w:r>
          </w:p>
        </w:tc>
        <w:tc>
          <w:tcPr>
            <w:tcW w:w="1280" w:type="dxa"/>
            <w:shd w:val="clear" w:color="auto" w:fill="4F81BD" w:themeFill="accent1"/>
            <w:vAlign w:val="center"/>
          </w:tcPr>
          <w:p w14:paraId="3C4E9177" w14:textId="43A61BA2"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(776.930)</w:t>
            </w:r>
          </w:p>
        </w:tc>
        <w:tc>
          <w:tcPr>
            <w:tcW w:w="1276" w:type="dxa"/>
            <w:shd w:val="clear" w:color="auto" w:fill="4F81BD" w:themeFill="accent1"/>
            <w:vAlign w:val="center"/>
          </w:tcPr>
          <w:p w14:paraId="2D2F6237" w14:textId="701A9F16"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(1.204.410)</w:t>
            </w:r>
          </w:p>
        </w:tc>
        <w:tc>
          <w:tcPr>
            <w:tcW w:w="1417" w:type="dxa"/>
            <w:shd w:val="clear" w:color="auto" w:fill="4F81BD" w:themeFill="accent1"/>
            <w:vAlign w:val="center"/>
          </w:tcPr>
          <w:p w14:paraId="0DD7A59C" w14:textId="3DE5D856"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(4.964.310)</w:t>
            </w:r>
          </w:p>
        </w:tc>
        <w:tc>
          <w:tcPr>
            <w:tcW w:w="1555" w:type="dxa"/>
            <w:shd w:val="clear" w:color="auto" w:fill="4F81BD" w:themeFill="accent1"/>
            <w:vAlign w:val="center"/>
          </w:tcPr>
          <w:p w14:paraId="24F90C0B" w14:textId="71C7DE52"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(6.945.650)</w:t>
            </w:r>
          </w:p>
        </w:tc>
      </w:tr>
      <w:tr w:rsidR="007022EA" w:rsidRPr="005045BF" w14:paraId="6D59358C" w14:textId="77777777" w:rsidTr="00650317">
        <w:trPr>
          <w:cantSplit/>
        </w:trPr>
        <w:tc>
          <w:tcPr>
            <w:cnfStyle w:val="001000000000" w:firstRow="0" w:lastRow="0" w:firstColumn="1" w:lastColumn="0" w:oddVBand="0" w:evenVBand="0" w:oddHBand="0" w:evenHBand="0" w:firstRowFirstColumn="0" w:firstRowLastColumn="0" w:lastRowFirstColumn="0" w:lastRowLastColumn="0"/>
            <w:tcW w:w="1417" w:type="dxa"/>
            <w:vMerge/>
            <w:shd w:val="clear" w:color="auto" w:fill="4F81BD" w:themeFill="accent1"/>
            <w:vAlign w:val="center"/>
            <w:hideMark/>
          </w:tcPr>
          <w:p w14:paraId="6CCEB3A6" w14:textId="77777777" w:rsidR="007022EA" w:rsidRPr="005045BF" w:rsidRDefault="007022EA" w:rsidP="007022EA">
            <w:pPr>
              <w:spacing w:before="60" w:after="60"/>
              <w:rPr>
                <w:rFonts w:ascii="Arial" w:hAnsi="Arial" w:cs="Arial"/>
                <w:color w:val="FFFFFF" w:themeColor="background1"/>
                <w:sz w:val="20"/>
                <w:szCs w:val="20"/>
              </w:rPr>
            </w:pPr>
          </w:p>
        </w:tc>
        <w:tc>
          <w:tcPr>
            <w:tcW w:w="2689" w:type="dxa"/>
            <w:gridSpan w:val="2"/>
            <w:shd w:val="clear" w:color="auto" w:fill="4F81BD" w:themeFill="accent1"/>
            <w:vAlign w:val="center"/>
            <w:hideMark/>
          </w:tcPr>
          <w:p w14:paraId="50CED7FF" w14:textId="77777777"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280" w:type="dxa"/>
            <w:shd w:val="clear" w:color="auto" w:fill="4F81BD" w:themeFill="accent1"/>
            <w:vAlign w:val="center"/>
          </w:tcPr>
          <w:p w14:paraId="2A413E36" w14:textId="536662D5"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(2%)</w:t>
            </w:r>
          </w:p>
        </w:tc>
        <w:tc>
          <w:tcPr>
            <w:tcW w:w="1276" w:type="dxa"/>
            <w:shd w:val="clear" w:color="auto" w:fill="4F81BD" w:themeFill="accent1"/>
            <w:vAlign w:val="center"/>
          </w:tcPr>
          <w:p w14:paraId="23FC58AA" w14:textId="02990BD4"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(3%)</w:t>
            </w:r>
          </w:p>
        </w:tc>
        <w:tc>
          <w:tcPr>
            <w:tcW w:w="1417" w:type="dxa"/>
            <w:shd w:val="clear" w:color="auto" w:fill="4F81BD" w:themeFill="accent1"/>
            <w:vAlign w:val="center"/>
          </w:tcPr>
          <w:p w14:paraId="22E22A55" w14:textId="6B86FA9B"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(13%)</w:t>
            </w:r>
          </w:p>
        </w:tc>
        <w:tc>
          <w:tcPr>
            <w:tcW w:w="1555" w:type="dxa"/>
            <w:shd w:val="clear" w:color="auto" w:fill="4F81BD" w:themeFill="accent1"/>
            <w:vAlign w:val="center"/>
          </w:tcPr>
          <w:p w14:paraId="597EB7AC" w14:textId="269A5EA4" w:rsidR="007022EA" w:rsidRPr="005045BF" w:rsidRDefault="007022EA" w:rsidP="007022EA">
            <w:pPr>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(6%)</w:t>
            </w:r>
          </w:p>
        </w:tc>
      </w:tr>
    </w:tbl>
    <w:p w14:paraId="1C544812" w14:textId="685D9E46" w:rsidR="00C2778B" w:rsidRPr="005045BF" w:rsidRDefault="00C2778B" w:rsidP="00685C14">
      <w:pPr>
        <w:spacing w:after="200" w:line="276" w:lineRule="auto"/>
        <w:jc w:val="center"/>
      </w:pPr>
    </w:p>
    <w:p w14:paraId="544F95C8" w14:textId="59E75FD5" w:rsidR="00837ED9" w:rsidRPr="005045BF" w:rsidRDefault="00685C14" w:rsidP="00685C14">
      <w:pPr>
        <w:spacing w:after="200" w:line="276" w:lineRule="auto"/>
        <w:jc w:val="center"/>
        <w:rPr>
          <w:highlight w:val="yellow"/>
        </w:rPr>
      </w:pPr>
      <w:r w:rsidRPr="005045BF">
        <w:rPr>
          <w:noProof/>
        </w:rPr>
        <w:drawing>
          <wp:inline distT="0" distB="0" distL="0" distR="0" wp14:anchorId="022488B0" wp14:editId="29E24ED3">
            <wp:extent cx="6086475" cy="2667000"/>
            <wp:effectExtent l="0" t="0" r="0" b="0"/>
            <wp:docPr id="11" name="Gráfico 11">
              <a:extLst xmlns:a="http://schemas.openxmlformats.org/drawingml/2006/main">
                <a:ext uri="{FF2B5EF4-FFF2-40B4-BE49-F238E27FC236}">
                  <a16:creationId xmlns:a16="http://schemas.microsoft.com/office/drawing/2014/main" id="{148D0CAF-B37F-4171-95BC-5B9F4AF6BC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14:paraId="77304F6C" w14:textId="1E105C8E" w:rsidR="00C63860" w:rsidRPr="005045BF" w:rsidRDefault="00B42E7A" w:rsidP="00E7338C">
      <w:pPr>
        <w:jc w:val="both"/>
        <w:rPr>
          <w:rFonts w:ascii="Arial" w:hAnsi="Arial" w:cs="Arial"/>
          <w:sz w:val="22"/>
          <w:szCs w:val="22"/>
        </w:rPr>
      </w:pPr>
      <w:r w:rsidRPr="005045BF">
        <w:rPr>
          <w:rFonts w:ascii="Arial" w:hAnsi="Arial" w:cs="Arial"/>
          <w:sz w:val="22"/>
          <w:szCs w:val="22"/>
        </w:rPr>
        <w:t xml:space="preserve">Según </w:t>
      </w:r>
      <w:r w:rsidR="00063523" w:rsidRPr="005045BF">
        <w:rPr>
          <w:rFonts w:ascii="Arial" w:hAnsi="Arial" w:cs="Arial"/>
          <w:sz w:val="22"/>
          <w:szCs w:val="22"/>
        </w:rPr>
        <w:t xml:space="preserve">las variaciones expuestas en la anterior gráfica, se puede deducir que las disminuciones presentadas en consumo Kw/h y valor de gasto para los periodos de febrero y marzo están directamente relacionadas. Caso contrario, se observó </w:t>
      </w:r>
      <w:r w:rsidR="007F5704" w:rsidRPr="005045BF">
        <w:rPr>
          <w:rFonts w:ascii="Arial" w:hAnsi="Arial" w:cs="Arial"/>
          <w:sz w:val="22"/>
          <w:szCs w:val="22"/>
        </w:rPr>
        <w:t xml:space="preserve">que </w:t>
      </w:r>
      <w:r w:rsidR="00063523" w:rsidRPr="005045BF">
        <w:rPr>
          <w:rFonts w:ascii="Arial" w:hAnsi="Arial" w:cs="Arial"/>
          <w:sz w:val="22"/>
          <w:szCs w:val="22"/>
        </w:rPr>
        <w:t xml:space="preserve">para el mes de enero </w:t>
      </w:r>
      <w:r w:rsidR="007A24F9">
        <w:rPr>
          <w:rFonts w:ascii="Arial" w:hAnsi="Arial" w:cs="Arial"/>
          <w:sz w:val="22"/>
          <w:szCs w:val="22"/>
        </w:rPr>
        <w:t xml:space="preserve">toda vez que </w:t>
      </w:r>
      <w:r w:rsidR="007F5704" w:rsidRPr="005045BF">
        <w:rPr>
          <w:rFonts w:ascii="Arial" w:hAnsi="Arial" w:cs="Arial"/>
          <w:sz w:val="22"/>
          <w:szCs w:val="22"/>
        </w:rPr>
        <w:t xml:space="preserve">el consumo medidos en kilovatios aumentó el 2%, sin embargo, el valor facturado disminuyó el 2%. </w:t>
      </w:r>
    </w:p>
    <w:p w14:paraId="7743B344" w14:textId="77777777" w:rsidR="00C63860" w:rsidRPr="005045BF" w:rsidRDefault="00C63860" w:rsidP="00E7338C">
      <w:pPr>
        <w:jc w:val="both"/>
        <w:rPr>
          <w:rFonts w:ascii="Arial" w:hAnsi="Arial" w:cs="Arial"/>
          <w:sz w:val="22"/>
          <w:szCs w:val="22"/>
        </w:rPr>
      </w:pPr>
    </w:p>
    <w:p w14:paraId="780BCB81" w14:textId="0398431D" w:rsidR="00CB4452" w:rsidRPr="005045BF" w:rsidRDefault="007A24F9" w:rsidP="00E7338C">
      <w:pPr>
        <w:jc w:val="both"/>
        <w:rPr>
          <w:rFonts w:ascii="Arial" w:hAnsi="Arial" w:cs="Arial"/>
          <w:sz w:val="22"/>
          <w:szCs w:val="22"/>
        </w:rPr>
      </w:pPr>
      <w:r>
        <w:rPr>
          <w:rFonts w:ascii="Arial" w:hAnsi="Arial" w:cs="Arial"/>
          <w:sz w:val="22"/>
          <w:szCs w:val="22"/>
        </w:rPr>
        <w:t xml:space="preserve">Del </w:t>
      </w:r>
      <w:r w:rsidR="00C63860" w:rsidRPr="005045BF">
        <w:rPr>
          <w:rFonts w:ascii="Arial" w:hAnsi="Arial" w:cs="Arial"/>
          <w:sz w:val="22"/>
          <w:szCs w:val="22"/>
        </w:rPr>
        <w:t xml:space="preserve">análisis efectuado en términos globales para el primer trimestre 2020-2019, </w:t>
      </w:r>
      <w:r>
        <w:rPr>
          <w:rFonts w:ascii="Arial" w:hAnsi="Arial" w:cs="Arial"/>
          <w:sz w:val="22"/>
          <w:szCs w:val="22"/>
        </w:rPr>
        <w:t xml:space="preserve">determinó que </w:t>
      </w:r>
      <w:r w:rsidR="00CB4452" w:rsidRPr="005045BF">
        <w:rPr>
          <w:rFonts w:ascii="Arial" w:hAnsi="Arial" w:cs="Arial"/>
          <w:sz w:val="22"/>
          <w:szCs w:val="22"/>
        </w:rPr>
        <w:t>el consumo de energía</w:t>
      </w:r>
      <w:r w:rsidR="00C63860" w:rsidRPr="005045BF">
        <w:rPr>
          <w:rFonts w:ascii="Arial" w:hAnsi="Arial" w:cs="Arial"/>
          <w:sz w:val="22"/>
          <w:szCs w:val="22"/>
        </w:rPr>
        <w:t xml:space="preserve"> [kw/h] </w:t>
      </w:r>
      <w:r w:rsidR="00CB4452" w:rsidRPr="005045BF">
        <w:rPr>
          <w:rFonts w:ascii="Arial" w:hAnsi="Arial" w:cs="Arial"/>
          <w:sz w:val="22"/>
          <w:szCs w:val="22"/>
        </w:rPr>
        <w:t xml:space="preserve">para la </w:t>
      </w:r>
      <w:r w:rsidR="00571EAC" w:rsidRPr="005045BF">
        <w:rPr>
          <w:rFonts w:ascii="Arial" w:hAnsi="Arial" w:cs="Arial"/>
          <w:sz w:val="22"/>
          <w:szCs w:val="22"/>
        </w:rPr>
        <w:t>Sede Casas</w:t>
      </w:r>
      <w:r w:rsidR="00CB4452" w:rsidRPr="005045BF">
        <w:rPr>
          <w:rFonts w:ascii="Arial" w:hAnsi="Arial" w:cs="Arial"/>
          <w:sz w:val="22"/>
          <w:szCs w:val="22"/>
        </w:rPr>
        <w:t xml:space="preserve"> de Santa Bárbara presentó una </w:t>
      </w:r>
      <w:r w:rsidR="00CB4452" w:rsidRPr="005045BF">
        <w:rPr>
          <w:rFonts w:ascii="Arial" w:hAnsi="Arial" w:cs="Arial"/>
          <w:b/>
          <w:bCs/>
          <w:sz w:val="22"/>
          <w:szCs w:val="22"/>
        </w:rPr>
        <w:t xml:space="preserve">disminución </w:t>
      </w:r>
      <w:r w:rsidR="00C63860" w:rsidRPr="005045BF">
        <w:rPr>
          <w:rFonts w:ascii="Arial" w:hAnsi="Arial" w:cs="Arial"/>
          <w:sz w:val="22"/>
          <w:szCs w:val="22"/>
        </w:rPr>
        <w:t>17.082 kilovatios</w:t>
      </w:r>
      <w:r w:rsidR="00C63860" w:rsidRPr="005045BF">
        <w:rPr>
          <w:rFonts w:ascii="Arial" w:hAnsi="Arial" w:cs="Arial"/>
          <w:b/>
          <w:bCs/>
          <w:sz w:val="22"/>
          <w:szCs w:val="22"/>
        </w:rPr>
        <w:t xml:space="preserve"> </w:t>
      </w:r>
      <w:r w:rsidR="00C63860" w:rsidRPr="005045BF">
        <w:rPr>
          <w:rFonts w:ascii="Arial" w:hAnsi="Arial" w:cs="Arial"/>
          <w:sz w:val="22"/>
          <w:szCs w:val="22"/>
        </w:rPr>
        <w:t xml:space="preserve">equivalente a un </w:t>
      </w:r>
      <w:r w:rsidR="00CB4452" w:rsidRPr="005045BF">
        <w:rPr>
          <w:rFonts w:ascii="Arial" w:hAnsi="Arial" w:cs="Arial"/>
          <w:sz w:val="22"/>
          <w:szCs w:val="22"/>
        </w:rPr>
        <w:t>7%</w:t>
      </w:r>
      <w:r w:rsidR="007B0950" w:rsidRPr="005045BF">
        <w:rPr>
          <w:rFonts w:ascii="Arial" w:hAnsi="Arial" w:cs="Arial"/>
          <w:sz w:val="22"/>
          <w:szCs w:val="22"/>
        </w:rPr>
        <w:t xml:space="preserve">. En cuanto al valor </w:t>
      </w:r>
      <w:r w:rsidR="00C77C16" w:rsidRPr="005045BF">
        <w:rPr>
          <w:rFonts w:ascii="Arial" w:hAnsi="Arial" w:cs="Arial"/>
          <w:sz w:val="22"/>
          <w:szCs w:val="22"/>
        </w:rPr>
        <w:t>del gasto facturado</w:t>
      </w:r>
      <w:r w:rsidR="007B0950" w:rsidRPr="005045BF">
        <w:rPr>
          <w:rFonts w:ascii="Arial" w:hAnsi="Arial" w:cs="Arial"/>
          <w:sz w:val="22"/>
          <w:szCs w:val="22"/>
        </w:rPr>
        <w:t>,</w:t>
      </w:r>
      <w:r w:rsidR="00C77C16" w:rsidRPr="005045BF">
        <w:rPr>
          <w:rFonts w:ascii="Arial" w:hAnsi="Arial" w:cs="Arial"/>
          <w:sz w:val="22"/>
          <w:szCs w:val="22"/>
        </w:rPr>
        <w:t xml:space="preserve"> se observó </w:t>
      </w:r>
      <w:r w:rsidR="007B0950" w:rsidRPr="005045BF">
        <w:rPr>
          <w:rFonts w:ascii="Arial" w:hAnsi="Arial" w:cs="Arial"/>
          <w:sz w:val="22"/>
          <w:szCs w:val="22"/>
        </w:rPr>
        <w:t>que el gasto decreció en $</w:t>
      </w:r>
      <w:r w:rsidR="007B0950" w:rsidRPr="005045BF">
        <w:rPr>
          <w:rFonts w:ascii="Arial" w:hAnsi="Arial" w:cs="Arial"/>
          <w:color w:val="000000" w:themeColor="text1"/>
          <w:sz w:val="22"/>
          <w:szCs w:val="22"/>
        </w:rPr>
        <w:t xml:space="preserve">6.945.650 representando </w:t>
      </w:r>
      <w:r w:rsidR="00C77C16" w:rsidRPr="005045BF">
        <w:rPr>
          <w:rFonts w:ascii="Arial" w:hAnsi="Arial" w:cs="Arial"/>
          <w:color w:val="000000" w:themeColor="text1"/>
          <w:sz w:val="22"/>
          <w:szCs w:val="22"/>
        </w:rPr>
        <w:t xml:space="preserve">un </w:t>
      </w:r>
      <w:r w:rsidR="00C77C16" w:rsidRPr="005045BF">
        <w:rPr>
          <w:rFonts w:ascii="Arial" w:hAnsi="Arial" w:cs="Arial"/>
          <w:b/>
          <w:bCs/>
          <w:color w:val="000000" w:themeColor="text1"/>
          <w:sz w:val="22"/>
          <w:szCs w:val="22"/>
        </w:rPr>
        <w:t>ahorro</w:t>
      </w:r>
      <w:r w:rsidR="00C77C16" w:rsidRPr="005045BF">
        <w:rPr>
          <w:rFonts w:ascii="Arial" w:hAnsi="Arial" w:cs="Arial"/>
          <w:color w:val="000000" w:themeColor="text1"/>
          <w:sz w:val="22"/>
          <w:szCs w:val="22"/>
        </w:rPr>
        <w:t xml:space="preserve"> del </w:t>
      </w:r>
      <w:r w:rsidR="00C77C16" w:rsidRPr="005045BF">
        <w:rPr>
          <w:rFonts w:ascii="Arial" w:hAnsi="Arial" w:cs="Arial"/>
          <w:sz w:val="22"/>
          <w:szCs w:val="22"/>
        </w:rPr>
        <w:t>6%</w:t>
      </w:r>
      <w:r w:rsidR="007B0950" w:rsidRPr="005045BF">
        <w:rPr>
          <w:rFonts w:ascii="Arial" w:hAnsi="Arial" w:cs="Arial"/>
          <w:sz w:val="22"/>
          <w:szCs w:val="22"/>
        </w:rPr>
        <w:t xml:space="preserve">. </w:t>
      </w:r>
    </w:p>
    <w:p w14:paraId="04DA207A" w14:textId="77777777" w:rsidR="00650116" w:rsidRPr="005045BF" w:rsidRDefault="00650116" w:rsidP="00F90D06">
      <w:pPr>
        <w:spacing w:line="168" w:lineRule="auto"/>
        <w:jc w:val="both"/>
        <w:rPr>
          <w:rFonts w:ascii="Arial" w:hAnsi="Arial" w:cs="Arial"/>
          <w:color w:val="000000" w:themeColor="text1"/>
          <w:sz w:val="22"/>
          <w:szCs w:val="22"/>
        </w:rPr>
      </w:pPr>
    </w:p>
    <w:p w14:paraId="647D3F62" w14:textId="60F5E8C3" w:rsidR="00B013C9" w:rsidRPr="005045BF" w:rsidRDefault="00F276E1" w:rsidP="00F90D06">
      <w:pPr>
        <w:jc w:val="both"/>
        <w:rPr>
          <w:rFonts w:ascii="Arial" w:hAnsi="Arial" w:cs="Arial"/>
          <w:color w:val="000000" w:themeColor="text1"/>
          <w:sz w:val="22"/>
          <w:szCs w:val="22"/>
        </w:rPr>
      </w:pPr>
      <w:r w:rsidRPr="005045BF">
        <w:rPr>
          <w:rFonts w:ascii="Arial" w:hAnsi="Arial" w:cs="Arial"/>
          <w:color w:val="000000" w:themeColor="text1"/>
          <w:sz w:val="22"/>
          <w:szCs w:val="22"/>
        </w:rPr>
        <w:t>T</w:t>
      </w:r>
      <w:r w:rsidR="00785E75" w:rsidRPr="005045BF">
        <w:rPr>
          <w:rFonts w:ascii="Arial" w:hAnsi="Arial" w:cs="Arial"/>
          <w:color w:val="000000" w:themeColor="text1"/>
          <w:sz w:val="22"/>
          <w:szCs w:val="22"/>
        </w:rPr>
        <w:t xml:space="preserve">omando el total de gasto de energía </w:t>
      </w:r>
      <w:r w:rsidR="00FC2C59" w:rsidRPr="005045BF">
        <w:rPr>
          <w:rFonts w:ascii="Arial" w:hAnsi="Arial" w:cs="Arial"/>
          <w:color w:val="000000" w:themeColor="text1"/>
          <w:sz w:val="22"/>
          <w:szCs w:val="22"/>
        </w:rPr>
        <w:t xml:space="preserve">y el total de consumo en kilovatios para las dos sedes analizadas, </w:t>
      </w:r>
      <w:r w:rsidR="00785E75" w:rsidRPr="005045BF">
        <w:rPr>
          <w:rFonts w:ascii="Arial" w:hAnsi="Arial" w:cs="Arial"/>
          <w:color w:val="000000" w:themeColor="text1"/>
          <w:sz w:val="22"/>
          <w:szCs w:val="22"/>
        </w:rPr>
        <w:t>se concluye que</w:t>
      </w:r>
      <w:r w:rsidR="00FC2C59" w:rsidRPr="005045BF">
        <w:rPr>
          <w:rFonts w:ascii="Arial" w:hAnsi="Arial" w:cs="Arial"/>
          <w:color w:val="000000" w:themeColor="text1"/>
          <w:sz w:val="22"/>
          <w:szCs w:val="22"/>
        </w:rPr>
        <w:t xml:space="preserve">, para el </w:t>
      </w:r>
      <w:r w:rsidR="00AB7CB6" w:rsidRPr="005045BF">
        <w:rPr>
          <w:rFonts w:ascii="Arial" w:hAnsi="Arial" w:cs="Arial"/>
          <w:color w:val="000000" w:themeColor="text1"/>
          <w:sz w:val="22"/>
          <w:szCs w:val="22"/>
        </w:rPr>
        <w:t xml:space="preserve">primer periodo </w:t>
      </w:r>
      <w:r w:rsidR="00FC2C59" w:rsidRPr="005045BF">
        <w:rPr>
          <w:rFonts w:ascii="Arial" w:hAnsi="Arial" w:cs="Arial"/>
          <w:color w:val="000000" w:themeColor="text1"/>
          <w:sz w:val="22"/>
          <w:szCs w:val="22"/>
        </w:rPr>
        <w:t>de 20</w:t>
      </w:r>
      <w:r w:rsidR="00AB7CB6" w:rsidRPr="005045BF">
        <w:rPr>
          <w:rFonts w:ascii="Arial" w:hAnsi="Arial" w:cs="Arial"/>
          <w:color w:val="000000" w:themeColor="text1"/>
          <w:sz w:val="22"/>
          <w:szCs w:val="22"/>
        </w:rPr>
        <w:t>20</w:t>
      </w:r>
      <w:r w:rsidR="00FC2C59" w:rsidRPr="005045BF">
        <w:rPr>
          <w:rFonts w:ascii="Arial" w:hAnsi="Arial" w:cs="Arial"/>
          <w:color w:val="000000" w:themeColor="text1"/>
          <w:sz w:val="22"/>
          <w:szCs w:val="22"/>
        </w:rPr>
        <w:t xml:space="preserve"> comparado con el mis</w:t>
      </w:r>
      <w:r w:rsidR="00682AC4" w:rsidRPr="005045BF">
        <w:rPr>
          <w:rFonts w:ascii="Arial" w:hAnsi="Arial" w:cs="Arial"/>
          <w:color w:val="000000" w:themeColor="text1"/>
          <w:sz w:val="22"/>
          <w:szCs w:val="22"/>
        </w:rPr>
        <w:t>mo periodo de la vigencia 201</w:t>
      </w:r>
      <w:r w:rsidR="00404923" w:rsidRPr="005045BF">
        <w:rPr>
          <w:rFonts w:ascii="Arial" w:hAnsi="Arial" w:cs="Arial"/>
          <w:color w:val="000000" w:themeColor="text1"/>
          <w:sz w:val="22"/>
          <w:szCs w:val="22"/>
        </w:rPr>
        <w:t>9</w:t>
      </w:r>
      <w:r w:rsidR="00682AC4" w:rsidRPr="005045BF">
        <w:rPr>
          <w:rFonts w:ascii="Arial" w:hAnsi="Arial" w:cs="Arial"/>
          <w:color w:val="000000" w:themeColor="text1"/>
          <w:sz w:val="22"/>
          <w:szCs w:val="22"/>
        </w:rPr>
        <w:t xml:space="preserve"> </w:t>
      </w:r>
      <w:r w:rsidR="00785E75" w:rsidRPr="005045BF">
        <w:rPr>
          <w:rFonts w:ascii="Arial" w:hAnsi="Arial" w:cs="Arial"/>
          <w:color w:val="000000" w:themeColor="text1"/>
          <w:sz w:val="22"/>
          <w:szCs w:val="22"/>
        </w:rPr>
        <w:t xml:space="preserve">el </w:t>
      </w:r>
      <w:r w:rsidR="00FC2C59" w:rsidRPr="005045BF">
        <w:rPr>
          <w:rFonts w:ascii="Arial" w:hAnsi="Arial" w:cs="Arial"/>
          <w:color w:val="000000" w:themeColor="text1"/>
          <w:sz w:val="22"/>
          <w:szCs w:val="22"/>
        </w:rPr>
        <w:t xml:space="preserve">gasto por el servicio </w:t>
      </w:r>
      <w:r w:rsidR="00785E75" w:rsidRPr="005045BF">
        <w:rPr>
          <w:rFonts w:ascii="Arial" w:hAnsi="Arial" w:cs="Arial"/>
          <w:color w:val="000000" w:themeColor="text1"/>
          <w:sz w:val="22"/>
          <w:szCs w:val="22"/>
        </w:rPr>
        <w:t xml:space="preserve">de energía </w:t>
      </w:r>
      <w:r w:rsidR="008D083F" w:rsidRPr="005045BF">
        <w:rPr>
          <w:rFonts w:ascii="Arial" w:hAnsi="Arial" w:cs="Arial"/>
          <w:b/>
          <w:bCs/>
          <w:color w:val="000000" w:themeColor="text1"/>
          <w:sz w:val="22"/>
          <w:szCs w:val="22"/>
        </w:rPr>
        <w:t xml:space="preserve">disminuyó </w:t>
      </w:r>
      <w:r w:rsidR="0077290C" w:rsidRPr="005045BF">
        <w:rPr>
          <w:rFonts w:ascii="Arial" w:hAnsi="Arial" w:cs="Arial"/>
          <w:color w:val="000000" w:themeColor="text1"/>
          <w:sz w:val="22"/>
          <w:szCs w:val="22"/>
        </w:rPr>
        <w:t xml:space="preserve">en </w:t>
      </w:r>
      <w:r w:rsidR="00FC2C59" w:rsidRPr="005045BF">
        <w:rPr>
          <w:rFonts w:ascii="Arial" w:hAnsi="Arial" w:cs="Arial"/>
          <w:color w:val="000000" w:themeColor="text1"/>
          <w:sz w:val="22"/>
          <w:szCs w:val="22"/>
        </w:rPr>
        <w:t xml:space="preserve">$ </w:t>
      </w:r>
      <w:r w:rsidR="00404923" w:rsidRPr="005045BF">
        <w:rPr>
          <w:rFonts w:ascii="Arial" w:hAnsi="Arial" w:cs="Arial"/>
          <w:color w:val="000000" w:themeColor="text1"/>
          <w:sz w:val="22"/>
          <w:szCs w:val="22"/>
        </w:rPr>
        <w:t>36.085.065</w:t>
      </w:r>
      <w:r w:rsidR="00FC2C59" w:rsidRPr="005045BF">
        <w:rPr>
          <w:rFonts w:ascii="Arial" w:hAnsi="Arial" w:cs="Arial"/>
          <w:color w:val="000000" w:themeColor="text1"/>
          <w:sz w:val="22"/>
          <w:szCs w:val="22"/>
        </w:rPr>
        <w:t xml:space="preserve"> equivalente al </w:t>
      </w:r>
      <w:r w:rsidR="00404923" w:rsidRPr="005045BF">
        <w:rPr>
          <w:rFonts w:ascii="Arial" w:hAnsi="Arial" w:cs="Arial"/>
          <w:color w:val="000000" w:themeColor="text1"/>
          <w:sz w:val="22"/>
          <w:szCs w:val="22"/>
        </w:rPr>
        <w:t>9</w:t>
      </w:r>
      <w:r w:rsidR="00EA293C" w:rsidRPr="005045BF">
        <w:rPr>
          <w:rFonts w:ascii="Arial" w:hAnsi="Arial" w:cs="Arial"/>
          <w:color w:val="000000" w:themeColor="text1"/>
          <w:sz w:val="22"/>
          <w:szCs w:val="22"/>
        </w:rPr>
        <w:t>%, de</w:t>
      </w:r>
      <w:r w:rsidR="002F5405" w:rsidRPr="005045BF">
        <w:rPr>
          <w:rFonts w:ascii="Arial" w:hAnsi="Arial" w:cs="Arial"/>
          <w:color w:val="000000" w:themeColor="text1"/>
          <w:sz w:val="22"/>
          <w:szCs w:val="22"/>
        </w:rPr>
        <w:t xml:space="preserve"> igual forma, e</w:t>
      </w:r>
      <w:r w:rsidR="00FC2C59" w:rsidRPr="005045BF">
        <w:rPr>
          <w:rFonts w:ascii="Arial" w:hAnsi="Arial" w:cs="Arial"/>
          <w:color w:val="000000" w:themeColor="text1"/>
          <w:sz w:val="22"/>
          <w:szCs w:val="22"/>
        </w:rPr>
        <w:t xml:space="preserve">l consumo en kilovatios </w:t>
      </w:r>
      <w:r w:rsidR="005B34A3" w:rsidRPr="005045BF">
        <w:rPr>
          <w:rFonts w:ascii="Arial" w:hAnsi="Arial" w:cs="Arial"/>
          <w:color w:val="000000" w:themeColor="text1"/>
          <w:sz w:val="22"/>
          <w:szCs w:val="22"/>
        </w:rPr>
        <w:t xml:space="preserve">presentó una </w:t>
      </w:r>
      <w:r w:rsidR="002F5405" w:rsidRPr="005045BF">
        <w:rPr>
          <w:rFonts w:ascii="Arial" w:hAnsi="Arial" w:cs="Arial"/>
          <w:b/>
          <w:bCs/>
          <w:color w:val="000000" w:themeColor="text1"/>
          <w:sz w:val="22"/>
          <w:szCs w:val="22"/>
        </w:rPr>
        <w:t>red</w:t>
      </w:r>
      <w:r w:rsidR="005B34A3" w:rsidRPr="005045BF">
        <w:rPr>
          <w:rFonts w:ascii="Arial" w:hAnsi="Arial" w:cs="Arial"/>
          <w:b/>
          <w:bCs/>
          <w:color w:val="000000" w:themeColor="text1"/>
          <w:sz w:val="22"/>
          <w:szCs w:val="22"/>
        </w:rPr>
        <w:t xml:space="preserve">ucción </w:t>
      </w:r>
      <w:r w:rsidR="005B34A3" w:rsidRPr="005045BF">
        <w:rPr>
          <w:rFonts w:ascii="Arial" w:hAnsi="Arial" w:cs="Arial"/>
          <w:color w:val="000000" w:themeColor="text1"/>
          <w:sz w:val="22"/>
          <w:szCs w:val="22"/>
        </w:rPr>
        <w:t>de</w:t>
      </w:r>
      <w:r w:rsidR="002F5405" w:rsidRPr="005045BF">
        <w:rPr>
          <w:rFonts w:ascii="Arial" w:hAnsi="Arial" w:cs="Arial"/>
          <w:color w:val="000000" w:themeColor="text1"/>
          <w:sz w:val="22"/>
          <w:szCs w:val="22"/>
        </w:rPr>
        <w:t xml:space="preserve"> </w:t>
      </w:r>
      <w:r w:rsidR="00404923" w:rsidRPr="005045BF">
        <w:rPr>
          <w:rFonts w:ascii="Arial" w:hAnsi="Arial" w:cs="Arial"/>
          <w:color w:val="000000" w:themeColor="text1"/>
          <w:sz w:val="22"/>
          <w:szCs w:val="22"/>
        </w:rPr>
        <w:t xml:space="preserve">171.613 </w:t>
      </w:r>
      <w:r w:rsidR="00FC2C59" w:rsidRPr="005045BF">
        <w:rPr>
          <w:rFonts w:ascii="Arial" w:hAnsi="Arial" w:cs="Arial"/>
          <w:color w:val="000000" w:themeColor="text1"/>
          <w:sz w:val="22"/>
          <w:szCs w:val="22"/>
        </w:rPr>
        <w:t xml:space="preserve">kw/h, </w:t>
      </w:r>
      <w:r w:rsidR="00785E75" w:rsidRPr="005045BF">
        <w:rPr>
          <w:rFonts w:ascii="Arial" w:hAnsi="Arial" w:cs="Arial"/>
          <w:color w:val="000000" w:themeColor="text1"/>
          <w:sz w:val="22"/>
          <w:szCs w:val="22"/>
        </w:rPr>
        <w:t>correspondie</w:t>
      </w:r>
      <w:r w:rsidR="00920C4F" w:rsidRPr="005045BF">
        <w:rPr>
          <w:rFonts w:ascii="Arial" w:hAnsi="Arial" w:cs="Arial"/>
          <w:color w:val="000000" w:themeColor="text1"/>
          <w:sz w:val="22"/>
          <w:szCs w:val="22"/>
        </w:rPr>
        <w:t xml:space="preserve">nte al </w:t>
      </w:r>
      <w:r w:rsidR="005F44DF" w:rsidRPr="005045BF">
        <w:rPr>
          <w:rFonts w:ascii="Arial" w:hAnsi="Arial" w:cs="Arial"/>
          <w:color w:val="000000" w:themeColor="text1"/>
          <w:sz w:val="22"/>
          <w:szCs w:val="22"/>
        </w:rPr>
        <w:t>1</w:t>
      </w:r>
      <w:r w:rsidR="00404923" w:rsidRPr="005045BF">
        <w:rPr>
          <w:rFonts w:ascii="Arial" w:hAnsi="Arial" w:cs="Arial"/>
          <w:color w:val="000000" w:themeColor="text1"/>
          <w:sz w:val="22"/>
          <w:szCs w:val="22"/>
        </w:rPr>
        <w:t>2</w:t>
      </w:r>
      <w:r w:rsidR="00785E75" w:rsidRPr="005045BF">
        <w:rPr>
          <w:rFonts w:ascii="Arial" w:hAnsi="Arial" w:cs="Arial"/>
          <w:color w:val="000000" w:themeColor="text1"/>
          <w:sz w:val="22"/>
          <w:szCs w:val="22"/>
        </w:rPr>
        <w:t>%.</w:t>
      </w:r>
    </w:p>
    <w:tbl>
      <w:tblPr>
        <w:tblStyle w:val="Tablaconcuadrcula1clara-nfasis1"/>
        <w:tblW w:w="0" w:type="auto"/>
        <w:tblLook w:val="04A0" w:firstRow="1" w:lastRow="0" w:firstColumn="1" w:lastColumn="0" w:noHBand="0" w:noVBand="1"/>
      </w:tblPr>
      <w:tblGrid>
        <w:gridCol w:w="555"/>
        <w:gridCol w:w="1094"/>
        <w:gridCol w:w="1462"/>
        <w:gridCol w:w="1751"/>
        <w:gridCol w:w="222"/>
        <w:gridCol w:w="555"/>
        <w:gridCol w:w="1195"/>
        <w:gridCol w:w="1310"/>
        <w:gridCol w:w="1485"/>
      </w:tblGrid>
      <w:tr w:rsidR="00A359DB" w:rsidRPr="005045BF" w14:paraId="224B900B" w14:textId="77777777" w:rsidTr="005522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790A3B98" w14:textId="7E974080" w:rsidR="00A359DB" w:rsidRPr="005045BF" w:rsidRDefault="00A359DB" w:rsidP="00D361F4">
            <w:pPr>
              <w:widowControl w:val="0"/>
              <w:spacing w:before="60" w:after="60"/>
              <w:jc w:val="center"/>
              <w:rPr>
                <w:rFonts w:ascii="Arial" w:hAnsi="Arial" w:cs="Arial"/>
                <w:color w:val="000000"/>
                <w:sz w:val="18"/>
                <w:szCs w:val="18"/>
              </w:rPr>
            </w:pPr>
            <w:r w:rsidRPr="005045BF">
              <w:rPr>
                <w:rFonts w:ascii="Arial" w:hAnsi="Arial" w:cs="Arial"/>
                <w:color w:val="FFFFFF" w:themeColor="background1"/>
                <w:sz w:val="18"/>
                <w:szCs w:val="18"/>
              </w:rPr>
              <w:lastRenderedPageBreak/>
              <w:t>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189D1DD9" w14:textId="77777777" w:rsidR="00A359DB" w:rsidRPr="005045BF"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045BF">
              <w:rPr>
                <w:rFonts w:ascii="Arial" w:hAnsi="Arial" w:cs="Arial"/>
                <w:color w:val="FFFFFF" w:themeColor="background1"/>
                <w:sz w:val="18"/>
                <w:szCs w:val="18"/>
              </w:rPr>
              <w:t>Valor Facturado por Energía</w:t>
            </w:r>
          </w:p>
        </w:tc>
        <w:tc>
          <w:tcPr>
            <w:tcW w:w="0" w:type="auto"/>
            <w:tcBorders>
              <w:top w:val="nil"/>
              <w:left w:val="single" w:sz="4" w:space="0" w:color="4F81BD" w:themeColor="accent1"/>
              <w:bottom w:val="nil"/>
              <w:right w:val="single" w:sz="4" w:space="0" w:color="4F81BD" w:themeColor="accent1"/>
            </w:tcBorders>
            <w:noWrap/>
            <w:vAlign w:val="center"/>
            <w:hideMark/>
          </w:tcPr>
          <w:p w14:paraId="5E8EC966" w14:textId="77777777" w:rsidR="00A359DB" w:rsidRPr="005045BF"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val="restart"/>
            <w:tcBorders>
              <w:top w:val="single" w:sz="4" w:space="0" w:color="4F81BD" w:themeColor="accent1"/>
              <w:left w:val="single" w:sz="4" w:space="0" w:color="4F81BD" w:themeColor="accent1"/>
            </w:tcBorders>
            <w:shd w:val="clear" w:color="auto" w:fill="4F81BD" w:themeFill="accent1"/>
            <w:textDirection w:val="btLr"/>
            <w:vAlign w:val="center"/>
            <w:hideMark/>
          </w:tcPr>
          <w:p w14:paraId="26D13768" w14:textId="0B926AA9" w:rsidR="00A359DB" w:rsidRPr="005045BF"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045BF">
              <w:rPr>
                <w:rFonts w:ascii="Arial" w:hAnsi="Arial" w:cs="Arial"/>
                <w:color w:val="FFFFFF" w:themeColor="background1"/>
                <w:sz w:val="18"/>
                <w:szCs w:val="18"/>
              </w:rPr>
              <w:t>I Trimestre</w:t>
            </w:r>
          </w:p>
        </w:tc>
        <w:tc>
          <w:tcPr>
            <w:tcW w:w="0" w:type="auto"/>
            <w:gridSpan w:val="3"/>
            <w:tcBorders>
              <w:top w:val="single" w:sz="4" w:space="0" w:color="4F81BD" w:themeColor="accent1"/>
              <w:right w:val="single" w:sz="4" w:space="0" w:color="4F81BD" w:themeColor="accent1"/>
            </w:tcBorders>
            <w:shd w:val="clear" w:color="auto" w:fill="4F81BD" w:themeFill="accent1"/>
            <w:vAlign w:val="center"/>
            <w:hideMark/>
          </w:tcPr>
          <w:p w14:paraId="43475318" w14:textId="77777777" w:rsidR="00A359DB" w:rsidRPr="005045BF" w:rsidRDefault="00A359DB" w:rsidP="00D361F4">
            <w:pPr>
              <w:widowControl w:val="0"/>
              <w:spacing w:before="60" w:after="6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18"/>
                <w:szCs w:val="18"/>
              </w:rPr>
            </w:pPr>
            <w:r w:rsidRPr="005045BF">
              <w:rPr>
                <w:rFonts w:ascii="Arial" w:hAnsi="Arial" w:cs="Arial"/>
                <w:color w:val="FFFFFF" w:themeColor="background1"/>
                <w:sz w:val="18"/>
                <w:szCs w:val="18"/>
              </w:rPr>
              <w:t>Total de Consumo KW/H</w:t>
            </w:r>
          </w:p>
        </w:tc>
      </w:tr>
      <w:tr w:rsidR="00A359DB" w:rsidRPr="005045BF" w14:paraId="23D6DBB6"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tcBorders>
            <w:shd w:val="clear" w:color="auto" w:fill="4F81BD" w:themeFill="accent1"/>
            <w:vAlign w:val="center"/>
            <w:hideMark/>
          </w:tcPr>
          <w:p w14:paraId="47E1C50C" w14:textId="77777777" w:rsidR="00A359DB" w:rsidRPr="005045BF" w:rsidRDefault="00A359DB" w:rsidP="00D361F4">
            <w:pPr>
              <w:widowControl w:val="0"/>
              <w:spacing w:before="60" w:after="60"/>
              <w:rPr>
                <w:rFonts w:ascii="Arial" w:hAnsi="Arial" w:cs="Arial"/>
                <w:color w:val="000000"/>
                <w:sz w:val="18"/>
                <w:szCs w:val="18"/>
              </w:rPr>
            </w:pPr>
          </w:p>
        </w:tc>
        <w:tc>
          <w:tcPr>
            <w:tcW w:w="0" w:type="auto"/>
            <w:tcBorders>
              <w:bottom w:val="nil"/>
            </w:tcBorders>
            <w:shd w:val="clear" w:color="auto" w:fill="4F81BD" w:themeFill="accent1"/>
            <w:vAlign w:val="center"/>
            <w:hideMark/>
          </w:tcPr>
          <w:p w14:paraId="3B51290A"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33A029A5"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26A5D95"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Sede Casa de Santa Bárbara</w:t>
            </w:r>
          </w:p>
        </w:tc>
        <w:tc>
          <w:tcPr>
            <w:tcW w:w="0" w:type="auto"/>
            <w:tcBorders>
              <w:top w:val="nil"/>
              <w:left w:val="single" w:sz="4" w:space="0" w:color="4F81BD" w:themeColor="accent1"/>
              <w:bottom w:val="nil"/>
              <w:right w:val="single" w:sz="4" w:space="0" w:color="4F81BD" w:themeColor="accent1"/>
            </w:tcBorders>
            <w:noWrap/>
            <w:vAlign w:val="center"/>
            <w:hideMark/>
          </w:tcPr>
          <w:p w14:paraId="6594F145"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tcBorders>
            <w:shd w:val="clear" w:color="auto" w:fill="4F81BD" w:themeFill="accent1"/>
            <w:vAlign w:val="center"/>
            <w:hideMark/>
          </w:tcPr>
          <w:p w14:paraId="1DF8E399" w14:textId="77777777" w:rsidR="00A359DB" w:rsidRPr="005045BF"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bottom w:val="nil"/>
            </w:tcBorders>
            <w:shd w:val="clear" w:color="auto" w:fill="4F81BD" w:themeFill="accent1"/>
            <w:vAlign w:val="center"/>
            <w:hideMark/>
          </w:tcPr>
          <w:p w14:paraId="70401DE6"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Periodo</w:t>
            </w:r>
          </w:p>
        </w:tc>
        <w:tc>
          <w:tcPr>
            <w:tcW w:w="0" w:type="auto"/>
            <w:tcBorders>
              <w:bottom w:val="nil"/>
            </w:tcBorders>
            <w:shd w:val="clear" w:color="auto" w:fill="4F81BD" w:themeFill="accent1"/>
            <w:vAlign w:val="center"/>
            <w:hideMark/>
          </w:tcPr>
          <w:p w14:paraId="66C7FF08"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 xml:space="preserve">Sede San Agustín </w:t>
            </w:r>
          </w:p>
        </w:tc>
        <w:tc>
          <w:tcPr>
            <w:tcW w:w="0" w:type="auto"/>
            <w:tcBorders>
              <w:bottom w:val="nil"/>
              <w:right w:val="single" w:sz="4" w:space="0" w:color="4F81BD" w:themeColor="accent1"/>
            </w:tcBorders>
            <w:shd w:val="clear" w:color="auto" w:fill="4F81BD" w:themeFill="accent1"/>
            <w:vAlign w:val="center"/>
            <w:hideMark/>
          </w:tcPr>
          <w:p w14:paraId="218FC720"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18"/>
                <w:szCs w:val="18"/>
              </w:rPr>
            </w:pPr>
            <w:r w:rsidRPr="005045BF">
              <w:rPr>
                <w:rFonts w:ascii="Arial" w:hAnsi="Arial" w:cs="Arial"/>
                <w:b/>
                <w:bCs/>
                <w:color w:val="FFFFFF" w:themeColor="background1"/>
                <w:sz w:val="18"/>
                <w:szCs w:val="18"/>
              </w:rPr>
              <w:t>Sede Casa de Santa Bárbara</w:t>
            </w:r>
          </w:p>
        </w:tc>
      </w:tr>
      <w:tr w:rsidR="00AD3F6F" w:rsidRPr="005045BF" w14:paraId="03259206"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04B79ABB" w14:textId="77777777" w:rsidR="00AD3F6F" w:rsidRPr="005045BF" w:rsidRDefault="00AD3F6F" w:rsidP="00AD3F6F">
            <w:pPr>
              <w:widowControl w:val="0"/>
              <w:spacing w:before="60" w:after="60"/>
              <w:rPr>
                <w:rFonts w:ascii="Arial" w:hAnsi="Arial" w:cs="Arial"/>
                <w:color w:val="000000"/>
                <w:sz w:val="18"/>
                <w:szCs w:val="18"/>
              </w:rPr>
            </w:pPr>
          </w:p>
        </w:tc>
        <w:tc>
          <w:tcPr>
            <w:tcW w:w="0" w:type="auto"/>
            <w:tcBorders>
              <w:top w:val="nil"/>
              <w:left w:val="nil"/>
              <w:bottom w:val="nil"/>
              <w:right w:val="nil"/>
            </w:tcBorders>
            <w:vAlign w:val="center"/>
            <w:hideMark/>
          </w:tcPr>
          <w:p w14:paraId="12B7A199" w14:textId="2B49FDEE"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29BF1DC2" w14:textId="0A9E81C0"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254.524.920 </w:t>
            </w:r>
          </w:p>
        </w:tc>
        <w:tc>
          <w:tcPr>
            <w:tcW w:w="0" w:type="auto"/>
            <w:tcBorders>
              <w:top w:val="nil"/>
              <w:left w:val="nil"/>
              <w:bottom w:val="nil"/>
              <w:right w:val="nil"/>
            </w:tcBorders>
            <w:vAlign w:val="center"/>
          </w:tcPr>
          <w:p w14:paraId="23E577A4" w14:textId="00A0FBA8"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102.216.380 </w:t>
            </w:r>
          </w:p>
        </w:tc>
        <w:tc>
          <w:tcPr>
            <w:tcW w:w="0" w:type="auto"/>
            <w:tcBorders>
              <w:top w:val="nil"/>
              <w:left w:val="nil"/>
              <w:bottom w:val="nil"/>
              <w:right w:val="single" w:sz="4" w:space="0" w:color="4F81BD" w:themeColor="accent1"/>
            </w:tcBorders>
            <w:noWrap/>
            <w:vAlign w:val="center"/>
            <w:hideMark/>
          </w:tcPr>
          <w:p w14:paraId="352B9217" w14:textId="77777777"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63904915" w14:textId="77777777" w:rsidR="00AD3F6F" w:rsidRPr="005045BF" w:rsidRDefault="00AD3F6F" w:rsidP="00AD3F6F">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nil"/>
              <w:right w:val="nil"/>
            </w:tcBorders>
            <w:vAlign w:val="center"/>
            <w:hideMark/>
          </w:tcPr>
          <w:p w14:paraId="31508478" w14:textId="2C216812"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2020</w:t>
            </w:r>
          </w:p>
        </w:tc>
        <w:tc>
          <w:tcPr>
            <w:tcW w:w="0" w:type="auto"/>
            <w:tcBorders>
              <w:top w:val="nil"/>
              <w:left w:val="nil"/>
              <w:bottom w:val="nil"/>
              <w:right w:val="nil"/>
            </w:tcBorders>
            <w:vAlign w:val="center"/>
          </w:tcPr>
          <w:p w14:paraId="78F6C143" w14:textId="4BA02174"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 983.696 </w:t>
            </w:r>
          </w:p>
        </w:tc>
        <w:tc>
          <w:tcPr>
            <w:tcW w:w="0" w:type="auto"/>
            <w:tcBorders>
              <w:top w:val="nil"/>
              <w:left w:val="nil"/>
              <w:bottom w:val="nil"/>
              <w:right w:val="nil"/>
            </w:tcBorders>
            <w:vAlign w:val="center"/>
          </w:tcPr>
          <w:p w14:paraId="2D612718" w14:textId="0E4CCDC4"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 244.918 </w:t>
            </w:r>
          </w:p>
        </w:tc>
      </w:tr>
      <w:tr w:rsidR="00AD3F6F" w:rsidRPr="005045BF" w14:paraId="17091C58"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35F9C89" w14:textId="77777777" w:rsidR="00AD3F6F" w:rsidRPr="005045BF" w:rsidRDefault="00AD3F6F" w:rsidP="00AD3F6F">
            <w:pPr>
              <w:widowControl w:val="0"/>
              <w:spacing w:before="60" w:after="6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160521FF" w14:textId="0C9BD265"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5DF5DF2B" w14:textId="56D7C445"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 283.664.335 </w:t>
            </w:r>
          </w:p>
        </w:tc>
        <w:tc>
          <w:tcPr>
            <w:tcW w:w="0" w:type="auto"/>
            <w:tcBorders>
              <w:top w:val="nil"/>
              <w:left w:val="nil"/>
              <w:bottom w:val="double" w:sz="4" w:space="0" w:color="4F81BD" w:themeColor="accent1"/>
              <w:right w:val="nil"/>
            </w:tcBorders>
            <w:vAlign w:val="center"/>
          </w:tcPr>
          <w:p w14:paraId="3C7F62EB" w14:textId="5A53A07A"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109.162.030 </w:t>
            </w:r>
          </w:p>
        </w:tc>
        <w:tc>
          <w:tcPr>
            <w:tcW w:w="0" w:type="auto"/>
            <w:tcBorders>
              <w:top w:val="nil"/>
              <w:left w:val="nil"/>
              <w:bottom w:val="nil"/>
              <w:right w:val="single" w:sz="4" w:space="0" w:color="4F81BD" w:themeColor="accent1"/>
            </w:tcBorders>
            <w:noWrap/>
            <w:vAlign w:val="center"/>
            <w:hideMark/>
          </w:tcPr>
          <w:p w14:paraId="7E02933B" w14:textId="77777777"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43D731AC" w14:textId="77777777" w:rsidR="00AD3F6F" w:rsidRPr="005045BF" w:rsidRDefault="00AD3F6F" w:rsidP="00AD3F6F">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31997B69" w14:textId="25248F14" w:rsidR="00AD3F6F" w:rsidRPr="005045BF" w:rsidRDefault="00AD3F6F" w:rsidP="00AD3F6F">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F243E" w:themeColor="text2" w:themeShade="80"/>
                <w:sz w:val="18"/>
                <w:szCs w:val="18"/>
              </w:rPr>
              <w:t>2019</w:t>
            </w:r>
          </w:p>
        </w:tc>
        <w:tc>
          <w:tcPr>
            <w:tcW w:w="0" w:type="auto"/>
            <w:tcBorders>
              <w:top w:val="nil"/>
              <w:left w:val="nil"/>
              <w:bottom w:val="double" w:sz="4" w:space="0" w:color="4F81BD" w:themeColor="accent1"/>
              <w:right w:val="nil"/>
            </w:tcBorders>
            <w:vAlign w:val="center"/>
          </w:tcPr>
          <w:p w14:paraId="68204282" w14:textId="71A9B85D"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1.138.227 </w:t>
            </w:r>
          </w:p>
        </w:tc>
        <w:tc>
          <w:tcPr>
            <w:tcW w:w="0" w:type="auto"/>
            <w:tcBorders>
              <w:top w:val="nil"/>
              <w:left w:val="nil"/>
              <w:bottom w:val="double" w:sz="4" w:space="0" w:color="4F81BD" w:themeColor="accent1"/>
              <w:right w:val="nil"/>
            </w:tcBorders>
            <w:vAlign w:val="center"/>
          </w:tcPr>
          <w:p w14:paraId="38A46D7D" w14:textId="16C8F349" w:rsidR="00AD3F6F" w:rsidRPr="005045BF" w:rsidRDefault="00AD3F6F" w:rsidP="00AD3F6F">
            <w:pPr>
              <w:widowControl w:val="0"/>
              <w:spacing w:before="60" w:after="6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18"/>
                <w:szCs w:val="18"/>
              </w:rPr>
            </w:pPr>
            <w:r w:rsidRPr="005045BF">
              <w:rPr>
                <w:rFonts w:ascii="Arial" w:hAnsi="Arial" w:cs="Arial"/>
                <w:color w:val="000000"/>
                <w:sz w:val="20"/>
                <w:szCs w:val="20"/>
              </w:rPr>
              <w:t xml:space="preserve">262.000 </w:t>
            </w:r>
          </w:p>
        </w:tc>
      </w:tr>
      <w:tr w:rsidR="00A359DB" w:rsidRPr="005045BF" w14:paraId="3B449039"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4F81BD" w:themeColor="accent1"/>
              <w:left w:val="single" w:sz="4" w:space="0" w:color="4F81BD" w:themeColor="accent1"/>
              <w:right w:val="nil"/>
            </w:tcBorders>
            <w:shd w:val="clear" w:color="auto" w:fill="4F81BD" w:themeFill="accent1"/>
            <w:vAlign w:val="center"/>
            <w:hideMark/>
          </w:tcPr>
          <w:p w14:paraId="53911DD4" w14:textId="77777777" w:rsidR="00A359DB" w:rsidRPr="005045BF" w:rsidRDefault="00A359DB" w:rsidP="00D361F4">
            <w:pPr>
              <w:widowControl w:val="0"/>
              <w:spacing w:before="60" w:after="60"/>
              <w:rPr>
                <w:rFonts w:ascii="Arial" w:hAnsi="Arial" w:cs="Arial"/>
                <w:color w:val="000000"/>
                <w:sz w:val="18"/>
                <w:szCs w:val="18"/>
              </w:rPr>
            </w:pPr>
          </w:p>
        </w:tc>
        <w:tc>
          <w:tcPr>
            <w:tcW w:w="0" w:type="auto"/>
            <w:tcBorders>
              <w:top w:val="double" w:sz="4" w:space="0" w:color="4F81BD" w:themeColor="accent1"/>
              <w:left w:val="nil"/>
              <w:bottom w:val="nil"/>
              <w:right w:val="nil"/>
            </w:tcBorders>
            <w:shd w:val="clear" w:color="auto" w:fill="FFFFFF" w:themeFill="background1"/>
            <w:vAlign w:val="center"/>
            <w:hideMark/>
          </w:tcPr>
          <w:p w14:paraId="01324142" w14:textId="2E49688F"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045BF">
              <w:rPr>
                <w:rFonts w:ascii="Arial" w:hAnsi="Arial" w:cs="Arial"/>
                <w:b/>
                <w:bCs/>
                <w:color w:val="0F243E" w:themeColor="text2" w:themeShade="80"/>
                <w:sz w:val="18"/>
                <w:szCs w:val="18"/>
              </w:rPr>
              <w:t>Variación $</w:t>
            </w:r>
          </w:p>
        </w:tc>
        <w:tc>
          <w:tcPr>
            <w:tcW w:w="0" w:type="auto"/>
            <w:gridSpan w:val="2"/>
            <w:tcBorders>
              <w:top w:val="double" w:sz="4" w:space="0" w:color="4F81BD" w:themeColor="accent1"/>
              <w:left w:val="nil"/>
              <w:bottom w:val="nil"/>
              <w:right w:val="nil"/>
            </w:tcBorders>
            <w:shd w:val="clear" w:color="auto" w:fill="FFFFFF" w:themeFill="background1"/>
            <w:vAlign w:val="center"/>
          </w:tcPr>
          <w:p w14:paraId="7FFE4263" w14:textId="53D8E369" w:rsidR="00A359DB" w:rsidRPr="005045BF" w:rsidRDefault="003F2581" w:rsidP="003F25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(36.085.065)</w:t>
            </w:r>
          </w:p>
        </w:tc>
        <w:tc>
          <w:tcPr>
            <w:tcW w:w="0" w:type="auto"/>
            <w:tcBorders>
              <w:top w:val="nil"/>
              <w:left w:val="nil"/>
              <w:bottom w:val="nil"/>
              <w:right w:val="single" w:sz="4" w:space="0" w:color="4F81BD" w:themeColor="accent1"/>
            </w:tcBorders>
            <w:noWrap/>
            <w:vAlign w:val="center"/>
            <w:hideMark/>
          </w:tcPr>
          <w:p w14:paraId="5845BFC2"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06DA5B28" w14:textId="77777777" w:rsidR="00A359DB" w:rsidRPr="005045BF"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double" w:sz="4" w:space="0" w:color="4F81BD" w:themeColor="accent1"/>
              <w:left w:val="nil"/>
              <w:bottom w:val="nil"/>
              <w:right w:val="nil"/>
            </w:tcBorders>
            <w:vAlign w:val="center"/>
            <w:hideMark/>
          </w:tcPr>
          <w:p w14:paraId="01E7D3AB" w14:textId="616B818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045BF">
              <w:rPr>
                <w:rFonts w:ascii="Arial" w:hAnsi="Arial" w:cs="Arial"/>
                <w:b/>
                <w:bCs/>
                <w:color w:val="0F243E" w:themeColor="text2" w:themeShade="80"/>
                <w:sz w:val="18"/>
                <w:szCs w:val="18"/>
              </w:rPr>
              <w:t>Variación KW/H</w:t>
            </w:r>
          </w:p>
        </w:tc>
        <w:tc>
          <w:tcPr>
            <w:tcW w:w="0" w:type="auto"/>
            <w:gridSpan w:val="2"/>
            <w:tcBorders>
              <w:top w:val="double" w:sz="4" w:space="0" w:color="4F81BD" w:themeColor="accent1"/>
              <w:left w:val="nil"/>
              <w:bottom w:val="nil"/>
              <w:right w:val="nil"/>
            </w:tcBorders>
            <w:vAlign w:val="center"/>
          </w:tcPr>
          <w:p w14:paraId="35AFFB32" w14:textId="2768EFDD" w:rsidR="00A359DB" w:rsidRPr="005045BF" w:rsidRDefault="00AD3F6F" w:rsidP="00AD3F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 xml:space="preserve">(171.613) </w:t>
            </w:r>
          </w:p>
        </w:tc>
      </w:tr>
      <w:tr w:rsidR="00A359DB" w:rsidRPr="005045BF" w14:paraId="4CD44C94" w14:textId="77777777" w:rsidTr="005522C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4F81BD" w:themeColor="accent1"/>
              <w:right w:val="nil"/>
            </w:tcBorders>
            <w:shd w:val="clear" w:color="auto" w:fill="4F81BD" w:themeFill="accent1"/>
            <w:vAlign w:val="center"/>
            <w:hideMark/>
          </w:tcPr>
          <w:p w14:paraId="505DAA21" w14:textId="77777777" w:rsidR="00A359DB" w:rsidRPr="005045BF" w:rsidRDefault="00A359DB" w:rsidP="00D361F4">
            <w:pPr>
              <w:widowControl w:val="0"/>
              <w:spacing w:before="60" w:after="60"/>
              <w:rPr>
                <w:rFonts w:ascii="Arial" w:hAnsi="Arial" w:cs="Arial"/>
                <w:color w:val="000000"/>
                <w:sz w:val="18"/>
                <w:szCs w:val="18"/>
              </w:rPr>
            </w:pPr>
          </w:p>
        </w:tc>
        <w:tc>
          <w:tcPr>
            <w:tcW w:w="0" w:type="auto"/>
            <w:tcBorders>
              <w:top w:val="nil"/>
              <w:left w:val="nil"/>
              <w:bottom w:val="double" w:sz="4" w:space="0" w:color="4F81BD" w:themeColor="accent1"/>
              <w:right w:val="nil"/>
            </w:tcBorders>
            <w:shd w:val="clear" w:color="auto" w:fill="FFFFFF" w:themeFill="background1"/>
            <w:vAlign w:val="center"/>
            <w:hideMark/>
          </w:tcPr>
          <w:p w14:paraId="3454A282"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045BF">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shd w:val="clear" w:color="auto" w:fill="FFFFFF" w:themeFill="background1"/>
            <w:vAlign w:val="center"/>
          </w:tcPr>
          <w:p w14:paraId="2DEB2BFF" w14:textId="62381666" w:rsidR="00A359DB" w:rsidRPr="005045BF" w:rsidRDefault="003F2581" w:rsidP="003F2581">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(9%)</w:t>
            </w:r>
          </w:p>
        </w:tc>
        <w:tc>
          <w:tcPr>
            <w:tcW w:w="0" w:type="auto"/>
            <w:tcBorders>
              <w:top w:val="nil"/>
              <w:left w:val="nil"/>
              <w:bottom w:val="nil"/>
              <w:right w:val="single" w:sz="4" w:space="0" w:color="4F81BD" w:themeColor="accent1"/>
            </w:tcBorders>
            <w:noWrap/>
            <w:vAlign w:val="center"/>
            <w:hideMark/>
          </w:tcPr>
          <w:p w14:paraId="32039627" w14:textId="77777777"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8"/>
                <w:szCs w:val="18"/>
              </w:rPr>
            </w:pPr>
          </w:p>
        </w:tc>
        <w:tc>
          <w:tcPr>
            <w:tcW w:w="0" w:type="auto"/>
            <w:vMerge/>
            <w:tcBorders>
              <w:left w:val="single" w:sz="4" w:space="0" w:color="4F81BD" w:themeColor="accent1"/>
              <w:right w:val="nil"/>
            </w:tcBorders>
            <w:shd w:val="clear" w:color="auto" w:fill="4F81BD" w:themeFill="accent1"/>
            <w:vAlign w:val="center"/>
            <w:hideMark/>
          </w:tcPr>
          <w:p w14:paraId="4EA418B4" w14:textId="77777777" w:rsidR="00A359DB" w:rsidRPr="005045BF" w:rsidRDefault="00A359DB" w:rsidP="00D361F4">
            <w:pPr>
              <w:widowControl w:val="0"/>
              <w:spacing w:before="60" w:after="6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18"/>
              </w:rPr>
            </w:pPr>
          </w:p>
        </w:tc>
        <w:tc>
          <w:tcPr>
            <w:tcW w:w="0" w:type="auto"/>
            <w:tcBorders>
              <w:top w:val="nil"/>
              <w:left w:val="nil"/>
              <w:bottom w:val="double" w:sz="4" w:space="0" w:color="4F81BD" w:themeColor="accent1"/>
              <w:right w:val="nil"/>
            </w:tcBorders>
            <w:vAlign w:val="center"/>
            <w:hideMark/>
          </w:tcPr>
          <w:p w14:paraId="0854969F" w14:textId="6DFD6541" w:rsidR="00A359DB" w:rsidRPr="005045BF" w:rsidRDefault="00A359DB" w:rsidP="00D361F4">
            <w:pPr>
              <w:widowControl w:val="0"/>
              <w:spacing w:before="60" w:after="6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18"/>
                <w:szCs w:val="18"/>
              </w:rPr>
            </w:pPr>
            <w:r w:rsidRPr="005045BF">
              <w:rPr>
                <w:rFonts w:ascii="Arial" w:hAnsi="Arial" w:cs="Arial"/>
                <w:b/>
                <w:bCs/>
                <w:color w:val="0F243E" w:themeColor="text2" w:themeShade="80"/>
                <w:sz w:val="18"/>
                <w:szCs w:val="18"/>
              </w:rPr>
              <w:t xml:space="preserve">Variación % </w:t>
            </w:r>
          </w:p>
        </w:tc>
        <w:tc>
          <w:tcPr>
            <w:tcW w:w="0" w:type="auto"/>
            <w:gridSpan w:val="2"/>
            <w:tcBorders>
              <w:top w:val="nil"/>
              <w:left w:val="nil"/>
              <w:bottom w:val="double" w:sz="4" w:space="0" w:color="4F81BD" w:themeColor="accent1"/>
              <w:right w:val="nil"/>
            </w:tcBorders>
            <w:vAlign w:val="center"/>
          </w:tcPr>
          <w:p w14:paraId="30231473" w14:textId="79168666" w:rsidR="00A359DB" w:rsidRPr="005045BF" w:rsidRDefault="00AD3F6F" w:rsidP="00AD3F6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(12%)</w:t>
            </w:r>
          </w:p>
        </w:tc>
      </w:tr>
    </w:tbl>
    <w:p w14:paraId="6DBE96F3" w14:textId="77777777" w:rsidR="00A5739B" w:rsidRPr="005045BF" w:rsidRDefault="00A5739B" w:rsidP="00582D6C">
      <w:pPr>
        <w:rPr>
          <w:rFonts w:ascii="Arial" w:hAnsi="Arial" w:cs="Arial"/>
          <w:color w:val="000000"/>
          <w:sz w:val="12"/>
          <w:szCs w:val="22"/>
          <w:highlight w:val="yellow"/>
        </w:rPr>
      </w:pPr>
    </w:p>
    <w:p w14:paraId="43B1E868" w14:textId="77777777" w:rsidR="00E36547" w:rsidRPr="005045BF" w:rsidRDefault="00E36547" w:rsidP="000E0AD2">
      <w:pPr>
        <w:rPr>
          <w:rFonts w:ascii="Arial" w:hAnsi="Arial" w:cs="Arial"/>
          <w:color w:val="000000" w:themeColor="text1"/>
          <w:sz w:val="22"/>
          <w:szCs w:val="22"/>
          <w:highlight w:val="yellow"/>
        </w:rPr>
      </w:pPr>
    </w:p>
    <w:p w14:paraId="7FF01DAD" w14:textId="77777777" w:rsidR="00C2778B" w:rsidRPr="007A24F9" w:rsidRDefault="00616757" w:rsidP="009A74AA">
      <w:pPr>
        <w:pStyle w:val="Prrafodelista"/>
        <w:ind w:left="0"/>
        <w:rPr>
          <w:rFonts w:ascii="Arial" w:hAnsi="Arial" w:cs="Arial"/>
          <w:color w:val="000000"/>
          <w:sz w:val="22"/>
          <w:szCs w:val="22"/>
        </w:rPr>
      </w:pPr>
      <w:r w:rsidRPr="007A24F9">
        <w:rPr>
          <w:rFonts w:ascii="Arial" w:hAnsi="Arial" w:cs="Arial"/>
          <w:color w:val="000000"/>
          <w:sz w:val="22"/>
          <w:szCs w:val="22"/>
        </w:rPr>
        <w:t xml:space="preserve">De acuerdo con lo reportado por </w:t>
      </w:r>
      <w:r w:rsidRPr="007A24F9">
        <w:rPr>
          <w:rFonts w:ascii="Arial" w:hAnsi="Arial" w:cs="Arial"/>
          <w:sz w:val="22"/>
          <w:szCs w:val="22"/>
        </w:rPr>
        <w:t xml:space="preserve">la Subdirección de Servicios </w:t>
      </w:r>
      <w:r w:rsidRPr="007A24F9">
        <w:rPr>
          <w:rFonts w:ascii="Arial" w:hAnsi="Arial" w:cs="Arial"/>
          <w:color w:val="000000"/>
          <w:sz w:val="22"/>
          <w:szCs w:val="22"/>
        </w:rPr>
        <w:t xml:space="preserve">en el comentario del indicador </w:t>
      </w:r>
      <w:r w:rsidR="009A74AA" w:rsidRPr="007A24F9">
        <w:rPr>
          <w:rFonts w:ascii="Arial" w:hAnsi="Arial" w:cs="Arial"/>
          <w:color w:val="000000"/>
          <w:sz w:val="22"/>
          <w:szCs w:val="22"/>
        </w:rPr>
        <w:t xml:space="preserve">orientador, las variaciones negativas </w:t>
      </w:r>
      <w:r w:rsidRPr="007A24F9">
        <w:rPr>
          <w:rFonts w:ascii="Arial" w:hAnsi="Arial" w:cs="Arial"/>
          <w:color w:val="000000"/>
          <w:sz w:val="22"/>
          <w:szCs w:val="22"/>
        </w:rPr>
        <w:t>presentad</w:t>
      </w:r>
      <w:r w:rsidR="009A74AA" w:rsidRPr="007A24F9">
        <w:rPr>
          <w:rFonts w:ascii="Arial" w:hAnsi="Arial" w:cs="Arial"/>
          <w:color w:val="000000"/>
          <w:sz w:val="22"/>
          <w:szCs w:val="22"/>
        </w:rPr>
        <w:t>as</w:t>
      </w:r>
      <w:r w:rsidRPr="007A24F9">
        <w:rPr>
          <w:rFonts w:ascii="Arial" w:hAnsi="Arial" w:cs="Arial"/>
          <w:color w:val="000000"/>
          <w:sz w:val="22"/>
          <w:szCs w:val="22"/>
        </w:rPr>
        <w:t xml:space="preserve"> en </w:t>
      </w:r>
      <w:r w:rsidR="009A74AA" w:rsidRPr="007A24F9">
        <w:rPr>
          <w:rFonts w:ascii="Arial" w:hAnsi="Arial" w:cs="Arial"/>
          <w:color w:val="000000"/>
          <w:sz w:val="22"/>
          <w:szCs w:val="22"/>
        </w:rPr>
        <w:t xml:space="preserve">las sedes del Ministerio de Hacienda y Crédito Público, </w:t>
      </w:r>
      <w:r w:rsidRPr="007A24F9">
        <w:rPr>
          <w:rFonts w:ascii="Arial" w:hAnsi="Arial" w:cs="Arial"/>
          <w:color w:val="000000"/>
          <w:sz w:val="22"/>
          <w:szCs w:val="22"/>
        </w:rPr>
        <w:t xml:space="preserve">se atribuye en parte, </w:t>
      </w:r>
      <w:r w:rsidR="009A74AA" w:rsidRPr="007A24F9">
        <w:rPr>
          <w:rFonts w:ascii="Arial" w:hAnsi="Arial" w:cs="Arial"/>
          <w:color w:val="000000"/>
          <w:sz w:val="22"/>
          <w:szCs w:val="22"/>
        </w:rPr>
        <w:t xml:space="preserve">a las buenas prácticas que han acogidos los funcionarios de este Ministerio como resultado de </w:t>
      </w:r>
      <w:r w:rsidRPr="007A24F9">
        <w:rPr>
          <w:rFonts w:ascii="Arial" w:hAnsi="Arial" w:cs="Arial"/>
          <w:color w:val="000000"/>
          <w:sz w:val="22"/>
          <w:szCs w:val="22"/>
        </w:rPr>
        <w:t xml:space="preserve">las jornadas de sensibilización para fomentar la cultura de ahorro de energía, las cuales contribuyeron a la generación de acciones por parte de cada dependencia. </w:t>
      </w:r>
    </w:p>
    <w:p w14:paraId="19AA1568" w14:textId="77777777" w:rsidR="00C2778B" w:rsidRPr="007A24F9" w:rsidRDefault="00C2778B" w:rsidP="009A74AA">
      <w:pPr>
        <w:pStyle w:val="Prrafodelista"/>
        <w:ind w:left="0"/>
        <w:rPr>
          <w:rFonts w:ascii="Arial" w:hAnsi="Arial" w:cs="Arial"/>
          <w:color w:val="000000"/>
          <w:sz w:val="22"/>
          <w:szCs w:val="22"/>
        </w:rPr>
      </w:pPr>
    </w:p>
    <w:p w14:paraId="72A68B1E" w14:textId="78DAA305" w:rsidR="007224F1" w:rsidRPr="007A24F9" w:rsidRDefault="00616757" w:rsidP="009A74AA">
      <w:pPr>
        <w:pStyle w:val="Prrafodelista"/>
        <w:ind w:left="0"/>
        <w:rPr>
          <w:rFonts w:ascii="Arial" w:hAnsi="Arial" w:cs="Arial"/>
          <w:b/>
          <w:color w:val="000000"/>
          <w:sz w:val="22"/>
          <w:szCs w:val="22"/>
          <w:highlight w:val="yellow"/>
        </w:rPr>
      </w:pPr>
      <w:r w:rsidRPr="007A24F9">
        <w:rPr>
          <w:rFonts w:ascii="Arial" w:hAnsi="Arial" w:cs="Arial"/>
          <w:color w:val="000000"/>
          <w:sz w:val="22"/>
          <w:szCs w:val="22"/>
        </w:rPr>
        <w:t xml:space="preserve">Así mismo, para el mes de enero de 2020, parte de la planta de funcionarios disminuyó debido a que se encontraban </w:t>
      </w:r>
      <w:r w:rsidR="009A74AA" w:rsidRPr="007A24F9">
        <w:rPr>
          <w:rFonts w:ascii="Arial" w:hAnsi="Arial" w:cs="Arial"/>
          <w:color w:val="000000"/>
          <w:sz w:val="22"/>
          <w:szCs w:val="22"/>
        </w:rPr>
        <w:t xml:space="preserve">disfrutando de </w:t>
      </w:r>
      <w:r w:rsidRPr="007A24F9">
        <w:rPr>
          <w:rFonts w:ascii="Arial" w:hAnsi="Arial" w:cs="Arial"/>
          <w:color w:val="000000"/>
          <w:sz w:val="22"/>
          <w:szCs w:val="22"/>
        </w:rPr>
        <w:t>periodo</w:t>
      </w:r>
      <w:r w:rsidR="009A74AA" w:rsidRPr="007A24F9">
        <w:rPr>
          <w:rFonts w:ascii="Arial" w:hAnsi="Arial" w:cs="Arial"/>
          <w:color w:val="000000"/>
          <w:sz w:val="22"/>
          <w:szCs w:val="22"/>
        </w:rPr>
        <w:t>s</w:t>
      </w:r>
      <w:r w:rsidRPr="007A24F9">
        <w:rPr>
          <w:rFonts w:ascii="Arial" w:hAnsi="Arial" w:cs="Arial"/>
          <w:color w:val="000000"/>
          <w:sz w:val="22"/>
          <w:szCs w:val="22"/>
        </w:rPr>
        <w:t xml:space="preserve"> de vacaciones</w:t>
      </w:r>
      <w:r w:rsidR="009A74AA" w:rsidRPr="007A24F9">
        <w:rPr>
          <w:rFonts w:ascii="Arial" w:hAnsi="Arial" w:cs="Arial"/>
          <w:color w:val="000000"/>
          <w:sz w:val="22"/>
          <w:szCs w:val="22"/>
        </w:rPr>
        <w:t xml:space="preserve"> y semana compensatoria de navidad</w:t>
      </w:r>
      <w:r w:rsidR="007A24F9">
        <w:rPr>
          <w:rFonts w:ascii="Arial" w:hAnsi="Arial" w:cs="Arial"/>
          <w:color w:val="000000"/>
          <w:sz w:val="22"/>
          <w:szCs w:val="22"/>
        </w:rPr>
        <w:t xml:space="preserve"> de</w:t>
      </w:r>
      <w:r w:rsidR="009A74AA" w:rsidRPr="007A24F9">
        <w:rPr>
          <w:rFonts w:ascii="Arial" w:hAnsi="Arial" w:cs="Arial"/>
          <w:color w:val="000000"/>
          <w:sz w:val="22"/>
          <w:szCs w:val="22"/>
        </w:rPr>
        <w:t xml:space="preserve"> 2019. </w:t>
      </w:r>
      <w:r w:rsidRPr="007A24F9">
        <w:rPr>
          <w:rFonts w:ascii="Arial" w:hAnsi="Arial" w:cs="Arial"/>
          <w:color w:val="000000"/>
          <w:sz w:val="22"/>
          <w:szCs w:val="22"/>
        </w:rPr>
        <w:t xml:space="preserve">De igual </w:t>
      </w:r>
      <w:r w:rsidR="009A74AA" w:rsidRPr="007A24F9">
        <w:rPr>
          <w:rFonts w:ascii="Arial" w:hAnsi="Arial" w:cs="Arial"/>
          <w:color w:val="000000"/>
          <w:sz w:val="22"/>
          <w:szCs w:val="22"/>
        </w:rPr>
        <w:t>forma, para</w:t>
      </w:r>
      <w:r w:rsidRPr="007A24F9">
        <w:rPr>
          <w:rFonts w:ascii="Arial" w:hAnsi="Arial" w:cs="Arial"/>
          <w:color w:val="000000"/>
          <w:sz w:val="22"/>
          <w:szCs w:val="22"/>
        </w:rPr>
        <w:t xml:space="preserve"> el </w:t>
      </w:r>
      <w:r w:rsidR="009A74AA" w:rsidRPr="007A24F9">
        <w:rPr>
          <w:rFonts w:ascii="Arial" w:hAnsi="Arial" w:cs="Arial"/>
          <w:color w:val="000000"/>
          <w:sz w:val="22"/>
          <w:szCs w:val="22"/>
        </w:rPr>
        <w:t xml:space="preserve">periodo de </w:t>
      </w:r>
      <w:r w:rsidRPr="007A24F9">
        <w:rPr>
          <w:rFonts w:ascii="Arial" w:hAnsi="Arial" w:cs="Arial"/>
          <w:color w:val="000000"/>
          <w:sz w:val="22"/>
          <w:szCs w:val="22"/>
        </w:rPr>
        <w:t>marzo</w:t>
      </w:r>
      <w:r w:rsidR="009A74AA" w:rsidRPr="007A24F9">
        <w:rPr>
          <w:rFonts w:ascii="Arial" w:hAnsi="Arial" w:cs="Arial"/>
          <w:color w:val="000000"/>
          <w:sz w:val="22"/>
          <w:szCs w:val="22"/>
        </w:rPr>
        <w:t xml:space="preserve">, se considera que </w:t>
      </w:r>
      <w:r w:rsidR="009A74AA" w:rsidRPr="007A24F9">
        <w:rPr>
          <w:rFonts w:ascii="Arial" w:hAnsi="Arial" w:cs="Arial"/>
          <w:color w:val="000000" w:themeColor="text1"/>
          <w:sz w:val="22"/>
          <w:szCs w:val="22"/>
        </w:rPr>
        <w:t xml:space="preserve">las medidas adoptadas por este Ministerio, en virtud de </w:t>
      </w:r>
      <w:r w:rsidR="009A74AA" w:rsidRPr="007A24F9">
        <w:rPr>
          <w:rFonts w:ascii="Arial" w:hAnsi="Arial" w:cs="Arial"/>
          <w:color w:val="000000" w:themeColor="text1"/>
          <w:sz w:val="22"/>
          <w:szCs w:val="22"/>
          <w:bdr w:val="none" w:sz="0" w:space="0" w:color="auto" w:frame="1"/>
        </w:rPr>
        <w:t xml:space="preserve">la Emergencia Económica, Social y Ecológica [Covid-19] decretada por el Gobierno Nacional, entre otras el aislamiento preventivo obligatorio a mediados del mes de marzo de 2020, fue un factor que influyó en las estadísticas de consumo y gasto de energía, permitiendo obtener las variaciones negativas.  </w:t>
      </w:r>
    </w:p>
    <w:p w14:paraId="363DCD7D" w14:textId="77777777" w:rsidR="007224F1" w:rsidRPr="007A24F9" w:rsidRDefault="007224F1" w:rsidP="007D256B">
      <w:pPr>
        <w:spacing w:line="168" w:lineRule="auto"/>
        <w:jc w:val="both"/>
        <w:rPr>
          <w:rFonts w:ascii="Arial" w:hAnsi="Arial" w:cs="Arial"/>
          <w:b/>
          <w:color w:val="000000"/>
          <w:sz w:val="22"/>
          <w:szCs w:val="22"/>
          <w:highlight w:val="yellow"/>
        </w:rPr>
      </w:pPr>
    </w:p>
    <w:p w14:paraId="100987BA" w14:textId="77777777" w:rsidR="00D838A9" w:rsidRPr="005045BF" w:rsidRDefault="00D838A9" w:rsidP="007D256B">
      <w:pPr>
        <w:spacing w:line="168" w:lineRule="auto"/>
        <w:jc w:val="both"/>
        <w:rPr>
          <w:rFonts w:ascii="Arial" w:hAnsi="Arial" w:cs="Arial"/>
          <w:b/>
          <w:color w:val="000000"/>
          <w:sz w:val="22"/>
          <w:szCs w:val="22"/>
        </w:rPr>
      </w:pPr>
    </w:p>
    <w:p w14:paraId="69E007E1" w14:textId="24A22842" w:rsidR="00422553" w:rsidRPr="003E5934" w:rsidRDefault="00A76324" w:rsidP="003E5934">
      <w:pPr>
        <w:pStyle w:val="Prrafodelista"/>
        <w:numPr>
          <w:ilvl w:val="1"/>
          <w:numId w:val="48"/>
        </w:numPr>
        <w:rPr>
          <w:rFonts w:ascii="Arial" w:hAnsi="Arial" w:cs="Arial"/>
          <w:b/>
          <w:color w:val="000000"/>
          <w:sz w:val="22"/>
          <w:szCs w:val="22"/>
        </w:rPr>
      </w:pPr>
      <w:r w:rsidRPr="003E5934">
        <w:rPr>
          <w:rFonts w:ascii="Arial" w:hAnsi="Arial" w:cs="Arial"/>
          <w:b/>
          <w:color w:val="000000"/>
          <w:sz w:val="22"/>
          <w:szCs w:val="22"/>
        </w:rPr>
        <w:t xml:space="preserve"> </w:t>
      </w:r>
      <w:r w:rsidR="00535509" w:rsidRPr="003E5934">
        <w:rPr>
          <w:rFonts w:ascii="Arial" w:hAnsi="Arial" w:cs="Arial"/>
          <w:b/>
          <w:color w:val="000000"/>
          <w:sz w:val="22"/>
          <w:szCs w:val="22"/>
        </w:rPr>
        <w:t xml:space="preserve">ACUEDUCTO Y </w:t>
      </w:r>
      <w:r w:rsidR="00514FD7" w:rsidRPr="003E5934">
        <w:rPr>
          <w:rFonts w:ascii="Arial" w:hAnsi="Arial" w:cs="Arial"/>
          <w:b/>
          <w:color w:val="000000"/>
          <w:sz w:val="22"/>
          <w:szCs w:val="22"/>
        </w:rPr>
        <w:t>ASEO</w:t>
      </w:r>
    </w:p>
    <w:p w14:paraId="2549AE8B" w14:textId="77777777" w:rsidR="007323A3" w:rsidRPr="005045BF" w:rsidRDefault="007323A3" w:rsidP="007323A3">
      <w:pPr>
        <w:ind w:left="708"/>
        <w:jc w:val="both"/>
        <w:rPr>
          <w:rFonts w:ascii="Arial" w:hAnsi="Arial" w:cs="Arial"/>
          <w:b/>
          <w:color w:val="000000"/>
          <w:sz w:val="22"/>
          <w:szCs w:val="22"/>
        </w:rPr>
      </w:pPr>
    </w:p>
    <w:p w14:paraId="529B35D4" w14:textId="2448FF1B" w:rsidR="00473AEE" w:rsidRPr="005045BF" w:rsidRDefault="00B853C9" w:rsidP="007323A3">
      <w:pPr>
        <w:jc w:val="both"/>
        <w:rPr>
          <w:rFonts w:ascii="Arial" w:hAnsi="Arial" w:cs="Arial"/>
          <w:color w:val="000000"/>
          <w:sz w:val="22"/>
          <w:szCs w:val="22"/>
        </w:rPr>
      </w:pPr>
      <w:r w:rsidRPr="005045BF">
        <w:rPr>
          <w:rFonts w:ascii="Arial" w:hAnsi="Arial" w:cs="Arial"/>
          <w:color w:val="000000"/>
          <w:sz w:val="22"/>
          <w:szCs w:val="22"/>
        </w:rPr>
        <w:t xml:space="preserve">Para el </w:t>
      </w:r>
      <w:r w:rsidR="00DE247B" w:rsidRPr="005045BF">
        <w:rPr>
          <w:rFonts w:ascii="Arial" w:hAnsi="Arial" w:cs="Arial"/>
          <w:color w:val="000000"/>
          <w:sz w:val="22"/>
          <w:szCs w:val="22"/>
        </w:rPr>
        <w:t>servicio de acueducto</w:t>
      </w:r>
      <w:r w:rsidR="00522689" w:rsidRPr="005045BF">
        <w:rPr>
          <w:rFonts w:ascii="Arial" w:hAnsi="Arial" w:cs="Arial"/>
          <w:color w:val="000000"/>
          <w:sz w:val="22"/>
          <w:szCs w:val="22"/>
        </w:rPr>
        <w:t xml:space="preserve"> </w:t>
      </w:r>
      <w:r w:rsidR="00DE247B" w:rsidRPr="005045BF">
        <w:rPr>
          <w:rFonts w:ascii="Arial" w:hAnsi="Arial" w:cs="Arial"/>
          <w:color w:val="000000"/>
          <w:sz w:val="22"/>
          <w:szCs w:val="22"/>
        </w:rPr>
        <w:t>y aseo,</w:t>
      </w:r>
      <w:r w:rsidR="008D2AE3" w:rsidRPr="005045BF">
        <w:rPr>
          <w:rFonts w:ascii="Arial" w:hAnsi="Arial" w:cs="Arial"/>
          <w:color w:val="000000"/>
          <w:sz w:val="22"/>
          <w:szCs w:val="22"/>
        </w:rPr>
        <w:t xml:space="preserve"> al igual que el servicio de energía</w:t>
      </w:r>
      <w:r w:rsidR="00082A09" w:rsidRPr="005045BF">
        <w:rPr>
          <w:rFonts w:ascii="Arial" w:hAnsi="Arial" w:cs="Arial"/>
          <w:color w:val="000000"/>
          <w:sz w:val="22"/>
          <w:szCs w:val="22"/>
        </w:rPr>
        <w:t>,</w:t>
      </w:r>
      <w:r w:rsidR="008D2AE3" w:rsidRPr="005045BF">
        <w:rPr>
          <w:rFonts w:ascii="Arial" w:hAnsi="Arial" w:cs="Arial"/>
          <w:color w:val="000000"/>
          <w:sz w:val="22"/>
          <w:szCs w:val="22"/>
        </w:rPr>
        <w:t xml:space="preserve"> </w:t>
      </w:r>
      <w:r w:rsidR="008B1F9F" w:rsidRPr="005045BF">
        <w:rPr>
          <w:rFonts w:ascii="Arial" w:hAnsi="Arial" w:cs="Arial"/>
          <w:color w:val="000000"/>
          <w:sz w:val="22"/>
          <w:szCs w:val="22"/>
        </w:rPr>
        <w:t xml:space="preserve">para la sede de San Agustín </w:t>
      </w:r>
      <w:r w:rsidR="008D2AE3" w:rsidRPr="005045BF">
        <w:rPr>
          <w:rFonts w:ascii="Arial" w:hAnsi="Arial" w:cs="Arial"/>
          <w:color w:val="000000"/>
          <w:sz w:val="22"/>
          <w:szCs w:val="22"/>
        </w:rPr>
        <w:t xml:space="preserve">se realiza el prorrateo </w:t>
      </w:r>
      <w:r w:rsidR="002026B1" w:rsidRPr="005045BF">
        <w:rPr>
          <w:rFonts w:ascii="Arial" w:hAnsi="Arial" w:cs="Arial"/>
          <w:color w:val="000000"/>
          <w:sz w:val="22"/>
          <w:szCs w:val="22"/>
        </w:rPr>
        <w:t xml:space="preserve">para determinar el valor a cargo del Ministerio de Hacienda y </w:t>
      </w:r>
      <w:r w:rsidR="00082A09" w:rsidRPr="005045BF">
        <w:rPr>
          <w:rFonts w:ascii="Arial" w:hAnsi="Arial" w:cs="Arial"/>
          <w:color w:val="000000"/>
          <w:sz w:val="22"/>
          <w:szCs w:val="22"/>
        </w:rPr>
        <w:t>Crédito Público y la DIAN.</w:t>
      </w:r>
      <w:r w:rsidR="00BA2679" w:rsidRPr="005045BF">
        <w:rPr>
          <w:rFonts w:ascii="Arial" w:hAnsi="Arial" w:cs="Arial"/>
          <w:color w:val="000000"/>
          <w:sz w:val="22"/>
          <w:szCs w:val="22"/>
        </w:rPr>
        <w:t xml:space="preserve"> </w:t>
      </w:r>
      <w:r w:rsidR="008B1F9F" w:rsidRPr="005045BF">
        <w:rPr>
          <w:rFonts w:ascii="Arial" w:hAnsi="Arial" w:cs="Arial"/>
          <w:color w:val="000000"/>
          <w:sz w:val="22"/>
          <w:szCs w:val="22"/>
        </w:rPr>
        <w:t xml:space="preserve">La gestión de cobro realizada por la Subdirección de Servicios concerniente al </w:t>
      </w:r>
      <w:r w:rsidR="00850EB8" w:rsidRPr="005045BF">
        <w:rPr>
          <w:rFonts w:ascii="Arial" w:hAnsi="Arial" w:cs="Arial"/>
          <w:color w:val="000000"/>
          <w:sz w:val="22"/>
          <w:szCs w:val="22"/>
        </w:rPr>
        <w:t>primer trimestre</w:t>
      </w:r>
      <w:r w:rsidR="008B1F9F" w:rsidRPr="005045BF">
        <w:rPr>
          <w:rFonts w:ascii="Arial" w:hAnsi="Arial" w:cs="Arial"/>
          <w:color w:val="000000"/>
          <w:sz w:val="22"/>
          <w:szCs w:val="22"/>
        </w:rPr>
        <w:t xml:space="preserve"> de 20</w:t>
      </w:r>
      <w:r w:rsidR="00850EB8" w:rsidRPr="005045BF">
        <w:rPr>
          <w:rFonts w:ascii="Arial" w:hAnsi="Arial" w:cs="Arial"/>
          <w:color w:val="000000"/>
          <w:sz w:val="22"/>
          <w:szCs w:val="22"/>
        </w:rPr>
        <w:t>20</w:t>
      </w:r>
      <w:r w:rsidR="008B1F9F" w:rsidRPr="005045BF">
        <w:rPr>
          <w:rFonts w:ascii="Arial" w:hAnsi="Arial" w:cs="Arial"/>
          <w:color w:val="000000"/>
          <w:sz w:val="22"/>
          <w:szCs w:val="22"/>
        </w:rPr>
        <w:t xml:space="preserve"> se evidenció </w:t>
      </w:r>
      <w:r w:rsidR="00BA2679" w:rsidRPr="005045BF">
        <w:rPr>
          <w:rFonts w:ascii="Arial" w:hAnsi="Arial" w:cs="Arial"/>
          <w:color w:val="000000"/>
          <w:sz w:val="22"/>
          <w:szCs w:val="22"/>
        </w:rPr>
        <w:t xml:space="preserve">a través de los </w:t>
      </w:r>
      <w:r w:rsidR="005E42B4" w:rsidRPr="005045BF">
        <w:rPr>
          <w:rFonts w:ascii="Arial" w:hAnsi="Arial" w:cs="Arial"/>
          <w:color w:val="000000"/>
          <w:sz w:val="22"/>
          <w:szCs w:val="22"/>
        </w:rPr>
        <w:t>siguientes</w:t>
      </w:r>
      <w:r w:rsidR="006A61BE" w:rsidRPr="005045BF">
        <w:rPr>
          <w:rFonts w:ascii="Arial" w:hAnsi="Arial" w:cs="Arial"/>
          <w:color w:val="000000"/>
          <w:sz w:val="22"/>
          <w:szCs w:val="22"/>
        </w:rPr>
        <w:t xml:space="preserve"> oficios remitidos a la DIAN, así: </w:t>
      </w:r>
    </w:p>
    <w:p w14:paraId="3C19ABA1" w14:textId="3FDA1D00" w:rsidR="006A61BE" w:rsidRPr="005045BF" w:rsidRDefault="006A61BE" w:rsidP="007323A3">
      <w:pPr>
        <w:jc w:val="both"/>
        <w:rPr>
          <w:rFonts w:ascii="Arial" w:hAnsi="Arial" w:cs="Arial"/>
          <w:color w:val="000000"/>
          <w:sz w:val="22"/>
          <w:szCs w:val="22"/>
          <w:highlight w:val="yellow"/>
        </w:rPr>
      </w:pPr>
    </w:p>
    <w:tbl>
      <w:tblPr>
        <w:tblStyle w:val="Tablaconcuadrcula1clara-nfasis1"/>
        <w:tblW w:w="9634" w:type="dxa"/>
        <w:tblLayout w:type="fixed"/>
        <w:tblLook w:val="04A0" w:firstRow="1" w:lastRow="0" w:firstColumn="1" w:lastColumn="0" w:noHBand="0" w:noVBand="1"/>
      </w:tblPr>
      <w:tblGrid>
        <w:gridCol w:w="1250"/>
        <w:gridCol w:w="2714"/>
        <w:gridCol w:w="1276"/>
        <w:gridCol w:w="1701"/>
        <w:gridCol w:w="1134"/>
        <w:gridCol w:w="1559"/>
      </w:tblGrid>
      <w:tr w:rsidR="006C01A2" w:rsidRPr="005045BF" w14:paraId="5FE4168B" w14:textId="3E29A4AE" w:rsidTr="00A701EF">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250" w:type="dxa"/>
            <w:shd w:val="clear" w:color="auto" w:fill="4F81BD" w:themeFill="accent1"/>
            <w:noWrap/>
            <w:vAlign w:val="center"/>
            <w:hideMark/>
          </w:tcPr>
          <w:p w14:paraId="3E0FAC62" w14:textId="77777777" w:rsidR="006A61BE" w:rsidRPr="005045BF" w:rsidRDefault="006A61BE" w:rsidP="00043BFD">
            <w:pPr>
              <w:spacing w:before="40" w:after="40"/>
              <w:rPr>
                <w:rFonts w:ascii="Arial" w:hAnsi="Arial" w:cs="Arial"/>
                <w:color w:val="FFFFFF" w:themeColor="background1"/>
                <w:sz w:val="20"/>
                <w:szCs w:val="20"/>
              </w:rPr>
            </w:pPr>
            <w:r w:rsidRPr="005045BF">
              <w:rPr>
                <w:rFonts w:ascii="Arial" w:hAnsi="Arial" w:cs="Arial"/>
                <w:color w:val="FFFFFF" w:themeColor="background1"/>
                <w:sz w:val="20"/>
                <w:szCs w:val="20"/>
              </w:rPr>
              <w:t>Concepto</w:t>
            </w:r>
          </w:p>
        </w:tc>
        <w:tc>
          <w:tcPr>
            <w:tcW w:w="2714" w:type="dxa"/>
            <w:shd w:val="clear" w:color="auto" w:fill="4F81BD" w:themeFill="accent1"/>
            <w:vAlign w:val="center"/>
            <w:hideMark/>
          </w:tcPr>
          <w:p w14:paraId="7A550763" w14:textId="77777777" w:rsidR="006A61BE" w:rsidRPr="005045BF"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Periodo</w:t>
            </w:r>
          </w:p>
        </w:tc>
        <w:tc>
          <w:tcPr>
            <w:tcW w:w="1276" w:type="dxa"/>
            <w:shd w:val="clear" w:color="auto" w:fill="4F81BD" w:themeFill="accent1"/>
            <w:vAlign w:val="center"/>
            <w:hideMark/>
          </w:tcPr>
          <w:p w14:paraId="2B094E5D" w14:textId="77777777" w:rsidR="006A61BE" w:rsidRPr="005045BF"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Fecha </w:t>
            </w:r>
          </w:p>
        </w:tc>
        <w:tc>
          <w:tcPr>
            <w:tcW w:w="1701" w:type="dxa"/>
            <w:shd w:val="clear" w:color="auto" w:fill="4F81BD" w:themeFill="accent1"/>
            <w:vAlign w:val="center"/>
            <w:hideMark/>
          </w:tcPr>
          <w:p w14:paraId="1F1000C2" w14:textId="77777777" w:rsidR="006A61BE" w:rsidRPr="005045BF" w:rsidRDefault="006A61B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Radicado</w:t>
            </w:r>
          </w:p>
        </w:tc>
        <w:tc>
          <w:tcPr>
            <w:tcW w:w="1134" w:type="dxa"/>
            <w:shd w:val="clear" w:color="auto" w:fill="4F81BD" w:themeFill="accent1"/>
            <w:vAlign w:val="center"/>
            <w:hideMark/>
          </w:tcPr>
          <w:p w14:paraId="43F9C414" w14:textId="7C7EB7D6" w:rsidR="006A61BE" w:rsidRPr="005045BF" w:rsidRDefault="00A23BCE"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Valor a Cobrar Prorrateo </w:t>
            </w:r>
            <w:r w:rsidR="006A61BE" w:rsidRPr="005045BF">
              <w:rPr>
                <w:rFonts w:ascii="Arial" w:hAnsi="Arial" w:cs="Arial"/>
                <w:color w:val="FFFFFF" w:themeColor="background1"/>
                <w:sz w:val="20"/>
                <w:szCs w:val="20"/>
              </w:rPr>
              <w:t xml:space="preserve">($) </w:t>
            </w:r>
          </w:p>
        </w:tc>
        <w:tc>
          <w:tcPr>
            <w:tcW w:w="1559" w:type="dxa"/>
            <w:shd w:val="clear" w:color="auto" w:fill="4F81BD" w:themeFill="accent1"/>
            <w:vAlign w:val="center"/>
          </w:tcPr>
          <w:p w14:paraId="5E9F8A44" w14:textId="0E17BE44" w:rsidR="006A61BE" w:rsidRPr="005045BF" w:rsidRDefault="006C01A2" w:rsidP="00043BFD">
            <w:pPr>
              <w:spacing w:before="40" w:after="40"/>
              <w:jc w:val="center"/>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0"/>
                <w:szCs w:val="20"/>
              </w:rPr>
            </w:pPr>
            <w:r w:rsidRPr="005045BF">
              <w:rPr>
                <w:rFonts w:ascii="Arial" w:hAnsi="Arial" w:cs="Arial"/>
                <w:color w:val="FFFFFF" w:themeColor="background1"/>
                <w:sz w:val="20"/>
                <w:szCs w:val="20"/>
              </w:rPr>
              <w:t xml:space="preserve">Número </w:t>
            </w:r>
            <w:r w:rsidR="006A61BE" w:rsidRPr="005045BF">
              <w:rPr>
                <w:rFonts w:ascii="Arial" w:hAnsi="Arial" w:cs="Arial"/>
                <w:color w:val="FFFFFF" w:themeColor="background1"/>
                <w:sz w:val="20"/>
                <w:szCs w:val="20"/>
              </w:rPr>
              <w:t>Factura</w:t>
            </w:r>
          </w:p>
        </w:tc>
      </w:tr>
      <w:tr w:rsidR="004E6C00" w:rsidRPr="005045BF" w14:paraId="3AFBD358" w14:textId="2988317D" w:rsidTr="00A701EF">
        <w:trPr>
          <w:cantSplit/>
          <w:trHeight w:val="570"/>
        </w:trPr>
        <w:tc>
          <w:tcPr>
            <w:cnfStyle w:val="001000000000" w:firstRow="0" w:lastRow="0" w:firstColumn="1" w:lastColumn="0" w:oddVBand="0" w:evenVBand="0" w:oddHBand="0" w:evenHBand="0" w:firstRowFirstColumn="0" w:firstRowLastColumn="0" w:lastRowFirstColumn="0" w:lastRowLastColumn="0"/>
            <w:tcW w:w="1250" w:type="dxa"/>
            <w:vAlign w:val="center"/>
            <w:hideMark/>
          </w:tcPr>
          <w:p w14:paraId="4C41C62F" w14:textId="77777777" w:rsidR="004E6C00" w:rsidRPr="005045BF" w:rsidRDefault="004E6C00" w:rsidP="00043BFD">
            <w:pPr>
              <w:spacing w:before="40" w:after="40"/>
              <w:jc w:val="center"/>
              <w:rPr>
                <w:rFonts w:ascii="Arial" w:hAnsi="Arial" w:cs="Arial"/>
                <w:color w:val="222A35"/>
                <w:sz w:val="20"/>
                <w:szCs w:val="20"/>
              </w:rPr>
            </w:pPr>
            <w:r w:rsidRPr="005045BF">
              <w:rPr>
                <w:rFonts w:ascii="Arial" w:hAnsi="Arial" w:cs="Arial"/>
                <w:color w:val="222A35"/>
                <w:sz w:val="20"/>
                <w:szCs w:val="20"/>
              </w:rPr>
              <w:t xml:space="preserve">Acueducto </w:t>
            </w:r>
          </w:p>
        </w:tc>
        <w:tc>
          <w:tcPr>
            <w:tcW w:w="2714" w:type="dxa"/>
            <w:vAlign w:val="center"/>
          </w:tcPr>
          <w:p w14:paraId="125CE44D" w14:textId="05DEFB78"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04 de enero al 04 de marzo de 2020</w:t>
            </w:r>
          </w:p>
        </w:tc>
        <w:tc>
          <w:tcPr>
            <w:tcW w:w="1276" w:type="dxa"/>
            <w:vAlign w:val="center"/>
          </w:tcPr>
          <w:p w14:paraId="10AF0EAE" w14:textId="0516ACE1" w:rsidR="004E6C00" w:rsidRPr="005045BF" w:rsidRDefault="00A701EF"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07/04/2020</w:t>
            </w:r>
          </w:p>
        </w:tc>
        <w:tc>
          <w:tcPr>
            <w:tcW w:w="1701" w:type="dxa"/>
            <w:vAlign w:val="center"/>
          </w:tcPr>
          <w:p w14:paraId="26D2DF3C" w14:textId="04829F5A" w:rsidR="004E6C00" w:rsidRPr="005045BF" w:rsidRDefault="004E6C00" w:rsidP="00043BF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2-2020-012796</w:t>
            </w:r>
          </w:p>
        </w:tc>
        <w:tc>
          <w:tcPr>
            <w:tcW w:w="1134" w:type="dxa"/>
            <w:vAlign w:val="center"/>
          </w:tcPr>
          <w:p w14:paraId="02CAD937" w14:textId="65CB75BA" w:rsidR="004E6C00" w:rsidRPr="005045BF" w:rsidRDefault="00A701EF" w:rsidP="003B606C">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8.034.290</w:t>
            </w:r>
          </w:p>
        </w:tc>
        <w:tc>
          <w:tcPr>
            <w:tcW w:w="1559" w:type="dxa"/>
            <w:vAlign w:val="center"/>
          </w:tcPr>
          <w:p w14:paraId="68DF59A1" w14:textId="46859D89" w:rsidR="004E6C00" w:rsidRPr="005045BF" w:rsidRDefault="00A701EF" w:rsidP="00A70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35657127219</w:t>
            </w:r>
            <w:r w:rsidR="004E6C00" w:rsidRPr="005045BF">
              <w:rPr>
                <w:rFonts w:ascii="Arial" w:hAnsi="Arial" w:cs="Arial"/>
                <w:color w:val="000000"/>
                <w:sz w:val="20"/>
                <w:szCs w:val="20"/>
              </w:rPr>
              <w:t> </w:t>
            </w:r>
          </w:p>
        </w:tc>
      </w:tr>
      <w:tr w:rsidR="004E6C00" w:rsidRPr="005045BF" w14:paraId="45F3A1A2" w14:textId="66C41F88" w:rsidTr="00A701EF">
        <w:trPr>
          <w:cantSplit/>
        </w:trPr>
        <w:tc>
          <w:tcPr>
            <w:cnfStyle w:val="001000000000" w:firstRow="0" w:lastRow="0" w:firstColumn="1" w:lastColumn="0" w:oddVBand="0" w:evenVBand="0" w:oddHBand="0" w:evenHBand="0" w:firstRowFirstColumn="0" w:firstRowLastColumn="0" w:lastRowFirstColumn="0" w:lastRowLastColumn="0"/>
            <w:tcW w:w="1250" w:type="dxa"/>
            <w:vMerge w:val="restart"/>
            <w:noWrap/>
            <w:vAlign w:val="center"/>
            <w:hideMark/>
          </w:tcPr>
          <w:p w14:paraId="0D12B527" w14:textId="77777777" w:rsidR="004E6C00" w:rsidRPr="005045BF" w:rsidRDefault="004E6C00" w:rsidP="00043BFD">
            <w:pPr>
              <w:spacing w:before="40" w:after="40"/>
              <w:jc w:val="center"/>
              <w:rPr>
                <w:rFonts w:ascii="Arial" w:hAnsi="Arial" w:cs="Arial"/>
                <w:color w:val="000000"/>
                <w:sz w:val="20"/>
                <w:szCs w:val="20"/>
              </w:rPr>
            </w:pPr>
            <w:r w:rsidRPr="005045BF">
              <w:rPr>
                <w:rFonts w:ascii="Arial" w:hAnsi="Arial" w:cs="Arial"/>
                <w:color w:val="000000"/>
                <w:sz w:val="20"/>
                <w:szCs w:val="20"/>
              </w:rPr>
              <w:t>Aseo</w:t>
            </w:r>
          </w:p>
        </w:tc>
        <w:tc>
          <w:tcPr>
            <w:tcW w:w="2714" w:type="dxa"/>
            <w:vAlign w:val="center"/>
          </w:tcPr>
          <w:p w14:paraId="21BC483A" w14:textId="680BBC1C"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01 al 31 de enero de 2020</w:t>
            </w:r>
          </w:p>
        </w:tc>
        <w:tc>
          <w:tcPr>
            <w:tcW w:w="1276" w:type="dxa"/>
            <w:vAlign w:val="center"/>
          </w:tcPr>
          <w:p w14:paraId="4F2B8F3E" w14:textId="253C5B16"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2/03/2020</w:t>
            </w:r>
          </w:p>
        </w:tc>
        <w:tc>
          <w:tcPr>
            <w:tcW w:w="1701" w:type="dxa"/>
            <w:vAlign w:val="center"/>
          </w:tcPr>
          <w:p w14:paraId="552323E0" w14:textId="177F1776" w:rsidR="004E6C00" w:rsidRPr="005045BF" w:rsidRDefault="004E6C00" w:rsidP="00043BF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2-2020-007602</w:t>
            </w:r>
          </w:p>
        </w:tc>
        <w:tc>
          <w:tcPr>
            <w:tcW w:w="1134" w:type="dxa"/>
            <w:vAlign w:val="center"/>
          </w:tcPr>
          <w:p w14:paraId="402426DC" w14:textId="43BA8F12" w:rsidR="004E6C00" w:rsidRPr="005045BF" w:rsidRDefault="004E6C00" w:rsidP="003B606C">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705.857 </w:t>
            </w:r>
          </w:p>
        </w:tc>
        <w:tc>
          <w:tcPr>
            <w:tcW w:w="1559" w:type="dxa"/>
            <w:vAlign w:val="center"/>
          </w:tcPr>
          <w:p w14:paraId="0CFA8584" w14:textId="6ACF23F8" w:rsidR="004E6C00" w:rsidRPr="005045BF" w:rsidRDefault="004E6C00" w:rsidP="00A70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31429525</w:t>
            </w:r>
          </w:p>
        </w:tc>
      </w:tr>
      <w:tr w:rsidR="004E6C00" w:rsidRPr="005045BF" w14:paraId="5BC1D626" w14:textId="01E0DC05" w:rsidTr="00A701EF">
        <w:trPr>
          <w:cantSplit/>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2E8CAA48" w14:textId="77777777" w:rsidR="004E6C00" w:rsidRPr="005045BF" w:rsidRDefault="004E6C00" w:rsidP="00043BFD">
            <w:pPr>
              <w:spacing w:before="40" w:after="40"/>
              <w:rPr>
                <w:rFonts w:ascii="Arial" w:hAnsi="Arial" w:cs="Arial"/>
                <w:color w:val="000000"/>
                <w:sz w:val="20"/>
                <w:szCs w:val="20"/>
              </w:rPr>
            </w:pPr>
          </w:p>
        </w:tc>
        <w:tc>
          <w:tcPr>
            <w:tcW w:w="2714" w:type="dxa"/>
            <w:vAlign w:val="center"/>
          </w:tcPr>
          <w:p w14:paraId="656D4B3E" w14:textId="27A3DC48"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01 al 29 de febrero de 2020</w:t>
            </w:r>
          </w:p>
        </w:tc>
        <w:tc>
          <w:tcPr>
            <w:tcW w:w="1276" w:type="dxa"/>
            <w:vAlign w:val="center"/>
          </w:tcPr>
          <w:p w14:paraId="2CEC877B" w14:textId="54467206"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2/04/2020</w:t>
            </w:r>
          </w:p>
        </w:tc>
        <w:tc>
          <w:tcPr>
            <w:tcW w:w="1701" w:type="dxa"/>
            <w:vAlign w:val="center"/>
          </w:tcPr>
          <w:p w14:paraId="09163A20" w14:textId="2D912F0A" w:rsidR="004E6C00" w:rsidRPr="005045BF" w:rsidRDefault="004E6C00" w:rsidP="00043BF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2-2020-011991</w:t>
            </w:r>
          </w:p>
        </w:tc>
        <w:tc>
          <w:tcPr>
            <w:tcW w:w="1134" w:type="dxa"/>
            <w:vAlign w:val="center"/>
          </w:tcPr>
          <w:p w14:paraId="34C09932" w14:textId="6AD94BCE" w:rsidR="004E6C00" w:rsidRPr="005045BF" w:rsidRDefault="004E6C00" w:rsidP="003B606C">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715.486 </w:t>
            </w:r>
          </w:p>
        </w:tc>
        <w:tc>
          <w:tcPr>
            <w:tcW w:w="1559" w:type="dxa"/>
            <w:vAlign w:val="center"/>
          </w:tcPr>
          <w:p w14:paraId="2A654EBC" w14:textId="17FCF27A" w:rsidR="004E6C00" w:rsidRPr="005045BF" w:rsidRDefault="004E6C00" w:rsidP="00A70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33142056</w:t>
            </w:r>
          </w:p>
        </w:tc>
      </w:tr>
      <w:tr w:rsidR="004E6C00" w:rsidRPr="005045BF" w14:paraId="7C200E3B" w14:textId="0B8A4E81" w:rsidTr="00A701EF">
        <w:trPr>
          <w:cantSplit/>
        </w:trPr>
        <w:tc>
          <w:tcPr>
            <w:cnfStyle w:val="001000000000" w:firstRow="0" w:lastRow="0" w:firstColumn="1" w:lastColumn="0" w:oddVBand="0" w:evenVBand="0" w:oddHBand="0" w:evenHBand="0" w:firstRowFirstColumn="0" w:firstRowLastColumn="0" w:lastRowFirstColumn="0" w:lastRowLastColumn="0"/>
            <w:tcW w:w="1250" w:type="dxa"/>
            <w:vMerge/>
            <w:vAlign w:val="center"/>
            <w:hideMark/>
          </w:tcPr>
          <w:p w14:paraId="3641587B" w14:textId="77777777" w:rsidR="004E6C00" w:rsidRPr="005045BF" w:rsidRDefault="004E6C00" w:rsidP="00043BFD">
            <w:pPr>
              <w:spacing w:before="40" w:after="40"/>
              <w:rPr>
                <w:rFonts w:ascii="Arial" w:hAnsi="Arial" w:cs="Arial"/>
                <w:color w:val="000000"/>
                <w:sz w:val="20"/>
                <w:szCs w:val="20"/>
              </w:rPr>
            </w:pPr>
          </w:p>
        </w:tc>
        <w:tc>
          <w:tcPr>
            <w:tcW w:w="2714" w:type="dxa"/>
            <w:vAlign w:val="center"/>
          </w:tcPr>
          <w:p w14:paraId="03EC3703" w14:textId="5DEEF348" w:rsidR="004E6C00" w:rsidRPr="005045BF" w:rsidRDefault="004E6C00" w:rsidP="00043BFD">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01 al 31 de marzo de 2020</w:t>
            </w:r>
          </w:p>
        </w:tc>
        <w:tc>
          <w:tcPr>
            <w:tcW w:w="1276" w:type="dxa"/>
            <w:shd w:val="clear" w:color="auto" w:fill="auto"/>
            <w:noWrap/>
            <w:vAlign w:val="center"/>
          </w:tcPr>
          <w:p w14:paraId="180716C7" w14:textId="32F7FD81" w:rsidR="004E6C00" w:rsidRPr="005045BF" w:rsidRDefault="004E6C00" w:rsidP="00043BFD">
            <w:pPr>
              <w:spacing w:before="40" w:after="4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30/04/2020</w:t>
            </w:r>
          </w:p>
        </w:tc>
        <w:tc>
          <w:tcPr>
            <w:tcW w:w="1701" w:type="dxa"/>
            <w:shd w:val="clear" w:color="auto" w:fill="auto"/>
            <w:noWrap/>
            <w:vAlign w:val="center"/>
          </w:tcPr>
          <w:p w14:paraId="63019BF8" w14:textId="6EC50A5D" w:rsidR="004E6C00" w:rsidRPr="005045BF" w:rsidRDefault="004E6C00" w:rsidP="00043BFD">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2-2020-016647</w:t>
            </w:r>
          </w:p>
        </w:tc>
        <w:tc>
          <w:tcPr>
            <w:tcW w:w="1134" w:type="dxa"/>
            <w:shd w:val="clear" w:color="auto" w:fill="auto"/>
            <w:noWrap/>
            <w:vAlign w:val="center"/>
          </w:tcPr>
          <w:p w14:paraId="4FC96477" w14:textId="4447BE0C" w:rsidR="004E6C00" w:rsidRPr="005045BF" w:rsidRDefault="004E6C00" w:rsidP="003B606C">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 xml:space="preserve">724.229 </w:t>
            </w:r>
          </w:p>
        </w:tc>
        <w:tc>
          <w:tcPr>
            <w:tcW w:w="1559" w:type="dxa"/>
            <w:shd w:val="clear" w:color="auto" w:fill="auto"/>
            <w:vAlign w:val="bottom"/>
          </w:tcPr>
          <w:p w14:paraId="53F26AED" w14:textId="576A6CAA" w:rsidR="004E6C00" w:rsidRPr="005045BF" w:rsidRDefault="004E6C00" w:rsidP="00A701EF">
            <w:pPr>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34783156</w:t>
            </w:r>
          </w:p>
        </w:tc>
      </w:tr>
    </w:tbl>
    <w:p w14:paraId="1FB1D077" w14:textId="77777777" w:rsidR="0049573A" w:rsidRPr="005045BF" w:rsidRDefault="0049573A" w:rsidP="007323A3">
      <w:pPr>
        <w:jc w:val="both"/>
        <w:rPr>
          <w:rFonts w:ascii="Arial" w:hAnsi="Arial" w:cs="Arial"/>
          <w:color w:val="000000"/>
          <w:sz w:val="22"/>
          <w:szCs w:val="22"/>
          <w:highlight w:val="yellow"/>
        </w:rPr>
      </w:pPr>
    </w:p>
    <w:p w14:paraId="6424209C" w14:textId="086FFD2A" w:rsidR="00BA2679" w:rsidRPr="005045BF" w:rsidRDefault="006A61BE" w:rsidP="007323A3">
      <w:pPr>
        <w:jc w:val="both"/>
        <w:rPr>
          <w:rFonts w:ascii="Arial" w:hAnsi="Arial" w:cs="Arial"/>
          <w:color w:val="000000"/>
          <w:sz w:val="22"/>
          <w:szCs w:val="22"/>
        </w:rPr>
      </w:pPr>
      <w:r w:rsidRPr="005045BF">
        <w:rPr>
          <w:rFonts w:ascii="Arial" w:hAnsi="Arial" w:cs="Arial"/>
          <w:color w:val="000000"/>
          <w:sz w:val="22"/>
          <w:szCs w:val="22"/>
        </w:rPr>
        <w:t xml:space="preserve">De acuerdo con la consulta efectuada </w:t>
      </w:r>
      <w:r w:rsidR="007A24F9">
        <w:rPr>
          <w:rFonts w:ascii="Arial" w:hAnsi="Arial" w:cs="Arial"/>
          <w:color w:val="000000"/>
          <w:sz w:val="22"/>
          <w:szCs w:val="22"/>
        </w:rPr>
        <w:t xml:space="preserve">a </w:t>
      </w:r>
      <w:r w:rsidR="004A1CDB" w:rsidRPr="005045BF">
        <w:rPr>
          <w:rFonts w:ascii="Arial" w:hAnsi="Arial" w:cs="Arial"/>
          <w:color w:val="000000"/>
          <w:sz w:val="22"/>
          <w:szCs w:val="22"/>
        </w:rPr>
        <w:t>l</w:t>
      </w:r>
      <w:r w:rsidRPr="005045BF">
        <w:rPr>
          <w:rFonts w:ascii="Arial" w:hAnsi="Arial" w:cs="Arial"/>
          <w:color w:val="000000"/>
          <w:sz w:val="22"/>
          <w:szCs w:val="22"/>
        </w:rPr>
        <w:t>as obligaciones registradas en el SIIF</w:t>
      </w:r>
      <w:r w:rsidR="00CB25F3" w:rsidRPr="005045BF">
        <w:rPr>
          <w:rFonts w:ascii="Arial" w:hAnsi="Arial" w:cs="Arial"/>
          <w:color w:val="000000"/>
          <w:sz w:val="22"/>
          <w:szCs w:val="22"/>
        </w:rPr>
        <w:t>,</w:t>
      </w:r>
      <w:r w:rsidRPr="005045BF">
        <w:rPr>
          <w:rFonts w:ascii="Arial" w:hAnsi="Arial" w:cs="Arial"/>
          <w:color w:val="000000"/>
          <w:sz w:val="22"/>
          <w:szCs w:val="22"/>
        </w:rPr>
        <w:t xml:space="preserve"> se constató que</w:t>
      </w:r>
      <w:r w:rsidR="004E6C00" w:rsidRPr="005045BF">
        <w:rPr>
          <w:rFonts w:ascii="Arial" w:hAnsi="Arial" w:cs="Arial"/>
          <w:color w:val="000000"/>
          <w:sz w:val="22"/>
          <w:szCs w:val="22"/>
        </w:rPr>
        <w:t xml:space="preserve"> la</w:t>
      </w:r>
      <w:r w:rsidRPr="005045BF">
        <w:rPr>
          <w:rFonts w:ascii="Arial" w:hAnsi="Arial" w:cs="Arial"/>
          <w:color w:val="000000"/>
          <w:sz w:val="22"/>
          <w:szCs w:val="22"/>
        </w:rPr>
        <w:t xml:space="preserve"> DIAN </w:t>
      </w:r>
      <w:r w:rsidR="007A24F9">
        <w:rPr>
          <w:rFonts w:ascii="Arial" w:hAnsi="Arial" w:cs="Arial"/>
          <w:color w:val="000000"/>
          <w:sz w:val="22"/>
          <w:szCs w:val="22"/>
        </w:rPr>
        <w:t xml:space="preserve">realizó </w:t>
      </w:r>
      <w:r w:rsidRPr="005045BF">
        <w:rPr>
          <w:rFonts w:ascii="Arial" w:hAnsi="Arial" w:cs="Arial"/>
          <w:color w:val="000000"/>
          <w:sz w:val="22"/>
          <w:szCs w:val="22"/>
        </w:rPr>
        <w:t xml:space="preserve">los respectivos </w:t>
      </w:r>
      <w:r w:rsidR="0079547C" w:rsidRPr="005045BF">
        <w:rPr>
          <w:rFonts w:ascii="Arial" w:hAnsi="Arial" w:cs="Arial"/>
          <w:color w:val="000000"/>
          <w:sz w:val="22"/>
          <w:szCs w:val="22"/>
        </w:rPr>
        <w:t>reintegros correspondientes</w:t>
      </w:r>
      <w:r w:rsidRPr="005045BF">
        <w:rPr>
          <w:rFonts w:ascii="Arial" w:hAnsi="Arial" w:cs="Arial"/>
          <w:color w:val="000000"/>
          <w:sz w:val="22"/>
          <w:szCs w:val="22"/>
        </w:rPr>
        <w:t xml:space="preserve"> al pago</w:t>
      </w:r>
      <w:r w:rsidR="0079547C" w:rsidRPr="005045BF">
        <w:rPr>
          <w:rFonts w:ascii="Arial" w:hAnsi="Arial" w:cs="Arial"/>
          <w:color w:val="000000"/>
          <w:sz w:val="22"/>
          <w:szCs w:val="22"/>
        </w:rPr>
        <w:t xml:space="preserve"> </w:t>
      </w:r>
      <w:r w:rsidRPr="005045BF">
        <w:rPr>
          <w:rFonts w:ascii="Arial" w:hAnsi="Arial" w:cs="Arial"/>
          <w:color w:val="000000"/>
          <w:sz w:val="22"/>
          <w:szCs w:val="22"/>
        </w:rPr>
        <w:t>del servicio de acueducto y aseo</w:t>
      </w:r>
      <w:r w:rsidR="004E6C00" w:rsidRPr="005045BF">
        <w:rPr>
          <w:rFonts w:ascii="Arial" w:hAnsi="Arial" w:cs="Arial"/>
          <w:color w:val="000000"/>
          <w:sz w:val="22"/>
          <w:szCs w:val="22"/>
        </w:rPr>
        <w:t xml:space="preserve"> antes relacionados. </w:t>
      </w:r>
    </w:p>
    <w:p w14:paraId="30477EC7" w14:textId="41D7768E" w:rsidR="004D6476" w:rsidRPr="005045BF" w:rsidRDefault="004D6476" w:rsidP="007323A3">
      <w:pPr>
        <w:jc w:val="both"/>
        <w:rPr>
          <w:rFonts w:ascii="Arial" w:hAnsi="Arial" w:cs="Arial"/>
          <w:color w:val="000000"/>
          <w:sz w:val="22"/>
          <w:szCs w:val="22"/>
        </w:rPr>
      </w:pPr>
    </w:p>
    <w:p w14:paraId="52D8AB1E" w14:textId="0AEFD0A6" w:rsidR="004D6476" w:rsidRPr="005045BF" w:rsidRDefault="004D6476" w:rsidP="004D6476">
      <w:pPr>
        <w:pStyle w:val="Prrafodelista"/>
        <w:ind w:left="0"/>
        <w:contextualSpacing w:val="0"/>
        <w:rPr>
          <w:rFonts w:ascii="Arial" w:hAnsi="Arial" w:cs="Arial"/>
          <w:color w:val="000000"/>
          <w:sz w:val="22"/>
          <w:szCs w:val="22"/>
        </w:rPr>
      </w:pPr>
      <w:r w:rsidRPr="005045BF">
        <w:rPr>
          <w:rFonts w:ascii="Arial" w:hAnsi="Arial" w:cs="Arial"/>
          <w:color w:val="000000"/>
          <w:sz w:val="22"/>
          <w:szCs w:val="22"/>
        </w:rPr>
        <w:t xml:space="preserve">De otra parte, para el análisis del servicio de acueducto y aseo, se realizó teniendo en cuenta la porción del valor facturado y el consumo que le corresponde a este Ministerio, según la información enviada por la Subdirección de Servicios correspondiente a las sedes de San Agustín y Casas de Santa Bárbara para el primer trimestre de 2020 y 2019. </w:t>
      </w:r>
    </w:p>
    <w:p w14:paraId="3F556095" w14:textId="77F38FCE" w:rsidR="004066EB" w:rsidRPr="005045BF" w:rsidRDefault="007A24F9" w:rsidP="00A538A3">
      <w:pPr>
        <w:jc w:val="both"/>
        <w:rPr>
          <w:rFonts w:ascii="Arial" w:hAnsi="Arial" w:cs="Arial"/>
          <w:color w:val="000000"/>
          <w:sz w:val="22"/>
          <w:szCs w:val="22"/>
        </w:rPr>
      </w:pPr>
      <w:r w:rsidRPr="007A24F9">
        <w:rPr>
          <w:rFonts w:ascii="Arial" w:hAnsi="Arial" w:cs="Arial"/>
          <w:color w:val="000000" w:themeColor="text1"/>
          <w:sz w:val="22"/>
          <w:szCs w:val="22"/>
        </w:rPr>
        <w:lastRenderedPageBreak/>
        <w:t>E</w:t>
      </w:r>
      <w:r w:rsidR="003968E1" w:rsidRPr="007A24F9">
        <w:rPr>
          <w:rFonts w:ascii="Arial" w:hAnsi="Arial" w:cs="Arial"/>
          <w:color w:val="000000" w:themeColor="text1"/>
          <w:sz w:val="22"/>
          <w:szCs w:val="22"/>
        </w:rPr>
        <w:t>l trabajo de verificación</w:t>
      </w:r>
      <w:r w:rsidRPr="007A24F9">
        <w:rPr>
          <w:rFonts w:ascii="Arial" w:hAnsi="Arial" w:cs="Arial"/>
          <w:color w:val="000000" w:themeColor="text1"/>
          <w:sz w:val="22"/>
          <w:szCs w:val="22"/>
        </w:rPr>
        <w:t xml:space="preserve"> para el concepto objeto de análisis, </w:t>
      </w:r>
      <w:r w:rsidR="003968E1" w:rsidRPr="007A24F9">
        <w:rPr>
          <w:rFonts w:ascii="Arial" w:hAnsi="Arial" w:cs="Arial"/>
          <w:color w:val="000000" w:themeColor="text1"/>
          <w:sz w:val="22"/>
          <w:szCs w:val="22"/>
        </w:rPr>
        <w:t>c</w:t>
      </w:r>
      <w:r w:rsidR="00E40FD8" w:rsidRPr="007A24F9">
        <w:rPr>
          <w:rFonts w:ascii="Arial" w:hAnsi="Arial" w:cs="Arial"/>
          <w:color w:val="000000" w:themeColor="text1"/>
          <w:sz w:val="22"/>
          <w:szCs w:val="22"/>
        </w:rPr>
        <w:t xml:space="preserve">onsistió en </w:t>
      </w:r>
      <w:r w:rsidR="00B66368" w:rsidRPr="007A24F9">
        <w:rPr>
          <w:rFonts w:ascii="Arial" w:hAnsi="Arial" w:cs="Arial"/>
          <w:color w:val="000000" w:themeColor="text1"/>
          <w:sz w:val="22"/>
          <w:szCs w:val="22"/>
        </w:rPr>
        <w:t>comparar</w:t>
      </w:r>
      <w:r w:rsidR="00DE247B" w:rsidRPr="007A24F9">
        <w:rPr>
          <w:rFonts w:ascii="Arial" w:hAnsi="Arial" w:cs="Arial"/>
          <w:color w:val="000000" w:themeColor="text1"/>
          <w:sz w:val="22"/>
          <w:szCs w:val="22"/>
        </w:rPr>
        <w:t xml:space="preserve"> </w:t>
      </w:r>
      <w:r w:rsidR="00D82EB6" w:rsidRPr="007A24F9">
        <w:rPr>
          <w:rFonts w:ascii="Arial" w:hAnsi="Arial" w:cs="Arial"/>
          <w:color w:val="000000" w:themeColor="text1"/>
          <w:sz w:val="22"/>
          <w:szCs w:val="22"/>
        </w:rPr>
        <w:t>los valores facturados</w:t>
      </w:r>
      <w:r w:rsidR="003968E1" w:rsidRPr="007A24F9">
        <w:rPr>
          <w:rFonts w:ascii="Arial" w:hAnsi="Arial" w:cs="Arial"/>
          <w:color w:val="000000" w:themeColor="text1"/>
          <w:sz w:val="22"/>
          <w:szCs w:val="22"/>
        </w:rPr>
        <w:t xml:space="preserve"> según la información suministrada</w:t>
      </w:r>
      <w:r w:rsidR="00DE247B" w:rsidRPr="007A24F9">
        <w:rPr>
          <w:rFonts w:ascii="Arial" w:hAnsi="Arial" w:cs="Arial"/>
          <w:color w:val="000000" w:themeColor="text1"/>
          <w:sz w:val="22"/>
          <w:szCs w:val="22"/>
        </w:rPr>
        <w:t xml:space="preserve"> po</w:t>
      </w:r>
      <w:r w:rsidR="00B66368" w:rsidRPr="007A24F9">
        <w:rPr>
          <w:rFonts w:ascii="Arial" w:hAnsi="Arial" w:cs="Arial"/>
          <w:color w:val="000000" w:themeColor="text1"/>
          <w:sz w:val="22"/>
          <w:szCs w:val="22"/>
        </w:rPr>
        <w:t xml:space="preserve">r la Subdirección de Servicios </w:t>
      </w:r>
      <w:r w:rsidR="006370AB" w:rsidRPr="007A24F9">
        <w:rPr>
          <w:rFonts w:ascii="Arial" w:hAnsi="Arial" w:cs="Arial"/>
          <w:color w:val="000000" w:themeColor="text1"/>
          <w:sz w:val="22"/>
          <w:szCs w:val="22"/>
        </w:rPr>
        <w:t xml:space="preserve">frente a las </w:t>
      </w:r>
      <w:r w:rsidR="00515E09" w:rsidRPr="007A24F9">
        <w:rPr>
          <w:rFonts w:ascii="Arial" w:hAnsi="Arial" w:cs="Arial"/>
          <w:color w:val="000000" w:themeColor="text1"/>
          <w:sz w:val="22"/>
          <w:szCs w:val="22"/>
        </w:rPr>
        <w:t xml:space="preserve">obligaciones </w:t>
      </w:r>
      <w:r w:rsidR="00AF1878" w:rsidRPr="007A24F9">
        <w:rPr>
          <w:rFonts w:ascii="Arial" w:hAnsi="Arial" w:cs="Arial"/>
          <w:color w:val="000000" w:themeColor="text1"/>
          <w:sz w:val="22"/>
          <w:szCs w:val="22"/>
        </w:rPr>
        <w:t>consultadas en el</w:t>
      </w:r>
      <w:r w:rsidR="00515E09" w:rsidRPr="007A24F9">
        <w:rPr>
          <w:rFonts w:ascii="Arial" w:hAnsi="Arial" w:cs="Arial"/>
          <w:color w:val="000000" w:themeColor="text1"/>
          <w:sz w:val="22"/>
          <w:szCs w:val="22"/>
        </w:rPr>
        <w:t xml:space="preserve"> SIIF</w:t>
      </w:r>
      <w:r w:rsidR="006370AB" w:rsidRPr="007A24F9">
        <w:rPr>
          <w:rFonts w:ascii="Arial" w:hAnsi="Arial" w:cs="Arial"/>
          <w:color w:val="000000" w:themeColor="text1"/>
          <w:sz w:val="22"/>
          <w:szCs w:val="22"/>
        </w:rPr>
        <w:t xml:space="preserve">, </w:t>
      </w:r>
      <w:r w:rsidR="007F2138" w:rsidRPr="007A24F9">
        <w:rPr>
          <w:rFonts w:ascii="Arial" w:hAnsi="Arial" w:cs="Arial"/>
          <w:color w:val="000000" w:themeColor="text1"/>
          <w:sz w:val="22"/>
          <w:szCs w:val="22"/>
        </w:rPr>
        <w:t xml:space="preserve">durante el </w:t>
      </w:r>
      <w:r w:rsidR="004066EB" w:rsidRPr="007A24F9">
        <w:rPr>
          <w:rFonts w:ascii="Arial" w:hAnsi="Arial" w:cs="Arial"/>
          <w:color w:val="000000" w:themeColor="text1"/>
          <w:sz w:val="22"/>
          <w:szCs w:val="22"/>
        </w:rPr>
        <w:t xml:space="preserve">primer </w:t>
      </w:r>
      <w:r w:rsidR="00AF1878" w:rsidRPr="007A24F9">
        <w:rPr>
          <w:rFonts w:ascii="Arial" w:hAnsi="Arial" w:cs="Arial"/>
          <w:color w:val="000000" w:themeColor="text1"/>
          <w:sz w:val="22"/>
          <w:szCs w:val="22"/>
        </w:rPr>
        <w:t>trimestre</w:t>
      </w:r>
      <w:r w:rsidR="00BB0AF9" w:rsidRPr="007A24F9">
        <w:rPr>
          <w:rFonts w:ascii="Arial" w:hAnsi="Arial" w:cs="Arial"/>
          <w:color w:val="000000" w:themeColor="text1"/>
          <w:sz w:val="22"/>
          <w:szCs w:val="22"/>
        </w:rPr>
        <w:t xml:space="preserve"> de 20</w:t>
      </w:r>
      <w:r w:rsidR="004066EB" w:rsidRPr="007A24F9">
        <w:rPr>
          <w:rFonts w:ascii="Arial" w:hAnsi="Arial" w:cs="Arial"/>
          <w:color w:val="000000" w:themeColor="text1"/>
          <w:sz w:val="22"/>
          <w:szCs w:val="22"/>
        </w:rPr>
        <w:t>20</w:t>
      </w:r>
      <w:r w:rsidR="00BB0AF9" w:rsidRPr="007A24F9">
        <w:rPr>
          <w:rFonts w:ascii="Arial" w:hAnsi="Arial" w:cs="Arial"/>
          <w:color w:val="000000" w:themeColor="text1"/>
          <w:sz w:val="22"/>
          <w:szCs w:val="22"/>
        </w:rPr>
        <w:t xml:space="preserve"> f</w:t>
      </w:r>
      <w:r w:rsidR="00B12B03" w:rsidRPr="007A24F9">
        <w:rPr>
          <w:rFonts w:ascii="Arial" w:hAnsi="Arial" w:cs="Arial"/>
          <w:color w:val="000000" w:themeColor="text1"/>
          <w:sz w:val="22"/>
          <w:szCs w:val="22"/>
        </w:rPr>
        <w:t>rente al mismo trimestre de 201</w:t>
      </w:r>
      <w:r w:rsidR="004066EB" w:rsidRPr="007A24F9">
        <w:rPr>
          <w:rFonts w:ascii="Arial" w:hAnsi="Arial" w:cs="Arial"/>
          <w:color w:val="000000" w:themeColor="text1"/>
          <w:sz w:val="22"/>
          <w:szCs w:val="22"/>
        </w:rPr>
        <w:t>9</w:t>
      </w:r>
      <w:r w:rsidR="00B66368" w:rsidRPr="007A24F9">
        <w:rPr>
          <w:rFonts w:ascii="Arial" w:hAnsi="Arial" w:cs="Arial"/>
          <w:color w:val="000000" w:themeColor="text1"/>
          <w:sz w:val="22"/>
          <w:szCs w:val="22"/>
        </w:rPr>
        <w:t>.</w:t>
      </w:r>
      <w:r w:rsidR="00ED5205" w:rsidRPr="007A24F9">
        <w:rPr>
          <w:rFonts w:ascii="Arial" w:hAnsi="Arial" w:cs="Arial"/>
          <w:color w:val="000000" w:themeColor="text1"/>
          <w:sz w:val="22"/>
          <w:szCs w:val="22"/>
        </w:rPr>
        <w:t>Teniendo en cuenta, la periodicidad de facturación de las empresas prestadoras de servicios de acueducto y aseo</w:t>
      </w:r>
      <w:r>
        <w:rPr>
          <w:rFonts w:ascii="Arial" w:hAnsi="Arial" w:cs="Arial"/>
          <w:color w:val="000000" w:themeColor="text1"/>
          <w:sz w:val="22"/>
          <w:szCs w:val="22"/>
        </w:rPr>
        <w:t>. L</w:t>
      </w:r>
      <w:r w:rsidR="00ED5205" w:rsidRPr="007A24F9">
        <w:rPr>
          <w:rFonts w:ascii="Arial" w:hAnsi="Arial" w:cs="Arial"/>
          <w:color w:val="000000" w:themeColor="text1"/>
          <w:sz w:val="22"/>
          <w:szCs w:val="22"/>
        </w:rPr>
        <w:t>os periodos contemplados para el análisis fueron los siguientes</w:t>
      </w:r>
      <w:r w:rsidR="00ED5205" w:rsidRPr="005045BF">
        <w:rPr>
          <w:rFonts w:ascii="Arial" w:hAnsi="Arial" w:cs="Arial"/>
          <w:color w:val="000000"/>
          <w:sz w:val="22"/>
          <w:szCs w:val="22"/>
        </w:rPr>
        <w:t xml:space="preserve">: </w:t>
      </w:r>
    </w:p>
    <w:p w14:paraId="2E26FCDF" w14:textId="269E0480" w:rsidR="00ED5205" w:rsidRPr="005045BF" w:rsidRDefault="00ED5205" w:rsidP="00A538A3">
      <w:pPr>
        <w:jc w:val="both"/>
        <w:rPr>
          <w:rFonts w:ascii="Arial" w:hAnsi="Arial"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2482"/>
        <w:gridCol w:w="3365"/>
        <w:gridCol w:w="3365"/>
      </w:tblGrid>
      <w:tr w:rsidR="00ED783A" w:rsidRPr="005045BF" w14:paraId="5B48F3BF" w14:textId="77777777" w:rsidTr="00021ABF">
        <w:trPr>
          <w:cantSplit/>
          <w:jc w:val="center"/>
        </w:trPr>
        <w:tc>
          <w:tcPr>
            <w:tcW w:w="2482" w:type="dxa"/>
            <w:tcBorders>
              <w:top w:val="single" w:sz="8" w:space="0" w:color="B8CCE4"/>
              <w:left w:val="single" w:sz="8" w:space="0" w:color="B8CCE4"/>
              <w:bottom w:val="single" w:sz="12" w:space="0" w:color="95B3D7"/>
              <w:right w:val="single" w:sz="8" w:space="0" w:color="B8CCE4"/>
            </w:tcBorders>
            <w:shd w:val="clear" w:color="000000" w:fill="4F81BD"/>
            <w:noWrap/>
            <w:vAlign w:val="center"/>
            <w:hideMark/>
          </w:tcPr>
          <w:p w14:paraId="17DF967C" w14:textId="77777777" w:rsidR="00ED783A" w:rsidRPr="005045BF" w:rsidRDefault="00ED783A" w:rsidP="00021ABF">
            <w:pPr>
              <w:spacing w:before="20" w:after="40"/>
              <w:rPr>
                <w:rFonts w:ascii="Arial" w:hAnsi="Arial" w:cs="Arial"/>
                <w:b/>
                <w:bCs/>
                <w:color w:val="FFFFFF"/>
                <w:sz w:val="20"/>
                <w:szCs w:val="20"/>
              </w:rPr>
            </w:pPr>
            <w:r w:rsidRPr="005045BF">
              <w:rPr>
                <w:rFonts w:ascii="Arial" w:hAnsi="Arial" w:cs="Arial"/>
                <w:b/>
                <w:bCs/>
                <w:color w:val="FFFFFF"/>
                <w:sz w:val="20"/>
                <w:szCs w:val="20"/>
              </w:rPr>
              <w:t>Concepto</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779CE0E5" w14:textId="77777777" w:rsidR="00ED783A" w:rsidRPr="005045BF" w:rsidRDefault="00ED783A" w:rsidP="00021ABF">
            <w:pPr>
              <w:spacing w:before="20" w:after="40"/>
              <w:jc w:val="center"/>
              <w:rPr>
                <w:rFonts w:ascii="Arial" w:hAnsi="Arial" w:cs="Arial"/>
                <w:b/>
                <w:bCs/>
                <w:color w:val="FFFFFF"/>
                <w:sz w:val="20"/>
                <w:szCs w:val="20"/>
              </w:rPr>
            </w:pPr>
            <w:r w:rsidRPr="005045BF">
              <w:rPr>
                <w:rFonts w:ascii="Arial" w:hAnsi="Arial" w:cs="Arial"/>
                <w:b/>
                <w:bCs/>
                <w:color w:val="FFFFFF"/>
                <w:sz w:val="20"/>
                <w:szCs w:val="20"/>
              </w:rPr>
              <w:t>Vigencia 2020</w:t>
            </w:r>
          </w:p>
        </w:tc>
        <w:tc>
          <w:tcPr>
            <w:tcW w:w="0" w:type="auto"/>
            <w:tcBorders>
              <w:top w:val="single" w:sz="8" w:space="0" w:color="B8CCE4"/>
              <w:left w:val="nil"/>
              <w:bottom w:val="single" w:sz="12" w:space="0" w:color="95B3D7"/>
              <w:right w:val="single" w:sz="8" w:space="0" w:color="B8CCE4"/>
            </w:tcBorders>
            <w:shd w:val="clear" w:color="000000" w:fill="4F81BD"/>
            <w:vAlign w:val="center"/>
            <w:hideMark/>
          </w:tcPr>
          <w:p w14:paraId="586CA6D4" w14:textId="77777777" w:rsidR="00ED783A" w:rsidRPr="005045BF" w:rsidRDefault="00ED783A" w:rsidP="00021ABF">
            <w:pPr>
              <w:spacing w:before="20" w:after="40"/>
              <w:jc w:val="center"/>
              <w:rPr>
                <w:rFonts w:ascii="Arial" w:hAnsi="Arial" w:cs="Arial"/>
                <w:b/>
                <w:bCs/>
                <w:color w:val="FFFFFF"/>
                <w:sz w:val="20"/>
                <w:szCs w:val="20"/>
              </w:rPr>
            </w:pPr>
            <w:r w:rsidRPr="005045BF">
              <w:rPr>
                <w:rFonts w:ascii="Arial" w:hAnsi="Arial" w:cs="Arial"/>
                <w:b/>
                <w:bCs/>
                <w:color w:val="FFFFFF"/>
                <w:sz w:val="20"/>
                <w:szCs w:val="20"/>
              </w:rPr>
              <w:t>Vigencia 2019</w:t>
            </w:r>
          </w:p>
        </w:tc>
      </w:tr>
      <w:tr w:rsidR="004331E6" w:rsidRPr="005045BF" w14:paraId="70D73070" w14:textId="77777777" w:rsidTr="00021ABF">
        <w:trPr>
          <w:cantSplit/>
          <w:trHeight w:val="577"/>
          <w:jc w:val="center"/>
        </w:trPr>
        <w:tc>
          <w:tcPr>
            <w:tcW w:w="2482" w:type="dxa"/>
            <w:tcBorders>
              <w:top w:val="nil"/>
              <w:left w:val="single" w:sz="8" w:space="0" w:color="B8CCE4"/>
              <w:bottom w:val="nil"/>
              <w:right w:val="single" w:sz="8" w:space="0" w:color="B8CCE4"/>
            </w:tcBorders>
            <w:shd w:val="clear" w:color="auto" w:fill="auto"/>
            <w:vAlign w:val="center"/>
            <w:hideMark/>
          </w:tcPr>
          <w:p w14:paraId="18BBD356" w14:textId="77777777" w:rsidR="00ED783A" w:rsidRPr="005045BF" w:rsidRDefault="00ED783A" w:rsidP="00021ABF">
            <w:pPr>
              <w:spacing w:before="20" w:after="40"/>
              <w:jc w:val="both"/>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Acueducto </w:t>
            </w:r>
          </w:p>
        </w:tc>
        <w:tc>
          <w:tcPr>
            <w:tcW w:w="0" w:type="auto"/>
            <w:tcBorders>
              <w:top w:val="nil"/>
              <w:left w:val="nil"/>
              <w:bottom w:val="single" w:sz="8" w:space="0" w:color="B8CCE4"/>
              <w:right w:val="single" w:sz="8" w:space="0" w:color="B8CCE4"/>
            </w:tcBorders>
            <w:shd w:val="clear" w:color="auto" w:fill="auto"/>
            <w:vAlign w:val="center"/>
            <w:hideMark/>
          </w:tcPr>
          <w:p w14:paraId="78A741C3"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04 de enero al 04 de marzo de 2020</w:t>
            </w:r>
          </w:p>
        </w:tc>
        <w:tc>
          <w:tcPr>
            <w:tcW w:w="0" w:type="auto"/>
            <w:tcBorders>
              <w:top w:val="nil"/>
              <w:left w:val="nil"/>
              <w:bottom w:val="single" w:sz="8" w:space="0" w:color="B8CCE4"/>
              <w:right w:val="single" w:sz="8" w:space="0" w:color="B8CCE4"/>
            </w:tcBorders>
            <w:shd w:val="clear" w:color="auto" w:fill="auto"/>
            <w:vAlign w:val="center"/>
            <w:hideMark/>
          </w:tcPr>
          <w:p w14:paraId="4392C688"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11 de enero al 12 de marzo de 2019</w:t>
            </w:r>
          </w:p>
        </w:tc>
      </w:tr>
      <w:tr w:rsidR="004331E6" w:rsidRPr="005045BF" w14:paraId="59D2EB56" w14:textId="77777777" w:rsidTr="00021ABF">
        <w:trPr>
          <w:cantSplit/>
          <w:jc w:val="center"/>
        </w:trPr>
        <w:tc>
          <w:tcPr>
            <w:tcW w:w="2482" w:type="dxa"/>
            <w:vMerge w:val="restart"/>
            <w:tcBorders>
              <w:top w:val="single" w:sz="8" w:space="0" w:color="B8CCE4"/>
              <w:left w:val="single" w:sz="8" w:space="0" w:color="B8CCE4"/>
              <w:bottom w:val="single" w:sz="8" w:space="0" w:color="B8CCE4"/>
              <w:right w:val="single" w:sz="8" w:space="0" w:color="B8CCE4"/>
            </w:tcBorders>
            <w:shd w:val="clear" w:color="auto" w:fill="auto"/>
            <w:vAlign w:val="center"/>
            <w:hideMark/>
          </w:tcPr>
          <w:p w14:paraId="0A6A1B26" w14:textId="77777777" w:rsidR="00ED783A" w:rsidRPr="005045BF" w:rsidRDefault="00ED783A" w:rsidP="00021ABF">
            <w:pPr>
              <w:spacing w:before="20" w:after="40"/>
              <w:jc w:val="both"/>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Aseo</w:t>
            </w:r>
          </w:p>
        </w:tc>
        <w:tc>
          <w:tcPr>
            <w:tcW w:w="0" w:type="auto"/>
            <w:tcBorders>
              <w:top w:val="nil"/>
              <w:left w:val="nil"/>
              <w:bottom w:val="single" w:sz="8" w:space="0" w:color="B8CCE4"/>
              <w:right w:val="single" w:sz="8" w:space="0" w:color="B8CCE4"/>
            </w:tcBorders>
            <w:shd w:val="clear" w:color="auto" w:fill="auto"/>
            <w:vAlign w:val="center"/>
            <w:hideMark/>
          </w:tcPr>
          <w:p w14:paraId="23A027FF"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01 al 31 de enero de 2020</w:t>
            </w:r>
          </w:p>
        </w:tc>
        <w:tc>
          <w:tcPr>
            <w:tcW w:w="0" w:type="auto"/>
            <w:vMerge w:val="restart"/>
            <w:tcBorders>
              <w:top w:val="nil"/>
              <w:left w:val="single" w:sz="8" w:space="0" w:color="B8CCE4"/>
              <w:bottom w:val="single" w:sz="8" w:space="0" w:color="B8CCE4"/>
              <w:right w:val="single" w:sz="8" w:space="0" w:color="B8CCE4"/>
            </w:tcBorders>
            <w:shd w:val="clear" w:color="auto" w:fill="auto"/>
            <w:vAlign w:val="center"/>
            <w:hideMark/>
          </w:tcPr>
          <w:p w14:paraId="522B1509" w14:textId="77777777" w:rsidR="00ED783A" w:rsidRPr="005045BF" w:rsidRDefault="00ED783A" w:rsidP="00021ABF">
            <w:pPr>
              <w:spacing w:before="2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01-01-2019 AL 28-02-2019</w:t>
            </w:r>
          </w:p>
        </w:tc>
      </w:tr>
      <w:tr w:rsidR="004331E6" w:rsidRPr="005045BF" w14:paraId="010F89F3" w14:textId="77777777" w:rsidTr="00021ABF">
        <w:trPr>
          <w:cantSplit/>
          <w:jc w:val="center"/>
        </w:trPr>
        <w:tc>
          <w:tcPr>
            <w:tcW w:w="2482" w:type="dxa"/>
            <w:vMerge/>
            <w:tcBorders>
              <w:top w:val="single" w:sz="8" w:space="0" w:color="B8CCE4"/>
              <w:left w:val="single" w:sz="8" w:space="0" w:color="B8CCE4"/>
              <w:bottom w:val="single" w:sz="8" w:space="0" w:color="B8CCE4"/>
              <w:right w:val="single" w:sz="8" w:space="0" w:color="B8CCE4"/>
            </w:tcBorders>
            <w:vAlign w:val="center"/>
            <w:hideMark/>
          </w:tcPr>
          <w:p w14:paraId="0B9B1FC2" w14:textId="77777777" w:rsidR="00ED783A" w:rsidRPr="005045BF" w:rsidRDefault="00ED783A" w:rsidP="00021ABF">
            <w:pPr>
              <w:spacing w:before="20" w:after="40"/>
              <w:rPr>
                <w:rFonts w:ascii="Arial" w:hAnsi="Arial" w:cs="Arial"/>
                <w:b/>
                <w:bCs/>
                <w:color w:val="0F243E" w:themeColor="text2" w:themeShade="80"/>
                <w:sz w:val="20"/>
                <w:szCs w:val="20"/>
              </w:rPr>
            </w:pPr>
          </w:p>
        </w:tc>
        <w:tc>
          <w:tcPr>
            <w:tcW w:w="0" w:type="auto"/>
            <w:tcBorders>
              <w:top w:val="nil"/>
              <w:left w:val="nil"/>
              <w:bottom w:val="single" w:sz="8" w:space="0" w:color="B8CCE4"/>
              <w:right w:val="single" w:sz="8" w:space="0" w:color="B8CCE4"/>
            </w:tcBorders>
            <w:shd w:val="clear" w:color="auto" w:fill="auto"/>
            <w:vAlign w:val="center"/>
            <w:hideMark/>
          </w:tcPr>
          <w:p w14:paraId="591DFCF6"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01 al 29 de febrero de 2020</w:t>
            </w:r>
          </w:p>
        </w:tc>
        <w:tc>
          <w:tcPr>
            <w:tcW w:w="0" w:type="auto"/>
            <w:vMerge/>
            <w:tcBorders>
              <w:top w:val="nil"/>
              <w:left w:val="single" w:sz="8" w:space="0" w:color="B8CCE4"/>
              <w:bottom w:val="single" w:sz="8" w:space="0" w:color="B8CCE4"/>
              <w:right w:val="single" w:sz="8" w:space="0" w:color="B8CCE4"/>
            </w:tcBorders>
            <w:vAlign w:val="center"/>
            <w:hideMark/>
          </w:tcPr>
          <w:p w14:paraId="6E7E5F01" w14:textId="77777777" w:rsidR="00ED783A" w:rsidRPr="005045BF" w:rsidRDefault="00ED783A" w:rsidP="00021ABF">
            <w:pPr>
              <w:spacing w:before="20" w:after="40"/>
              <w:rPr>
                <w:rFonts w:ascii="Arial" w:hAnsi="Arial" w:cs="Arial"/>
                <w:color w:val="0F243E" w:themeColor="text2" w:themeShade="80"/>
                <w:sz w:val="20"/>
                <w:szCs w:val="20"/>
              </w:rPr>
            </w:pPr>
          </w:p>
        </w:tc>
      </w:tr>
      <w:tr w:rsidR="004331E6" w:rsidRPr="005045BF" w14:paraId="75D82BC6" w14:textId="77777777" w:rsidTr="00021ABF">
        <w:trPr>
          <w:cantSplit/>
          <w:jc w:val="center"/>
        </w:trPr>
        <w:tc>
          <w:tcPr>
            <w:tcW w:w="2482" w:type="dxa"/>
            <w:vMerge/>
            <w:tcBorders>
              <w:top w:val="single" w:sz="8" w:space="0" w:color="B8CCE4"/>
              <w:left w:val="single" w:sz="8" w:space="0" w:color="B8CCE4"/>
              <w:bottom w:val="single" w:sz="8" w:space="0" w:color="B8CCE4"/>
              <w:right w:val="single" w:sz="8" w:space="0" w:color="B8CCE4"/>
            </w:tcBorders>
            <w:vAlign w:val="center"/>
            <w:hideMark/>
          </w:tcPr>
          <w:p w14:paraId="4C2BE7FF" w14:textId="77777777" w:rsidR="00ED783A" w:rsidRPr="005045BF" w:rsidRDefault="00ED783A" w:rsidP="00021ABF">
            <w:pPr>
              <w:spacing w:before="20" w:after="40"/>
              <w:rPr>
                <w:rFonts w:ascii="Arial" w:hAnsi="Arial" w:cs="Arial"/>
                <w:b/>
                <w:bCs/>
                <w:color w:val="0F243E" w:themeColor="text2" w:themeShade="80"/>
                <w:sz w:val="20"/>
                <w:szCs w:val="20"/>
              </w:rPr>
            </w:pPr>
          </w:p>
        </w:tc>
        <w:tc>
          <w:tcPr>
            <w:tcW w:w="0" w:type="auto"/>
            <w:tcBorders>
              <w:top w:val="nil"/>
              <w:left w:val="nil"/>
              <w:bottom w:val="single" w:sz="8" w:space="0" w:color="B8CCE4"/>
              <w:right w:val="single" w:sz="8" w:space="0" w:color="B8CCE4"/>
            </w:tcBorders>
            <w:shd w:val="clear" w:color="auto" w:fill="auto"/>
            <w:vAlign w:val="center"/>
            <w:hideMark/>
          </w:tcPr>
          <w:p w14:paraId="4B700EBC"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01 al 31 de marzo de 2020</w:t>
            </w:r>
          </w:p>
        </w:tc>
        <w:tc>
          <w:tcPr>
            <w:tcW w:w="0" w:type="auto"/>
            <w:vMerge w:val="restart"/>
            <w:tcBorders>
              <w:top w:val="nil"/>
              <w:left w:val="single" w:sz="8" w:space="0" w:color="B8CCE4"/>
              <w:bottom w:val="single" w:sz="8" w:space="0" w:color="B8CCE4"/>
              <w:right w:val="single" w:sz="8" w:space="0" w:color="B8CCE4"/>
            </w:tcBorders>
            <w:shd w:val="clear" w:color="auto" w:fill="auto"/>
            <w:vAlign w:val="center"/>
            <w:hideMark/>
          </w:tcPr>
          <w:p w14:paraId="24F21339" w14:textId="77777777" w:rsidR="00ED783A" w:rsidRPr="005045BF" w:rsidRDefault="00ED783A" w:rsidP="00021ABF">
            <w:pPr>
              <w:spacing w:before="2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01-03-2019 AL 30-04-2019</w:t>
            </w:r>
          </w:p>
        </w:tc>
      </w:tr>
      <w:tr w:rsidR="004331E6" w:rsidRPr="005045BF" w14:paraId="15F77AD3" w14:textId="77777777" w:rsidTr="00021ABF">
        <w:trPr>
          <w:cantSplit/>
          <w:jc w:val="center"/>
        </w:trPr>
        <w:tc>
          <w:tcPr>
            <w:tcW w:w="2482" w:type="dxa"/>
            <w:vMerge/>
            <w:tcBorders>
              <w:top w:val="single" w:sz="8" w:space="0" w:color="B8CCE4"/>
              <w:left w:val="single" w:sz="8" w:space="0" w:color="B8CCE4"/>
              <w:bottom w:val="single" w:sz="8" w:space="0" w:color="B8CCE4"/>
              <w:right w:val="single" w:sz="8" w:space="0" w:color="B8CCE4"/>
            </w:tcBorders>
            <w:vAlign w:val="center"/>
            <w:hideMark/>
          </w:tcPr>
          <w:p w14:paraId="0114425F" w14:textId="77777777" w:rsidR="00ED783A" w:rsidRPr="005045BF" w:rsidRDefault="00ED783A" w:rsidP="00021ABF">
            <w:pPr>
              <w:spacing w:before="20" w:after="40"/>
              <w:rPr>
                <w:rFonts w:ascii="Arial" w:hAnsi="Arial" w:cs="Arial"/>
                <w:b/>
                <w:bCs/>
                <w:color w:val="0F243E" w:themeColor="text2" w:themeShade="80"/>
                <w:sz w:val="20"/>
                <w:szCs w:val="20"/>
              </w:rPr>
            </w:pPr>
          </w:p>
        </w:tc>
        <w:tc>
          <w:tcPr>
            <w:tcW w:w="0" w:type="auto"/>
            <w:tcBorders>
              <w:top w:val="nil"/>
              <w:left w:val="nil"/>
              <w:bottom w:val="single" w:sz="8" w:space="0" w:color="B8CCE4"/>
              <w:right w:val="single" w:sz="8" w:space="0" w:color="B8CCE4"/>
            </w:tcBorders>
            <w:shd w:val="clear" w:color="auto" w:fill="auto"/>
            <w:vAlign w:val="center"/>
            <w:hideMark/>
          </w:tcPr>
          <w:p w14:paraId="0142D84F" w14:textId="77777777" w:rsidR="00ED783A" w:rsidRPr="005045BF" w:rsidRDefault="00ED783A" w:rsidP="00021ABF">
            <w:pPr>
              <w:spacing w:before="20" w:after="40"/>
              <w:jc w:val="both"/>
              <w:rPr>
                <w:rFonts w:ascii="Arial" w:hAnsi="Arial" w:cs="Arial"/>
                <w:color w:val="0F243E" w:themeColor="text2" w:themeShade="80"/>
                <w:sz w:val="20"/>
                <w:szCs w:val="20"/>
              </w:rPr>
            </w:pPr>
            <w:r w:rsidRPr="005045BF">
              <w:rPr>
                <w:rFonts w:ascii="Arial" w:hAnsi="Arial" w:cs="Arial"/>
                <w:color w:val="0F243E" w:themeColor="text2" w:themeShade="80"/>
                <w:sz w:val="20"/>
                <w:szCs w:val="20"/>
              </w:rPr>
              <w:t>01 al 30 de abril de 2020</w:t>
            </w:r>
          </w:p>
        </w:tc>
        <w:tc>
          <w:tcPr>
            <w:tcW w:w="0" w:type="auto"/>
            <w:vMerge/>
            <w:tcBorders>
              <w:top w:val="nil"/>
              <w:left w:val="single" w:sz="8" w:space="0" w:color="B8CCE4"/>
              <w:bottom w:val="single" w:sz="8" w:space="0" w:color="B8CCE4"/>
              <w:right w:val="single" w:sz="8" w:space="0" w:color="B8CCE4"/>
            </w:tcBorders>
            <w:vAlign w:val="center"/>
            <w:hideMark/>
          </w:tcPr>
          <w:p w14:paraId="7C70FF1A" w14:textId="77777777" w:rsidR="00ED783A" w:rsidRPr="005045BF" w:rsidRDefault="00ED783A" w:rsidP="00021ABF">
            <w:pPr>
              <w:spacing w:before="20" w:after="40"/>
              <w:rPr>
                <w:rFonts w:ascii="Arial" w:hAnsi="Arial" w:cs="Arial"/>
                <w:color w:val="0F243E" w:themeColor="text2" w:themeShade="80"/>
                <w:sz w:val="20"/>
                <w:szCs w:val="20"/>
              </w:rPr>
            </w:pPr>
          </w:p>
        </w:tc>
      </w:tr>
    </w:tbl>
    <w:p w14:paraId="4F888653" w14:textId="77777777" w:rsidR="00FF4A50" w:rsidRPr="005045BF" w:rsidRDefault="00FF4A50" w:rsidP="00A538A3">
      <w:pPr>
        <w:jc w:val="both"/>
        <w:rPr>
          <w:rFonts w:ascii="Arial" w:hAnsi="Arial" w:cs="Arial"/>
          <w:color w:val="000000"/>
          <w:sz w:val="22"/>
          <w:szCs w:val="22"/>
        </w:rPr>
      </w:pPr>
    </w:p>
    <w:p w14:paraId="4C8A0848" w14:textId="6EE66D18" w:rsidR="00ED5205" w:rsidRPr="005045BF" w:rsidRDefault="004331E6" w:rsidP="00A538A3">
      <w:pPr>
        <w:jc w:val="both"/>
        <w:rPr>
          <w:rFonts w:ascii="Arial" w:hAnsi="Arial" w:cs="Arial"/>
          <w:color w:val="000000"/>
          <w:sz w:val="22"/>
          <w:szCs w:val="22"/>
        </w:rPr>
      </w:pPr>
      <w:r w:rsidRPr="005045BF">
        <w:rPr>
          <w:rFonts w:ascii="Arial" w:hAnsi="Arial" w:cs="Arial"/>
          <w:color w:val="000000"/>
          <w:sz w:val="22"/>
          <w:szCs w:val="22"/>
        </w:rPr>
        <w:t>Es</w:t>
      </w:r>
      <w:r w:rsidR="007A24F9">
        <w:rPr>
          <w:rFonts w:ascii="Arial" w:hAnsi="Arial" w:cs="Arial"/>
          <w:color w:val="000000"/>
          <w:sz w:val="22"/>
          <w:szCs w:val="22"/>
        </w:rPr>
        <w:t xml:space="preserve"> de precisar, que para </w:t>
      </w:r>
      <w:r w:rsidRPr="005045BF">
        <w:rPr>
          <w:rFonts w:ascii="Arial" w:hAnsi="Arial" w:cs="Arial"/>
          <w:color w:val="000000"/>
          <w:sz w:val="22"/>
          <w:szCs w:val="22"/>
        </w:rPr>
        <w:t>el concepto de aseo se tomó el mes de abril, que si bien no hace parte del periodo objeto de verificación [primer trimestre], en aras de lograr establecer las variaciones correctas y el respectivo análisis</w:t>
      </w:r>
      <w:r w:rsidR="007A24F9">
        <w:rPr>
          <w:rFonts w:ascii="Arial" w:hAnsi="Arial" w:cs="Arial"/>
          <w:color w:val="000000"/>
          <w:sz w:val="22"/>
          <w:szCs w:val="22"/>
        </w:rPr>
        <w:t>,</w:t>
      </w:r>
      <w:r w:rsidR="00622086" w:rsidRPr="005045BF">
        <w:rPr>
          <w:rFonts w:ascii="Arial" w:hAnsi="Arial" w:cs="Arial"/>
          <w:color w:val="000000"/>
          <w:sz w:val="22"/>
          <w:szCs w:val="22"/>
        </w:rPr>
        <w:t xml:space="preserve"> fue necesario incluir dicho m</w:t>
      </w:r>
      <w:r w:rsidR="004D6476" w:rsidRPr="005045BF">
        <w:rPr>
          <w:rFonts w:ascii="Arial" w:hAnsi="Arial" w:cs="Arial"/>
          <w:color w:val="000000"/>
          <w:sz w:val="22"/>
          <w:szCs w:val="22"/>
        </w:rPr>
        <w:t>es para que los periodos fueran comparables</w:t>
      </w:r>
      <w:r w:rsidR="007A24F9">
        <w:rPr>
          <w:rFonts w:ascii="Arial" w:hAnsi="Arial" w:cs="Arial"/>
          <w:color w:val="000000"/>
          <w:sz w:val="22"/>
          <w:szCs w:val="22"/>
        </w:rPr>
        <w:t xml:space="preserve">, dado que, para la vigencia 2020 y 2019 </w:t>
      </w:r>
      <w:r w:rsidR="00514792">
        <w:rPr>
          <w:rFonts w:ascii="Arial" w:hAnsi="Arial" w:cs="Arial"/>
          <w:color w:val="000000"/>
          <w:sz w:val="22"/>
          <w:szCs w:val="22"/>
        </w:rPr>
        <w:t>la periodicidad de facturación fue diferente.</w:t>
      </w:r>
    </w:p>
    <w:p w14:paraId="705C2ED3" w14:textId="77777777" w:rsidR="00152AA2" w:rsidRPr="005045BF" w:rsidRDefault="00152AA2" w:rsidP="00021ABF">
      <w:pPr>
        <w:spacing w:line="168" w:lineRule="auto"/>
        <w:jc w:val="both"/>
        <w:rPr>
          <w:rFonts w:ascii="Arial" w:hAnsi="Arial" w:cs="Arial"/>
          <w:color w:val="000000"/>
          <w:sz w:val="22"/>
          <w:szCs w:val="22"/>
        </w:rPr>
      </w:pPr>
    </w:p>
    <w:p w14:paraId="785CD629" w14:textId="20081D49" w:rsidR="008B2BB6" w:rsidRPr="005045BF" w:rsidRDefault="000A5EAA" w:rsidP="0044262C">
      <w:pPr>
        <w:jc w:val="both"/>
        <w:rPr>
          <w:rFonts w:ascii="Arial" w:hAnsi="Arial" w:cs="Arial"/>
          <w:color w:val="000000"/>
          <w:sz w:val="22"/>
          <w:szCs w:val="22"/>
        </w:rPr>
      </w:pPr>
      <w:r w:rsidRPr="005045BF">
        <w:rPr>
          <w:rFonts w:ascii="Arial" w:hAnsi="Arial" w:cs="Arial"/>
          <w:color w:val="000000"/>
          <w:sz w:val="22"/>
          <w:szCs w:val="22"/>
        </w:rPr>
        <w:t>Con respecto al</w:t>
      </w:r>
      <w:r w:rsidR="00A538A3" w:rsidRPr="005045BF">
        <w:rPr>
          <w:rFonts w:ascii="Arial" w:hAnsi="Arial" w:cs="Arial"/>
          <w:color w:val="000000"/>
          <w:sz w:val="22"/>
          <w:szCs w:val="22"/>
        </w:rPr>
        <w:t xml:space="preserve"> </w:t>
      </w:r>
      <w:r w:rsidRPr="005045BF">
        <w:rPr>
          <w:rFonts w:ascii="Arial" w:hAnsi="Arial" w:cs="Arial"/>
          <w:color w:val="000000"/>
          <w:sz w:val="22"/>
          <w:szCs w:val="22"/>
        </w:rPr>
        <w:t xml:space="preserve">primer </w:t>
      </w:r>
      <w:r w:rsidR="00A538A3" w:rsidRPr="005045BF">
        <w:rPr>
          <w:rFonts w:ascii="Arial" w:hAnsi="Arial" w:cs="Arial"/>
          <w:color w:val="000000"/>
          <w:sz w:val="22"/>
          <w:szCs w:val="22"/>
        </w:rPr>
        <w:t>trimestre de 20</w:t>
      </w:r>
      <w:r w:rsidRPr="005045BF">
        <w:rPr>
          <w:rFonts w:ascii="Arial" w:hAnsi="Arial" w:cs="Arial"/>
          <w:color w:val="000000"/>
          <w:sz w:val="22"/>
          <w:szCs w:val="22"/>
        </w:rPr>
        <w:t>20</w:t>
      </w:r>
      <w:r w:rsidR="00A538A3" w:rsidRPr="005045BF">
        <w:rPr>
          <w:rFonts w:ascii="Arial" w:hAnsi="Arial" w:cs="Arial"/>
          <w:color w:val="000000"/>
          <w:sz w:val="22"/>
          <w:szCs w:val="22"/>
        </w:rPr>
        <w:t xml:space="preserve"> comparada con la vigencia 201</w:t>
      </w:r>
      <w:r w:rsidRPr="005045BF">
        <w:rPr>
          <w:rFonts w:ascii="Arial" w:hAnsi="Arial" w:cs="Arial"/>
          <w:color w:val="000000"/>
          <w:sz w:val="22"/>
          <w:szCs w:val="22"/>
        </w:rPr>
        <w:t>9</w:t>
      </w:r>
      <w:r w:rsidR="00A538A3" w:rsidRPr="005045BF">
        <w:rPr>
          <w:rFonts w:ascii="Arial" w:hAnsi="Arial" w:cs="Arial"/>
          <w:color w:val="000000"/>
          <w:sz w:val="22"/>
          <w:szCs w:val="22"/>
        </w:rPr>
        <w:t xml:space="preserve">, se observó que para las dos sedes de este Ministerio los servicios de aseo y acueducto presentaron </w:t>
      </w:r>
      <w:r w:rsidR="00A538A3" w:rsidRPr="005045BF">
        <w:rPr>
          <w:rFonts w:ascii="Arial" w:hAnsi="Arial" w:cs="Arial"/>
          <w:b/>
          <w:bCs/>
          <w:color w:val="000000"/>
          <w:sz w:val="22"/>
          <w:szCs w:val="22"/>
        </w:rPr>
        <w:t>variaciones positivas</w:t>
      </w:r>
      <w:r w:rsidR="00A538A3" w:rsidRPr="005045BF">
        <w:rPr>
          <w:rFonts w:ascii="Arial" w:hAnsi="Arial" w:cs="Arial"/>
          <w:color w:val="000000"/>
          <w:sz w:val="22"/>
          <w:szCs w:val="22"/>
        </w:rPr>
        <w:t>, exp</w:t>
      </w:r>
      <w:r w:rsidR="00514792">
        <w:rPr>
          <w:rFonts w:ascii="Arial" w:hAnsi="Arial" w:cs="Arial"/>
          <w:color w:val="000000"/>
          <w:sz w:val="22"/>
          <w:szCs w:val="22"/>
        </w:rPr>
        <w:t xml:space="preserve">uestas </w:t>
      </w:r>
      <w:r w:rsidR="00A538A3" w:rsidRPr="005045BF">
        <w:rPr>
          <w:rFonts w:ascii="Arial" w:hAnsi="Arial" w:cs="Arial"/>
          <w:color w:val="000000"/>
          <w:sz w:val="22"/>
          <w:szCs w:val="22"/>
        </w:rPr>
        <w:t xml:space="preserve">a continuación: </w:t>
      </w:r>
    </w:p>
    <w:p w14:paraId="04F318E9" w14:textId="77777777" w:rsidR="00021ABF" w:rsidRPr="005045BF" w:rsidRDefault="00021ABF" w:rsidP="00A538A3">
      <w:pPr>
        <w:jc w:val="both"/>
        <w:rPr>
          <w:rFonts w:ascii="Arial" w:hAnsi="Arial" w:cs="Arial"/>
          <w:color w:val="000000"/>
          <w:sz w:val="22"/>
          <w:szCs w:val="22"/>
        </w:rPr>
      </w:pPr>
    </w:p>
    <w:tbl>
      <w:tblPr>
        <w:tblW w:w="0" w:type="auto"/>
        <w:jc w:val="center"/>
        <w:tblCellMar>
          <w:left w:w="70" w:type="dxa"/>
          <w:right w:w="70" w:type="dxa"/>
        </w:tblCellMar>
        <w:tblLook w:val="04A0" w:firstRow="1" w:lastRow="0" w:firstColumn="1" w:lastColumn="0" w:noHBand="0" w:noVBand="1"/>
      </w:tblPr>
      <w:tblGrid>
        <w:gridCol w:w="3127"/>
        <w:gridCol w:w="1953"/>
        <w:gridCol w:w="1953"/>
        <w:gridCol w:w="1321"/>
        <w:gridCol w:w="1134"/>
      </w:tblGrid>
      <w:tr w:rsidR="00AF1878" w:rsidRPr="005045BF" w14:paraId="3BE5CAE7" w14:textId="77777777" w:rsidTr="00021ABF">
        <w:trPr>
          <w:cantSplit/>
          <w:jc w:val="center"/>
        </w:trPr>
        <w:tc>
          <w:tcPr>
            <w:tcW w:w="3127" w:type="dxa"/>
            <w:vMerge w:val="restart"/>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068A6C59"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Servicio</w:t>
            </w:r>
          </w:p>
        </w:tc>
        <w:tc>
          <w:tcPr>
            <w:tcW w:w="6361" w:type="dxa"/>
            <w:gridSpan w:val="4"/>
            <w:tcBorders>
              <w:top w:val="single" w:sz="8" w:space="0" w:color="B4C6E7"/>
              <w:left w:val="nil"/>
              <w:bottom w:val="single" w:sz="12" w:space="0" w:color="8EAADB"/>
              <w:right w:val="single" w:sz="8" w:space="0" w:color="B4C6E7"/>
            </w:tcBorders>
            <w:shd w:val="clear" w:color="auto" w:fill="4F81BD" w:themeFill="accent1"/>
            <w:vAlign w:val="center"/>
            <w:hideMark/>
          </w:tcPr>
          <w:p w14:paraId="076B5698"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Valor Facturado ($)</w:t>
            </w:r>
          </w:p>
        </w:tc>
      </w:tr>
      <w:tr w:rsidR="00AF1878" w:rsidRPr="005045BF" w14:paraId="5E1C24AF" w14:textId="77777777" w:rsidTr="00021ABF">
        <w:trPr>
          <w:cantSplit/>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9A5D6E8" w14:textId="77777777" w:rsidR="00AF1878" w:rsidRPr="005045BF" w:rsidRDefault="00AF1878" w:rsidP="00021ABF">
            <w:pPr>
              <w:spacing w:before="40" w:after="40"/>
              <w:rPr>
                <w:rFonts w:ascii="Arial" w:hAnsi="Arial" w:cs="Arial"/>
                <w:b/>
                <w:bCs/>
                <w:color w:val="FFFFFF"/>
                <w:sz w:val="20"/>
                <w:szCs w:val="20"/>
              </w:rPr>
            </w:pPr>
          </w:p>
        </w:tc>
        <w:tc>
          <w:tcPr>
            <w:tcW w:w="0" w:type="auto"/>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6A327E0F"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Edificio San Agustín</w:t>
            </w:r>
          </w:p>
        </w:tc>
        <w:tc>
          <w:tcPr>
            <w:tcW w:w="2455" w:type="dxa"/>
            <w:gridSpan w:val="2"/>
            <w:tcBorders>
              <w:top w:val="single" w:sz="12" w:space="0" w:color="8EAADB"/>
              <w:left w:val="nil"/>
              <w:bottom w:val="single" w:sz="8" w:space="0" w:color="B4C6E7"/>
              <w:right w:val="single" w:sz="8" w:space="0" w:color="B4C6E7"/>
            </w:tcBorders>
            <w:shd w:val="clear" w:color="auto" w:fill="4F81BD" w:themeFill="accent1"/>
            <w:vAlign w:val="center"/>
            <w:hideMark/>
          </w:tcPr>
          <w:p w14:paraId="2E1B085A"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Variaciones</w:t>
            </w:r>
          </w:p>
        </w:tc>
      </w:tr>
      <w:tr w:rsidR="00AF1878" w:rsidRPr="005045BF" w14:paraId="199A7E57" w14:textId="77777777" w:rsidTr="00021ABF">
        <w:trPr>
          <w:cantSplit/>
          <w:jc w:val="center"/>
        </w:trPr>
        <w:tc>
          <w:tcPr>
            <w:tcW w:w="3127" w:type="dxa"/>
            <w:vMerge/>
            <w:tcBorders>
              <w:top w:val="single" w:sz="8" w:space="0" w:color="B4C6E7"/>
              <w:left w:val="single" w:sz="8" w:space="0" w:color="B4C6E7"/>
              <w:bottom w:val="single" w:sz="8" w:space="0" w:color="B4C6E7"/>
              <w:right w:val="single" w:sz="8" w:space="0" w:color="B4C6E7"/>
            </w:tcBorders>
            <w:shd w:val="clear" w:color="auto" w:fill="4F81BD" w:themeFill="accent1"/>
            <w:vAlign w:val="center"/>
            <w:hideMark/>
          </w:tcPr>
          <w:p w14:paraId="78B82C0E" w14:textId="77777777" w:rsidR="00AF1878" w:rsidRPr="005045BF" w:rsidRDefault="00AF1878" w:rsidP="00021ABF">
            <w:pPr>
              <w:spacing w:before="40" w:after="40"/>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C7F1729" w14:textId="2AA6FE8B"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I Trimestre de 20</w:t>
            </w:r>
            <w:r w:rsidR="00CA68F8" w:rsidRPr="005045BF">
              <w:rPr>
                <w:rFonts w:ascii="Arial" w:hAnsi="Arial" w:cs="Arial"/>
                <w:b/>
                <w:bCs/>
                <w:color w:val="FFFFFF"/>
                <w:sz w:val="20"/>
                <w:szCs w:val="20"/>
              </w:rPr>
              <w:t>20</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42A86652" w14:textId="3E79FCAA"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I</w:t>
            </w:r>
            <w:r w:rsidR="00CA68F8" w:rsidRPr="005045BF">
              <w:rPr>
                <w:rFonts w:ascii="Arial" w:hAnsi="Arial" w:cs="Arial"/>
                <w:b/>
                <w:bCs/>
                <w:color w:val="FFFFFF"/>
                <w:sz w:val="20"/>
                <w:szCs w:val="20"/>
              </w:rPr>
              <w:t xml:space="preserve"> </w:t>
            </w:r>
            <w:r w:rsidRPr="005045BF">
              <w:rPr>
                <w:rFonts w:ascii="Arial" w:hAnsi="Arial" w:cs="Arial"/>
                <w:b/>
                <w:bCs/>
                <w:color w:val="FFFFFF"/>
                <w:sz w:val="20"/>
                <w:szCs w:val="20"/>
              </w:rPr>
              <w:t>Trimestre de 201</w:t>
            </w:r>
            <w:r w:rsidR="00CA68F8" w:rsidRPr="005045BF">
              <w:rPr>
                <w:rFonts w:ascii="Arial" w:hAnsi="Arial" w:cs="Arial"/>
                <w:b/>
                <w:bCs/>
                <w:color w:val="FFFFFF"/>
                <w:sz w:val="20"/>
                <w:szCs w:val="20"/>
              </w:rPr>
              <w:t>9</w:t>
            </w:r>
          </w:p>
        </w:tc>
        <w:tc>
          <w:tcPr>
            <w:tcW w:w="1321" w:type="dxa"/>
            <w:tcBorders>
              <w:top w:val="nil"/>
              <w:left w:val="nil"/>
              <w:bottom w:val="single" w:sz="8" w:space="0" w:color="B4C6E7"/>
              <w:right w:val="single" w:sz="8" w:space="0" w:color="B4C6E7"/>
            </w:tcBorders>
            <w:shd w:val="clear" w:color="auto" w:fill="4F81BD" w:themeFill="accent1"/>
            <w:vAlign w:val="center"/>
            <w:hideMark/>
          </w:tcPr>
          <w:p w14:paraId="516A3D3E"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w:t>
            </w:r>
          </w:p>
        </w:tc>
        <w:tc>
          <w:tcPr>
            <w:tcW w:w="1134" w:type="dxa"/>
            <w:tcBorders>
              <w:top w:val="nil"/>
              <w:left w:val="nil"/>
              <w:bottom w:val="single" w:sz="8" w:space="0" w:color="B4C6E7"/>
              <w:right w:val="single" w:sz="8" w:space="0" w:color="B4C6E7"/>
            </w:tcBorders>
            <w:shd w:val="clear" w:color="auto" w:fill="4F81BD" w:themeFill="accent1"/>
            <w:vAlign w:val="center"/>
            <w:hideMark/>
          </w:tcPr>
          <w:p w14:paraId="73BC4B1D"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w:t>
            </w:r>
          </w:p>
        </w:tc>
      </w:tr>
      <w:tr w:rsidR="00E13A0F" w:rsidRPr="005045BF" w14:paraId="2A325F3C" w14:textId="77777777" w:rsidTr="00021ABF">
        <w:trPr>
          <w:cantSplit/>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56ED8B2C" w14:textId="77777777" w:rsidR="00E13A0F" w:rsidRPr="005045BF" w:rsidRDefault="00E13A0F"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tcPr>
          <w:p w14:paraId="72010055" w14:textId="13648E61" w:rsidR="00E13A0F" w:rsidRPr="005045BF" w:rsidRDefault="00E13A0F" w:rsidP="00021ABF">
            <w:pPr>
              <w:spacing w:before="40" w:after="40"/>
              <w:jc w:val="right"/>
              <w:rPr>
                <w:rFonts w:ascii="Arial" w:hAnsi="Arial" w:cs="Arial"/>
                <w:color w:val="0F243E" w:themeColor="text2" w:themeShade="80"/>
                <w:sz w:val="20"/>
                <w:szCs w:val="20"/>
              </w:rPr>
            </w:pPr>
            <w:r w:rsidRPr="005045BF">
              <w:rPr>
                <w:rFonts w:ascii="Arial" w:hAnsi="Arial" w:cs="Arial"/>
                <w:color w:val="222A35"/>
                <w:sz w:val="20"/>
                <w:szCs w:val="20"/>
              </w:rPr>
              <w:t>4.685.892</w:t>
            </w:r>
          </w:p>
        </w:tc>
        <w:tc>
          <w:tcPr>
            <w:tcW w:w="0" w:type="auto"/>
            <w:tcBorders>
              <w:top w:val="nil"/>
              <w:left w:val="nil"/>
              <w:bottom w:val="single" w:sz="8" w:space="0" w:color="B4C6E7"/>
              <w:right w:val="single" w:sz="8" w:space="0" w:color="B4C6E7"/>
            </w:tcBorders>
            <w:shd w:val="clear" w:color="auto" w:fill="auto"/>
            <w:vAlign w:val="center"/>
          </w:tcPr>
          <w:p w14:paraId="2B76A58E" w14:textId="69CF705B" w:rsidR="00E13A0F" w:rsidRPr="005045BF" w:rsidRDefault="00E13A0F" w:rsidP="00021ABF">
            <w:pPr>
              <w:spacing w:before="40" w:after="40"/>
              <w:jc w:val="right"/>
              <w:rPr>
                <w:rFonts w:ascii="Arial" w:hAnsi="Arial" w:cs="Arial"/>
                <w:color w:val="0F243E" w:themeColor="text2" w:themeShade="80"/>
                <w:sz w:val="20"/>
                <w:szCs w:val="20"/>
              </w:rPr>
            </w:pPr>
            <w:r w:rsidRPr="005045BF">
              <w:rPr>
                <w:rFonts w:ascii="Arial" w:hAnsi="Arial" w:cs="Arial"/>
                <w:color w:val="222A35"/>
                <w:sz w:val="20"/>
                <w:szCs w:val="20"/>
              </w:rPr>
              <w:t>4.519.294</w:t>
            </w:r>
          </w:p>
        </w:tc>
        <w:tc>
          <w:tcPr>
            <w:tcW w:w="1321" w:type="dxa"/>
            <w:tcBorders>
              <w:top w:val="nil"/>
              <w:left w:val="nil"/>
              <w:bottom w:val="single" w:sz="8" w:space="0" w:color="B4C6E7"/>
              <w:right w:val="single" w:sz="8" w:space="0" w:color="B4C6E7"/>
            </w:tcBorders>
            <w:shd w:val="clear" w:color="auto" w:fill="auto"/>
            <w:vAlign w:val="center"/>
          </w:tcPr>
          <w:p w14:paraId="01BA08FD" w14:textId="2D0CF67C" w:rsidR="00E13A0F" w:rsidRPr="005045BF" w:rsidRDefault="00E13A0F" w:rsidP="00021ABF">
            <w:pPr>
              <w:spacing w:before="40" w:after="40"/>
              <w:jc w:val="right"/>
              <w:rPr>
                <w:rFonts w:ascii="Arial" w:hAnsi="Arial" w:cs="Arial"/>
                <w:b/>
                <w:bCs/>
                <w:color w:val="0F243E" w:themeColor="text2" w:themeShade="80"/>
                <w:sz w:val="20"/>
                <w:szCs w:val="20"/>
              </w:rPr>
            </w:pPr>
            <w:r w:rsidRPr="005045BF">
              <w:rPr>
                <w:rFonts w:ascii="Arial" w:hAnsi="Arial" w:cs="Arial"/>
                <w:color w:val="222A35"/>
                <w:sz w:val="20"/>
                <w:szCs w:val="20"/>
              </w:rPr>
              <w:t>166.598</w:t>
            </w:r>
          </w:p>
        </w:tc>
        <w:tc>
          <w:tcPr>
            <w:tcW w:w="1134" w:type="dxa"/>
            <w:tcBorders>
              <w:top w:val="nil"/>
              <w:left w:val="nil"/>
              <w:bottom w:val="single" w:sz="8" w:space="0" w:color="B4C6E7"/>
              <w:right w:val="single" w:sz="8" w:space="0" w:color="B4C6E7"/>
            </w:tcBorders>
            <w:shd w:val="clear" w:color="auto" w:fill="auto"/>
            <w:vAlign w:val="center"/>
          </w:tcPr>
          <w:p w14:paraId="58F78190" w14:textId="193D8336" w:rsidR="00E13A0F" w:rsidRPr="005045BF" w:rsidRDefault="00E13A0F"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222A35"/>
                <w:sz w:val="20"/>
                <w:szCs w:val="20"/>
              </w:rPr>
              <w:t>4%</w:t>
            </w:r>
          </w:p>
        </w:tc>
      </w:tr>
      <w:tr w:rsidR="00CA68F8" w:rsidRPr="005045BF" w14:paraId="73703477" w14:textId="77777777" w:rsidTr="00021ABF">
        <w:trPr>
          <w:cantSplit/>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97C5D2E" w14:textId="77777777"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Servicios de Acueducto</w:t>
            </w:r>
          </w:p>
        </w:tc>
        <w:tc>
          <w:tcPr>
            <w:tcW w:w="0" w:type="auto"/>
            <w:tcBorders>
              <w:top w:val="nil"/>
              <w:left w:val="nil"/>
              <w:bottom w:val="single" w:sz="8" w:space="0" w:color="B4C6E7"/>
              <w:right w:val="single" w:sz="8" w:space="0" w:color="B4C6E7"/>
            </w:tcBorders>
            <w:shd w:val="clear" w:color="auto" w:fill="auto"/>
            <w:vAlign w:val="center"/>
          </w:tcPr>
          <w:p w14:paraId="630FAC7D" w14:textId="1DD48C2B" w:rsidR="00CA68F8" w:rsidRPr="005045BF" w:rsidRDefault="00CA68F8" w:rsidP="00021ABF">
            <w:pPr>
              <w:spacing w:before="40" w:after="4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13.118.490</w:t>
            </w:r>
          </w:p>
        </w:tc>
        <w:tc>
          <w:tcPr>
            <w:tcW w:w="0" w:type="auto"/>
            <w:tcBorders>
              <w:top w:val="nil"/>
              <w:left w:val="nil"/>
              <w:bottom w:val="single" w:sz="8" w:space="0" w:color="B4C6E7"/>
              <w:right w:val="single" w:sz="8" w:space="0" w:color="B4C6E7"/>
            </w:tcBorders>
            <w:shd w:val="clear" w:color="auto" w:fill="auto"/>
            <w:vAlign w:val="center"/>
          </w:tcPr>
          <w:p w14:paraId="6B591E22" w14:textId="1598588C" w:rsidR="00CA68F8" w:rsidRPr="005045BF" w:rsidRDefault="00CA68F8" w:rsidP="00021ABF">
            <w:pPr>
              <w:spacing w:before="40" w:after="40"/>
              <w:jc w:val="right"/>
              <w:rPr>
                <w:rFonts w:ascii="Arial" w:hAnsi="Arial" w:cs="Arial"/>
                <w:color w:val="0F243E" w:themeColor="text2" w:themeShade="80"/>
                <w:sz w:val="20"/>
                <w:szCs w:val="20"/>
              </w:rPr>
            </w:pPr>
            <w:r w:rsidRPr="005045BF">
              <w:rPr>
                <w:rFonts w:ascii="Arial" w:hAnsi="Arial" w:cs="Arial"/>
                <w:color w:val="0F243E" w:themeColor="text2" w:themeShade="80"/>
                <w:sz w:val="20"/>
                <w:szCs w:val="20"/>
              </w:rPr>
              <w:t>12.073.986</w:t>
            </w:r>
          </w:p>
        </w:tc>
        <w:tc>
          <w:tcPr>
            <w:tcW w:w="1321" w:type="dxa"/>
            <w:tcBorders>
              <w:top w:val="nil"/>
              <w:left w:val="nil"/>
              <w:bottom w:val="single" w:sz="8" w:space="0" w:color="B4C6E7"/>
              <w:right w:val="single" w:sz="8" w:space="0" w:color="B4C6E7"/>
            </w:tcBorders>
            <w:shd w:val="clear" w:color="auto" w:fill="auto"/>
            <w:vAlign w:val="center"/>
          </w:tcPr>
          <w:p w14:paraId="54E5FFAD" w14:textId="0DE6EA16" w:rsidR="00CA68F8" w:rsidRPr="005045BF" w:rsidRDefault="00CA68F8" w:rsidP="00021ABF">
            <w:pPr>
              <w:spacing w:before="40" w:after="40"/>
              <w:jc w:val="right"/>
              <w:rPr>
                <w:rFonts w:ascii="Arial" w:hAnsi="Arial" w:cs="Arial"/>
                <w:b/>
                <w:bCs/>
                <w:color w:val="0F243E" w:themeColor="text2" w:themeShade="80"/>
                <w:sz w:val="20"/>
                <w:szCs w:val="20"/>
              </w:rPr>
            </w:pPr>
            <w:r w:rsidRPr="005045BF">
              <w:rPr>
                <w:rFonts w:ascii="Arial" w:hAnsi="Arial" w:cs="Arial"/>
                <w:color w:val="0F243E" w:themeColor="text2" w:themeShade="80"/>
                <w:sz w:val="20"/>
                <w:szCs w:val="20"/>
              </w:rPr>
              <w:t>1.044.504</w:t>
            </w:r>
          </w:p>
        </w:tc>
        <w:tc>
          <w:tcPr>
            <w:tcW w:w="1134" w:type="dxa"/>
            <w:tcBorders>
              <w:top w:val="nil"/>
              <w:left w:val="nil"/>
              <w:bottom w:val="single" w:sz="8" w:space="0" w:color="B4C6E7"/>
              <w:right w:val="single" w:sz="8" w:space="0" w:color="B4C6E7"/>
            </w:tcBorders>
            <w:shd w:val="clear" w:color="auto" w:fill="auto"/>
            <w:vAlign w:val="center"/>
          </w:tcPr>
          <w:p w14:paraId="168E7D78" w14:textId="4CEED236"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9%</w:t>
            </w:r>
          </w:p>
        </w:tc>
      </w:tr>
      <w:tr w:rsidR="00AF1878" w:rsidRPr="005045BF" w14:paraId="722C7621" w14:textId="77777777" w:rsidTr="00021ABF">
        <w:trPr>
          <w:cantSplit/>
          <w:jc w:val="center"/>
        </w:trPr>
        <w:tc>
          <w:tcPr>
            <w:tcW w:w="3127" w:type="dxa"/>
            <w:vMerge w:val="restart"/>
            <w:tcBorders>
              <w:top w:val="nil"/>
              <w:left w:val="single" w:sz="8" w:space="0" w:color="B4C6E7"/>
              <w:bottom w:val="single" w:sz="8" w:space="0" w:color="B4C6E7"/>
              <w:right w:val="single" w:sz="8" w:space="0" w:color="B4C6E7"/>
            </w:tcBorders>
            <w:shd w:val="clear" w:color="auto" w:fill="4F81BD" w:themeFill="accent1"/>
            <w:vAlign w:val="center"/>
            <w:hideMark/>
          </w:tcPr>
          <w:p w14:paraId="3299AB33"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 Servicio</w:t>
            </w:r>
          </w:p>
        </w:tc>
        <w:tc>
          <w:tcPr>
            <w:tcW w:w="0" w:type="auto"/>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4C4981A4"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Casas de Santa Bárbara</w:t>
            </w:r>
          </w:p>
        </w:tc>
        <w:tc>
          <w:tcPr>
            <w:tcW w:w="2455" w:type="dxa"/>
            <w:gridSpan w:val="2"/>
            <w:tcBorders>
              <w:top w:val="single" w:sz="8" w:space="0" w:color="B4C6E7"/>
              <w:left w:val="nil"/>
              <w:bottom w:val="single" w:sz="8" w:space="0" w:color="B4C6E7"/>
              <w:right w:val="single" w:sz="8" w:space="0" w:color="B4C6E7"/>
            </w:tcBorders>
            <w:shd w:val="clear" w:color="auto" w:fill="4F81BD" w:themeFill="accent1"/>
            <w:vAlign w:val="center"/>
            <w:hideMark/>
          </w:tcPr>
          <w:p w14:paraId="3AFF60AC"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Variaciones</w:t>
            </w:r>
          </w:p>
        </w:tc>
      </w:tr>
      <w:tr w:rsidR="00AF1878" w:rsidRPr="005045BF" w14:paraId="73C99A14" w14:textId="77777777" w:rsidTr="00021ABF">
        <w:trPr>
          <w:cantSplit/>
          <w:jc w:val="center"/>
        </w:trPr>
        <w:tc>
          <w:tcPr>
            <w:tcW w:w="3127" w:type="dxa"/>
            <w:vMerge/>
            <w:tcBorders>
              <w:top w:val="nil"/>
              <w:left w:val="single" w:sz="8" w:space="0" w:color="B4C6E7"/>
              <w:bottom w:val="single" w:sz="8" w:space="0" w:color="B4C6E7"/>
              <w:right w:val="single" w:sz="8" w:space="0" w:color="B4C6E7"/>
            </w:tcBorders>
            <w:shd w:val="clear" w:color="auto" w:fill="4F81BD" w:themeFill="accent1"/>
            <w:vAlign w:val="center"/>
            <w:hideMark/>
          </w:tcPr>
          <w:p w14:paraId="2EBCD36A" w14:textId="77777777" w:rsidR="00AF1878" w:rsidRPr="005045BF" w:rsidRDefault="00AF1878" w:rsidP="00021ABF">
            <w:pPr>
              <w:spacing w:before="40" w:after="40"/>
              <w:rPr>
                <w:rFonts w:ascii="Arial" w:hAnsi="Arial" w:cs="Arial"/>
                <w:b/>
                <w:bCs/>
                <w:color w:val="FFFFFF"/>
                <w:sz w:val="20"/>
                <w:szCs w:val="20"/>
              </w:rPr>
            </w:pPr>
          </w:p>
        </w:tc>
        <w:tc>
          <w:tcPr>
            <w:tcW w:w="0" w:type="auto"/>
            <w:tcBorders>
              <w:top w:val="nil"/>
              <w:left w:val="nil"/>
              <w:bottom w:val="single" w:sz="8" w:space="0" w:color="B4C6E7"/>
              <w:right w:val="single" w:sz="8" w:space="0" w:color="B4C6E7"/>
            </w:tcBorders>
            <w:shd w:val="clear" w:color="auto" w:fill="4F81BD" w:themeFill="accent1"/>
            <w:vAlign w:val="center"/>
            <w:hideMark/>
          </w:tcPr>
          <w:p w14:paraId="1D075410" w14:textId="271EBC56"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I Trimestre de 20</w:t>
            </w:r>
            <w:r w:rsidR="00CA68F8" w:rsidRPr="005045BF">
              <w:rPr>
                <w:rFonts w:ascii="Arial" w:hAnsi="Arial" w:cs="Arial"/>
                <w:b/>
                <w:bCs/>
                <w:color w:val="FFFFFF"/>
                <w:sz w:val="20"/>
                <w:szCs w:val="20"/>
              </w:rPr>
              <w:t>20</w:t>
            </w:r>
          </w:p>
        </w:tc>
        <w:tc>
          <w:tcPr>
            <w:tcW w:w="0" w:type="auto"/>
            <w:tcBorders>
              <w:top w:val="nil"/>
              <w:left w:val="nil"/>
              <w:bottom w:val="single" w:sz="8" w:space="0" w:color="B4C6E7"/>
              <w:right w:val="single" w:sz="8" w:space="0" w:color="B4C6E7"/>
            </w:tcBorders>
            <w:shd w:val="clear" w:color="auto" w:fill="4F81BD" w:themeFill="accent1"/>
            <w:vAlign w:val="center"/>
            <w:hideMark/>
          </w:tcPr>
          <w:p w14:paraId="3D30B963" w14:textId="700F2BB0"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I Trimestre de 201</w:t>
            </w:r>
            <w:r w:rsidR="00CA68F8" w:rsidRPr="005045BF">
              <w:rPr>
                <w:rFonts w:ascii="Arial" w:hAnsi="Arial" w:cs="Arial"/>
                <w:b/>
                <w:bCs/>
                <w:color w:val="FFFFFF"/>
                <w:sz w:val="20"/>
                <w:szCs w:val="20"/>
              </w:rPr>
              <w:t>9</w:t>
            </w:r>
          </w:p>
        </w:tc>
        <w:tc>
          <w:tcPr>
            <w:tcW w:w="1321" w:type="dxa"/>
            <w:tcBorders>
              <w:top w:val="nil"/>
              <w:left w:val="nil"/>
              <w:bottom w:val="single" w:sz="8" w:space="0" w:color="B4C6E7"/>
              <w:right w:val="single" w:sz="8" w:space="0" w:color="B4C6E7"/>
            </w:tcBorders>
            <w:shd w:val="clear" w:color="auto" w:fill="4F81BD" w:themeFill="accent1"/>
            <w:vAlign w:val="center"/>
            <w:hideMark/>
          </w:tcPr>
          <w:p w14:paraId="1144E110"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w:t>
            </w:r>
          </w:p>
        </w:tc>
        <w:tc>
          <w:tcPr>
            <w:tcW w:w="1134" w:type="dxa"/>
            <w:tcBorders>
              <w:top w:val="nil"/>
              <w:left w:val="nil"/>
              <w:bottom w:val="single" w:sz="8" w:space="0" w:color="B4C6E7"/>
              <w:right w:val="single" w:sz="8" w:space="0" w:color="B4C6E7"/>
            </w:tcBorders>
            <w:shd w:val="clear" w:color="auto" w:fill="4F81BD" w:themeFill="accent1"/>
            <w:vAlign w:val="center"/>
            <w:hideMark/>
          </w:tcPr>
          <w:p w14:paraId="1A7ACAFA" w14:textId="77777777" w:rsidR="00AF1878" w:rsidRPr="005045BF" w:rsidRDefault="00AF1878" w:rsidP="00021ABF">
            <w:pPr>
              <w:spacing w:before="40" w:after="40"/>
              <w:jc w:val="center"/>
              <w:rPr>
                <w:rFonts w:ascii="Arial" w:hAnsi="Arial" w:cs="Arial"/>
                <w:b/>
                <w:bCs/>
                <w:color w:val="FFFFFF"/>
                <w:sz w:val="20"/>
                <w:szCs w:val="20"/>
              </w:rPr>
            </w:pPr>
            <w:r w:rsidRPr="005045BF">
              <w:rPr>
                <w:rFonts w:ascii="Arial" w:hAnsi="Arial" w:cs="Arial"/>
                <w:b/>
                <w:bCs/>
                <w:color w:val="FFFFFF"/>
                <w:sz w:val="20"/>
                <w:szCs w:val="20"/>
              </w:rPr>
              <w:t>%</w:t>
            </w:r>
          </w:p>
        </w:tc>
      </w:tr>
      <w:tr w:rsidR="00CA68F8" w:rsidRPr="005045BF" w14:paraId="10B41A9C" w14:textId="77777777" w:rsidTr="00021ABF">
        <w:trPr>
          <w:cantSplit/>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1828F97D" w14:textId="77777777"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Servicio de Aseo</w:t>
            </w:r>
          </w:p>
        </w:tc>
        <w:tc>
          <w:tcPr>
            <w:tcW w:w="0" w:type="auto"/>
            <w:tcBorders>
              <w:top w:val="nil"/>
              <w:left w:val="nil"/>
              <w:bottom w:val="single" w:sz="8" w:space="0" w:color="B4C6E7"/>
              <w:right w:val="single" w:sz="8" w:space="0" w:color="B4C6E7"/>
            </w:tcBorders>
            <w:shd w:val="clear" w:color="auto" w:fill="auto"/>
            <w:vAlign w:val="center"/>
          </w:tcPr>
          <w:p w14:paraId="76F7EC93" w14:textId="7D271733" w:rsidR="00CA68F8" w:rsidRPr="005045BF" w:rsidRDefault="00CA68F8" w:rsidP="00021AB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2.245.940</w:t>
            </w:r>
          </w:p>
        </w:tc>
        <w:tc>
          <w:tcPr>
            <w:tcW w:w="0" w:type="auto"/>
            <w:tcBorders>
              <w:top w:val="nil"/>
              <w:left w:val="nil"/>
              <w:bottom w:val="single" w:sz="8" w:space="0" w:color="B4C6E7"/>
              <w:right w:val="single" w:sz="8" w:space="0" w:color="B4C6E7"/>
            </w:tcBorders>
            <w:shd w:val="clear" w:color="auto" w:fill="auto"/>
            <w:vAlign w:val="center"/>
          </w:tcPr>
          <w:p w14:paraId="203BBE23" w14:textId="5FB1F4F0" w:rsidR="00CA68F8" w:rsidRPr="005045BF" w:rsidRDefault="00CA68F8" w:rsidP="00021AB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1.230.020</w:t>
            </w:r>
          </w:p>
        </w:tc>
        <w:tc>
          <w:tcPr>
            <w:tcW w:w="1321" w:type="dxa"/>
            <w:tcBorders>
              <w:top w:val="nil"/>
              <w:left w:val="nil"/>
              <w:bottom w:val="single" w:sz="8" w:space="0" w:color="B4C6E7"/>
              <w:right w:val="single" w:sz="8" w:space="0" w:color="B4C6E7"/>
            </w:tcBorders>
            <w:shd w:val="clear" w:color="auto" w:fill="auto"/>
            <w:vAlign w:val="center"/>
          </w:tcPr>
          <w:p w14:paraId="2EFA0C93" w14:textId="490E8D4E"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1.015.920</w:t>
            </w:r>
          </w:p>
        </w:tc>
        <w:tc>
          <w:tcPr>
            <w:tcW w:w="1134" w:type="dxa"/>
            <w:tcBorders>
              <w:top w:val="nil"/>
              <w:left w:val="nil"/>
              <w:bottom w:val="single" w:sz="8" w:space="0" w:color="B4C6E7"/>
              <w:right w:val="single" w:sz="8" w:space="0" w:color="B4C6E7"/>
            </w:tcBorders>
            <w:shd w:val="clear" w:color="auto" w:fill="auto"/>
            <w:vAlign w:val="center"/>
          </w:tcPr>
          <w:p w14:paraId="49C11E4C" w14:textId="4E4FB550"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222A35"/>
                <w:sz w:val="20"/>
                <w:szCs w:val="20"/>
              </w:rPr>
              <w:t>83%</w:t>
            </w:r>
          </w:p>
        </w:tc>
      </w:tr>
      <w:tr w:rsidR="00CA68F8" w:rsidRPr="005045BF" w14:paraId="7D693C1E" w14:textId="77777777" w:rsidTr="00021ABF">
        <w:trPr>
          <w:cantSplit/>
          <w:jc w:val="center"/>
        </w:trPr>
        <w:tc>
          <w:tcPr>
            <w:tcW w:w="3127" w:type="dxa"/>
            <w:tcBorders>
              <w:top w:val="nil"/>
              <w:left w:val="single" w:sz="8" w:space="0" w:color="B4C6E7"/>
              <w:bottom w:val="single" w:sz="8" w:space="0" w:color="B4C6E7"/>
              <w:right w:val="single" w:sz="8" w:space="0" w:color="B4C6E7"/>
            </w:tcBorders>
            <w:shd w:val="clear" w:color="auto" w:fill="auto"/>
            <w:vAlign w:val="center"/>
            <w:hideMark/>
          </w:tcPr>
          <w:p w14:paraId="686D93B5" w14:textId="77777777"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Servicio de Acueducto </w:t>
            </w:r>
          </w:p>
        </w:tc>
        <w:tc>
          <w:tcPr>
            <w:tcW w:w="0" w:type="auto"/>
            <w:tcBorders>
              <w:top w:val="nil"/>
              <w:left w:val="nil"/>
              <w:bottom w:val="single" w:sz="8" w:space="0" w:color="B4C6E7"/>
              <w:right w:val="single" w:sz="8" w:space="0" w:color="B4C6E7"/>
            </w:tcBorders>
            <w:shd w:val="clear" w:color="auto" w:fill="auto"/>
            <w:vAlign w:val="center"/>
          </w:tcPr>
          <w:p w14:paraId="4EC87A11" w14:textId="62EB9EF1" w:rsidR="00CA68F8" w:rsidRPr="005045BF" w:rsidRDefault="00CA68F8" w:rsidP="00021AB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4.179.020</w:t>
            </w:r>
          </w:p>
        </w:tc>
        <w:tc>
          <w:tcPr>
            <w:tcW w:w="0" w:type="auto"/>
            <w:tcBorders>
              <w:top w:val="nil"/>
              <w:left w:val="nil"/>
              <w:bottom w:val="single" w:sz="8" w:space="0" w:color="B4C6E7"/>
              <w:right w:val="single" w:sz="8" w:space="0" w:color="B4C6E7"/>
            </w:tcBorders>
            <w:shd w:val="clear" w:color="auto" w:fill="auto"/>
            <w:vAlign w:val="center"/>
          </w:tcPr>
          <w:p w14:paraId="7BFFCCEB" w14:textId="043D7E70" w:rsidR="00CA68F8" w:rsidRPr="005045BF" w:rsidRDefault="00CA68F8" w:rsidP="00021ABF">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3.665.970</w:t>
            </w:r>
          </w:p>
        </w:tc>
        <w:tc>
          <w:tcPr>
            <w:tcW w:w="1321" w:type="dxa"/>
            <w:tcBorders>
              <w:top w:val="nil"/>
              <w:left w:val="nil"/>
              <w:bottom w:val="single" w:sz="8" w:space="0" w:color="B4C6E7"/>
              <w:right w:val="single" w:sz="8" w:space="0" w:color="B4C6E7"/>
            </w:tcBorders>
            <w:shd w:val="clear" w:color="auto" w:fill="auto"/>
            <w:vAlign w:val="center"/>
          </w:tcPr>
          <w:p w14:paraId="1F653F0C" w14:textId="46283DF8"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513.050</w:t>
            </w:r>
          </w:p>
        </w:tc>
        <w:tc>
          <w:tcPr>
            <w:tcW w:w="1134" w:type="dxa"/>
            <w:tcBorders>
              <w:top w:val="nil"/>
              <w:left w:val="nil"/>
              <w:bottom w:val="single" w:sz="8" w:space="0" w:color="B4C6E7"/>
              <w:right w:val="single" w:sz="8" w:space="0" w:color="B4C6E7"/>
            </w:tcBorders>
            <w:shd w:val="clear" w:color="auto" w:fill="auto"/>
            <w:vAlign w:val="center"/>
          </w:tcPr>
          <w:p w14:paraId="0A306397" w14:textId="10DE1E2D" w:rsidR="00CA68F8" w:rsidRPr="005045BF" w:rsidRDefault="00CA68F8" w:rsidP="00021ABF">
            <w:pPr>
              <w:spacing w:before="40" w:after="40"/>
              <w:jc w:val="center"/>
              <w:rPr>
                <w:rFonts w:ascii="Arial" w:hAnsi="Arial" w:cs="Arial"/>
                <w:b/>
                <w:bCs/>
                <w:color w:val="0F243E" w:themeColor="text2" w:themeShade="80"/>
                <w:sz w:val="20"/>
                <w:szCs w:val="20"/>
              </w:rPr>
            </w:pPr>
            <w:r w:rsidRPr="005045BF">
              <w:rPr>
                <w:rFonts w:ascii="Arial" w:hAnsi="Arial" w:cs="Arial"/>
                <w:b/>
                <w:bCs/>
                <w:color w:val="222A35"/>
                <w:sz w:val="20"/>
                <w:szCs w:val="20"/>
              </w:rPr>
              <w:t>14%</w:t>
            </w:r>
          </w:p>
        </w:tc>
      </w:tr>
    </w:tbl>
    <w:p w14:paraId="4207E960" w14:textId="77777777" w:rsidR="00514792" w:rsidRDefault="00514792" w:rsidP="00514792">
      <w:pPr>
        <w:ind w:left="142" w:hanging="142"/>
        <w:jc w:val="center"/>
        <w:rPr>
          <w:lang w:eastAsia="en-US"/>
        </w:rPr>
      </w:pPr>
    </w:p>
    <w:p w14:paraId="0244F6FC" w14:textId="7F42D590" w:rsidR="00092349" w:rsidRPr="005045BF" w:rsidRDefault="00BA66D1" w:rsidP="00092349">
      <w:pPr>
        <w:spacing w:after="200" w:line="276" w:lineRule="auto"/>
        <w:ind w:left="142" w:hanging="142"/>
        <w:jc w:val="center"/>
        <w:rPr>
          <w:highlight w:val="yellow"/>
          <w:lang w:eastAsia="en-US"/>
        </w:rPr>
      </w:pPr>
      <w:r w:rsidRPr="005045BF">
        <w:rPr>
          <w:noProof/>
        </w:rPr>
        <w:drawing>
          <wp:inline distT="0" distB="0" distL="0" distR="0" wp14:anchorId="05A0E041" wp14:editId="1370F43E">
            <wp:extent cx="5686425" cy="2341498"/>
            <wp:effectExtent l="0" t="0" r="0" b="1905"/>
            <wp:docPr id="1" name="Gráfico 1">
              <a:extLst xmlns:a="http://schemas.openxmlformats.org/drawingml/2006/main">
                <a:ext uri="{FF2B5EF4-FFF2-40B4-BE49-F238E27FC236}">
                  <a16:creationId xmlns:a16="http://schemas.microsoft.com/office/drawing/2014/main" id="{35EFC933-0BD5-41BA-AD08-F4530FD99A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44289C2C" w14:textId="33E45D36" w:rsidR="00556056" w:rsidRPr="005045BF" w:rsidRDefault="001C7006" w:rsidP="00470C0A">
      <w:pPr>
        <w:jc w:val="both"/>
        <w:rPr>
          <w:rFonts w:ascii="Arial" w:hAnsi="Arial" w:cs="Arial"/>
          <w:color w:val="000000" w:themeColor="text1"/>
          <w:sz w:val="22"/>
          <w:szCs w:val="22"/>
        </w:rPr>
      </w:pPr>
      <w:r w:rsidRPr="005045BF">
        <w:rPr>
          <w:rFonts w:ascii="Arial" w:hAnsi="Arial" w:cs="Arial"/>
          <w:color w:val="000000" w:themeColor="text1"/>
          <w:sz w:val="22"/>
          <w:szCs w:val="22"/>
        </w:rPr>
        <w:lastRenderedPageBreak/>
        <w:t>Conforme al servicio de acueducto, se observó</w:t>
      </w:r>
      <w:r w:rsidR="008B15B8" w:rsidRPr="005045BF">
        <w:rPr>
          <w:rFonts w:ascii="Arial" w:hAnsi="Arial" w:cs="Arial"/>
          <w:color w:val="000000" w:themeColor="text1"/>
          <w:sz w:val="22"/>
          <w:szCs w:val="22"/>
        </w:rPr>
        <w:t xml:space="preserve"> que </w:t>
      </w:r>
      <w:r w:rsidR="009154F4" w:rsidRPr="005045BF">
        <w:rPr>
          <w:rFonts w:ascii="Arial" w:hAnsi="Arial" w:cs="Arial"/>
          <w:color w:val="000000" w:themeColor="text1"/>
          <w:sz w:val="22"/>
          <w:szCs w:val="22"/>
        </w:rPr>
        <w:t>para las</w:t>
      </w:r>
      <w:r w:rsidR="008B15B8" w:rsidRPr="005045BF">
        <w:rPr>
          <w:rFonts w:ascii="Arial" w:hAnsi="Arial" w:cs="Arial"/>
          <w:color w:val="000000" w:themeColor="text1"/>
          <w:sz w:val="22"/>
          <w:szCs w:val="22"/>
        </w:rPr>
        <w:t xml:space="preserve"> sede</w:t>
      </w:r>
      <w:r w:rsidR="009154F4" w:rsidRPr="005045BF">
        <w:rPr>
          <w:rFonts w:ascii="Arial" w:hAnsi="Arial" w:cs="Arial"/>
          <w:color w:val="000000" w:themeColor="text1"/>
          <w:sz w:val="22"/>
          <w:szCs w:val="22"/>
        </w:rPr>
        <w:t>s</w:t>
      </w:r>
      <w:r w:rsidR="008B15B8" w:rsidRPr="005045BF">
        <w:rPr>
          <w:rFonts w:ascii="Arial" w:hAnsi="Arial" w:cs="Arial"/>
          <w:color w:val="000000" w:themeColor="text1"/>
          <w:sz w:val="22"/>
          <w:szCs w:val="22"/>
        </w:rPr>
        <w:t xml:space="preserve"> de San Agustín </w:t>
      </w:r>
      <w:r w:rsidR="009154F4" w:rsidRPr="005045BF">
        <w:rPr>
          <w:rFonts w:ascii="Arial" w:hAnsi="Arial" w:cs="Arial"/>
          <w:color w:val="000000" w:themeColor="text1"/>
          <w:sz w:val="22"/>
          <w:szCs w:val="22"/>
        </w:rPr>
        <w:t xml:space="preserve">y </w:t>
      </w:r>
      <w:r w:rsidR="008B15B8" w:rsidRPr="005045BF">
        <w:rPr>
          <w:rFonts w:ascii="Arial" w:hAnsi="Arial" w:cs="Arial"/>
          <w:color w:val="000000" w:themeColor="text1"/>
          <w:sz w:val="22"/>
          <w:szCs w:val="22"/>
        </w:rPr>
        <w:t>Casas de Santa Barbará</w:t>
      </w:r>
      <w:r w:rsidR="00DA7110" w:rsidRPr="005045BF">
        <w:rPr>
          <w:rFonts w:ascii="Arial" w:hAnsi="Arial" w:cs="Arial"/>
          <w:color w:val="000000" w:themeColor="text1"/>
          <w:sz w:val="22"/>
          <w:szCs w:val="22"/>
        </w:rPr>
        <w:t xml:space="preserve"> las variaciones del gasto fueron similares. Caso contrario, se presentó para el servicio de aseo, en el cual la sede de Casas de Santa B</w:t>
      </w:r>
      <w:r w:rsidR="009154F4" w:rsidRPr="005045BF">
        <w:rPr>
          <w:rFonts w:ascii="Arial" w:hAnsi="Arial" w:cs="Arial"/>
          <w:color w:val="000000" w:themeColor="text1"/>
          <w:sz w:val="22"/>
          <w:szCs w:val="22"/>
        </w:rPr>
        <w:t>á</w:t>
      </w:r>
      <w:r w:rsidR="00DA7110" w:rsidRPr="005045BF">
        <w:rPr>
          <w:rFonts w:ascii="Arial" w:hAnsi="Arial" w:cs="Arial"/>
          <w:color w:val="000000" w:themeColor="text1"/>
          <w:sz w:val="22"/>
          <w:szCs w:val="22"/>
        </w:rPr>
        <w:t>rbar</w:t>
      </w:r>
      <w:r w:rsidR="009154F4" w:rsidRPr="005045BF">
        <w:rPr>
          <w:rFonts w:ascii="Arial" w:hAnsi="Arial" w:cs="Arial"/>
          <w:color w:val="000000" w:themeColor="text1"/>
          <w:sz w:val="22"/>
          <w:szCs w:val="22"/>
        </w:rPr>
        <w:t>a</w:t>
      </w:r>
      <w:r w:rsidR="00DA7110" w:rsidRPr="005045BF">
        <w:rPr>
          <w:rFonts w:ascii="Arial" w:hAnsi="Arial" w:cs="Arial"/>
          <w:color w:val="000000" w:themeColor="text1"/>
          <w:sz w:val="22"/>
          <w:szCs w:val="22"/>
        </w:rPr>
        <w:t xml:space="preserve"> presentó una variación positiva significativa equivalente a un aumento en el gasto del 83%.   </w:t>
      </w:r>
    </w:p>
    <w:p w14:paraId="0B83687F" w14:textId="4B4C8962" w:rsidR="00C34C5F" w:rsidRPr="005045BF" w:rsidRDefault="00C34C5F" w:rsidP="003C7E03">
      <w:pPr>
        <w:spacing w:line="168" w:lineRule="auto"/>
        <w:jc w:val="both"/>
        <w:rPr>
          <w:rFonts w:ascii="Arial" w:hAnsi="Arial" w:cs="Arial"/>
          <w:color w:val="000000" w:themeColor="text1"/>
          <w:sz w:val="22"/>
          <w:szCs w:val="22"/>
        </w:rPr>
      </w:pPr>
    </w:p>
    <w:p w14:paraId="53315B03" w14:textId="5670A13F" w:rsidR="004A1CDB" w:rsidRPr="0044262C" w:rsidRDefault="004A1CDB" w:rsidP="00470C0A">
      <w:pPr>
        <w:jc w:val="both"/>
        <w:rPr>
          <w:rFonts w:ascii="Arial" w:hAnsi="Arial" w:cs="Arial"/>
          <w:color w:val="000000" w:themeColor="text1"/>
          <w:sz w:val="22"/>
          <w:szCs w:val="22"/>
        </w:rPr>
      </w:pPr>
      <w:r w:rsidRPr="0044262C">
        <w:rPr>
          <w:rFonts w:ascii="Arial" w:hAnsi="Arial" w:cs="Arial"/>
          <w:color w:val="000000" w:themeColor="text1"/>
          <w:sz w:val="22"/>
          <w:szCs w:val="22"/>
        </w:rPr>
        <w:t xml:space="preserve">Al respecto la Subdirección de Servicios informó que el incremento del servicio de aseo de la </w:t>
      </w:r>
      <w:r w:rsidR="003C4D9B" w:rsidRPr="0044262C">
        <w:rPr>
          <w:rFonts w:ascii="Arial" w:hAnsi="Arial" w:cs="Arial"/>
          <w:color w:val="000000" w:themeColor="text1"/>
          <w:sz w:val="22"/>
          <w:szCs w:val="22"/>
        </w:rPr>
        <w:t xml:space="preserve">sede de </w:t>
      </w:r>
      <w:r w:rsidRPr="0044262C">
        <w:rPr>
          <w:rFonts w:ascii="Arial" w:hAnsi="Arial" w:cs="Arial"/>
          <w:color w:val="000000" w:themeColor="text1"/>
          <w:sz w:val="22"/>
          <w:szCs w:val="22"/>
        </w:rPr>
        <w:t>Casas de Santa Bárbara obedeció en parte a</w:t>
      </w:r>
      <w:r w:rsidR="003C4D9B" w:rsidRPr="0044262C">
        <w:rPr>
          <w:rFonts w:ascii="Arial" w:hAnsi="Arial" w:cs="Arial"/>
          <w:color w:val="000000" w:themeColor="text1"/>
          <w:sz w:val="22"/>
          <w:szCs w:val="22"/>
        </w:rPr>
        <w:t xml:space="preserve"> que </w:t>
      </w:r>
      <w:r w:rsidR="00BA020E" w:rsidRPr="0044262C">
        <w:rPr>
          <w:rFonts w:ascii="Arial" w:hAnsi="Arial" w:cs="Arial"/>
          <w:color w:val="000000" w:themeColor="text1"/>
          <w:sz w:val="22"/>
          <w:szCs w:val="22"/>
        </w:rPr>
        <w:t xml:space="preserve">dicho </w:t>
      </w:r>
      <w:r w:rsidRPr="0044262C">
        <w:rPr>
          <w:rFonts w:ascii="Arial" w:hAnsi="Arial" w:cs="Arial"/>
          <w:color w:val="000000" w:themeColor="text1"/>
          <w:sz w:val="22"/>
          <w:szCs w:val="22"/>
        </w:rPr>
        <w:t xml:space="preserve">servicio </w:t>
      </w:r>
      <w:r w:rsidR="00470C0A" w:rsidRPr="0044262C">
        <w:rPr>
          <w:rFonts w:ascii="Arial" w:hAnsi="Arial" w:cs="Arial"/>
          <w:color w:val="000000" w:themeColor="text1"/>
          <w:sz w:val="22"/>
          <w:szCs w:val="22"/>
        </w:rPr>
        <w:t xml:space="preserve">hasta el mes de agosto de 2019 </w:t>
      </w:r>
      <w:r w:rsidR="003C4D9B" w:rsidRPr="0044262C">
        <w:rPr>
          <w:rFonts w:ascii="Arial" w:hAnsi="Arial" w:cs="Arial"/>
          <w:color w:val="000000" w:themeColor="text1"/>
          <w:sz w:val="22"/>
          <w:szCs w:val="22"/>
        </w:rPr>
        <w:t>fue facturado de forma b</w:t>
      </w:r>
      <w:r w:rsidRPr="0044262C">
        <w:rPr>
          <w:rFonts w:ascii="Arial" w:hAnsi="Arial" w:cs="Arial"/>
          <w:color w:val="000000" w:themeColor="text1"/>
          <w:sz w:val="22"/>
          <w:szCs w:val="22"/>
        </w:rPr>
        <w:t xml:space="preserve">imestral. A partir del mes de septiembre de la misma vigencia, cambio la empresa recolectora y </w:t>
      </w:r>
      <w:r w:rsidR="00BA020E" w:rsidRPr="0044262C">
        <w:rPr>
          <w:rFonts w:ascii="Arial" w:hAnsi="Arial" w:cs="Arial"/>
          <w:color w:val="000000" w:themeColor="text1"/>
          <w:sz w:val="22"/>
          <w:szCs w:val="22"/>
        </w:rPr>
        <w:t xml:space="preserve">la </w:t>
      </w:r>
      <w:r w:rsidRPr="0044262C">
        <w:rPr>
          <w:rFonts w:ascii="Arial" w:hAnsi="Arial" w:cs="Arial"/>
          <w:color w:val="000000" w:themeColor="text1"/>
          <w:sz w:val="22"/>
          <w:szCs w:val="22"/>
        </w:rPr>
        <w:t>periodicidad</w:t>
      </w:r>
      <w:r w:rsidR="00BA020E" w:rsidRPr="0044262C">
        <w:rPr>
          <w:rFonts w:ascii="Arial" w:hAnsi="Arial" w:cs="Arial"/>
          <w:color w:val="000000" w:themeColor="text1"/>
          <w:sz w:val="22"/>
          <w:szCs w:val="22"/>
        </w:rPr>
        <w:t xml:space="preserve"> de facturación.</w:t>
      </w:r>
      <w:r w:rsidR="00470C0A" w:rsidRPr="0044262C">
        <w:rPr>
          <w:rFonts w:ascii="Arial" w:hAnsi="Arial" w:cs="Arial"/>
          <w:color w:val="000000" w:themeColor="text1"/>
          <w:sz w:val="22"/>
          <w:szCs w:val="22"/>
        </w:rPr>
        <w:t xml:space="preserve"> </w:t>
      </w:r>
      <w:r w:rsidRPr="0044262C">
        <w:rPr>
          <w:rFonts w:ascii="Arial" w:hAnsi="Arial" w:cs="Arial"/>
          <w:color w:val="000000" w:themeColor="text1"/>
          <w:sz w:val="22"/>
          <w:szCs w:val="22"/>
        </w:rPr>
        <w:t xml:space="preserve">La actual empresa </w:t>
      </w:r>
      <w:r w:rsidR="00BA020E" w:rsidRPr="0044262C">
        <w:rPr>
          <w:rFonts w:ascii="Arial" w:hAnsi="Arial" w:cs="Arial"/>
          <w:color w:val="000000" w:themeColor="text1"/>
          <w:sz w:val="22"/>
          <w:szCs w:val="22"/>
        </w:rPr>
        <w:t xml:space="preserve">es </w:t>
      </w:r>
      <w:r w:rsidR="00470C0A" w:rsidRPr="0044262C">
        <w:rPr>
          <w:rFonts w:ascii="Arial" w:hAnsi="Arial" w:cs="Arial"/>
          <w:i/>
          <w:iCs/>
          <w:color w:val="000000" w:themeColor="text1"/>
          <w:sz w:val="22"/>
          <w:szCs w:val="22"/>
        </w:rPr>
        <w:t>Promoambiental Distrito</w:t>
      </w:r>
      <w:r w:rsidR="00470C0A" w:rsidRPr="0044262C">
        <w:rPr>
          <w:rFonts w:ascii="Arial" w:hAnsi="Arial" w:cs="Arial"/>
          <w:color w:val="000000" w:themeColor="text1"/>
          <w:sz w:val="22"/>
          <w:szCs w:val="22"/>
        </w:rPr>
        <w:t xml:space="preserve"> y el servicio es facturado de forma </w:t>
      </w:r>
      <w:r w:rsidRPr="0044262C">
        <w:rPr>
          <w:rFonts w:ascii="Arial" w:hAnsi="Arial" w:cs="Arial"/>
          <w:color w:val="000000" w:themeColor="text1"/>
          <w:sz w:val="22"/>
          <w:szCs w:val="22"/>
        </w:rPr>
        <w:t>mensual</w:t>
      </w:r>
      <w:r w:rsidR="00470C0A" w:rsidRPr="0044262C">
        <w:rPr>
          <w:rFonts w:ascii="Arial" w:hAnsi="Arial" w:cs="Arial"/>
          <w:color w:val="000000" w:themeColor="text1"/>
          <w:sz w:val="22"/>
          <w:szCs w:val="22"/>
        </w:rPr>
        <w:t>. En consecuencia, c</w:t>
      </w:r>
      <w:r w:rsidRPr="0044262C">
        <w:rPr>
          <w:rFonts w:ascii="Arial" w:hAnsi="Arial" w:cs="Arial"/>
          <w:color w:val="000000" w:themeColor="text1"/>
          <w:sz w:val="22"/>
          <w:szCs w:val="22"/>
        </w:rPr>
        <w:t>on el cambio de empresa las tarifas mensuales prácticamente quedaron por el mismo valor bimestral, situación que se está reclamando</w:t>
      </w:r>
      <w:r w:rsidR="00470C0A" w:rsidRPr="0044262C">
        <w:rPr>
          <w:rFonts w:ascii="Arial" w:hAnsi="Arial" w:cs="Arial"/>
          <w:color w:val="000000" w:themeColor="text1"/>
          <w:sz w:val="22"/>
          <w:szCs w:val="22"/>
        </w:rPr>
        <w:t xml:space="preserve"> ante </w:t>
      </w:r>
      <w:r w:rsidRPr="0044262C">
        <w:rPr>
          <w:rFonts w:ascii="Arial" w:hAnsi="Arial" w:cs="Arial"/>
          <w:color w:val="000000" w:themeColor="text1"/>
          <w:sz w:val="22"/>
          <w:szCs w:val="22"/>
        </w:rPr>
        <w:t>la</w:t>
      </w:r>
      <w:r w:rsidR="00BA020E" w:rsidRPr="0044262C">
        <w:rPr>
          <w:rFonts w:ascii="Arial" w:hAnsi="Arial" w:cs="Arial"/>
          <w:color w:val="000000" w:themeColor="text1"/>
          <w:sz w:val="22"/>
          <w:szCs w:val="22"/>
        </w:rPr>
        <w:t xml:space="preserve"> respectiva empresa</w:t>
      </w:r>
      <w:r w:rsidRPr="0044262C">
        <w:rPr>
          <w:rFonts w:ascii="Arial" w:hAnsi="Arial" w:cs="Arial"/>
          <w:color w:val="000000" w:themeColor="text1"/>
          <w:sz w:val="22"/>
          <w:szCs w:val="22"/>
        </w:rPr>
        <w:t>.</w:t>
      </w:r>
    </w:p>
    <w:p w14:paraId="5602E1DA" w14:textId="77777777" w:rsidR="00470C0A" w:rsidRPr="0044262C" w:rsidRDefault="00470C0A" w:rsidP="003C7E03">
      <w:pPr>
        <w:spacing w:line="168" w:lineRule="auto"/>
        <w:jc w:val="both"/>
        <w:rPr>
          <w:rFonts w:ascii="Arial" w:hAnsi="Arial" w:cs="Arial"/>
          <w:color w:val="000000" w:themeColor="text1"/>
          <w:sz w:val="22"/>
          <w:szCs w:val="22"/>
        </w:rPr>
      </w:pPr>
    </w:p>
    <w:p w14:paraId="04A5D3B1" w14:textId="2CE13033" w:rsidR="007339DA" w:rsidRPr="0044262C" w:rsidRDefault="00FF0BAD" w:rsidP="0044262C">
      <w:pPr>
        <w:jc w:val="both"/>
        <w:rPr>
          <w:rFonts w:ascii="Arial" w:hAnsi="Arial" w:cs="Arial"/>
          <w:color w:val="000000" w:themeColor="text1"/>
          <w:sz w:val="22"/>
          <w:szCs w:val="22"/>
        </w:rPr>
      </w:pPr>
      <w:r w:rsidRPr="0044262C">
        <w:rPr>
          <w:rFonts w:ascii="Arial" w:hAnsi="Arial" w:cs="Arial"/>
          <w:color w:val="000000" w:themeColor="text1"/>
          <w:sz w:val="22"/>
          <w:szCs w:val="22"/>
        </w:rPr>
        <w:t xml:space="preserve">En términos generales, </w:t>
      </w:r>
      <w:r w:rsidR="007339DA" w:rsidRPr="0044262C">
        <w:rPr>
          <w:rFonts w:ascii="Arial" w:hAnsi="Arial" w:cs="Arial"/>
          <w:color w:val="000000" w:themeColor="text1"/>
          <w:sz w:val="22"/>
          <w:szCs w:val="22"/>
        </w:rPr>
        <w:t>en l</w:t>
      </w:r>
      <w:r w:rsidR="0044535F" w:rsidRPr="0044262C">
        <w:rPr>
          <w:rFonts w:ascii="Arial" w:hAnsi="Arial" w:cs="Arial"/>
          <w:color w:val="000000" w:themeColor="text1"/>
          <w:sz w:val="22"/>
          <w:szCs w:val="22"/>
        </w:rPr>
        <w:t xml:space="preserve">o referente al valor del gasto facturado por los servicios de acueducto y aseo </w:t>
      </w:r>
      <w:r w:rsidR="007339DA" w:rsidRPr="0044262C">
        <w:rPr>
          <w:rFonts w:ascii="Arial" w:hAnsi="Arial" w:cs="Arial"/>
          <w:color w:val="000000" w:themeColor="text1"/>
          <w:sz w:val="22"/>
          <w:szCs w:val="22"/>
        </w:rPr>
        <w:t xml:space="preserve">se observó </w:t>
      </w:r>
      <w:r w:rsidR="00D23292" w:rsidRPr="0044262C">
        <w:rPr>
          <w:rFonts w:ascii="Arial" w:hAnsi="Arial" w:cs="Arial"/>
          <w:color w:val="000000" w:themeColor="text1"/>
          <w:sz w:val="22"/>
          <w:szCs w:val="22"/>
        </w:rPr>
        <w:t>que,</w:t>
      </w:r>
      <w:r w:rsidR="0044535F" w:rsidRPr="0044262C">
        <w:rPr>
          <w:rFonts w:ascii="Arial" w:hAnsi="Arial" w:cs="Arial"/>
          <w:color w:val="000000" w:themeColor="text1"/>
          <w:sz w:val="22"/>
          <w:szCs w:val="22"/>
        </w:rPr>
        <w:t xml:space="preserve"> para el </w:t>
      </w:r>
      <w:r w:rsidR="00556E84" w:rsidRPr="0044262C">
        <w:rPr>
          <w:rFonts w:ascii="Arial" w:hAnsi="Arial" w:cs="Arial"/>
          <w:color w:val="000000" w:themeColor="text1"/>
          <w:sz w:val="22"/>
          <w:szCs w:val="22"/>
        </w:rPr>
        <w:t>primer trimestre</w:t>
      </w:r>
      <w:r w:rsidR="0044535F" w:rsidRPr="0044262C">
        <w:rPr>
          <w:rFonts w:ascii="Arial" w:hAnsi="Arial" w:cs="Arial"/>
          <w:color w:val="000000" w:themeColor="text1"/>
          <w:sz w:val="22"/>
          <w:szCs w:val="22"/>
        </w:rPr>
        <w:t xml:space="preserve"> de 20</w:t>
      </w:r>
      <w:r w:rsidR="00556E84" w:rsidRPr="0044262C">
        <w:rPr>
          <w:rFonts w:ascii="Arial" w:hAnsi="Arial" w:cs="Arial"/>
          <w:color w:val="000000" w:themeColor="text1"/>
          <w:sz w:val="22"/>
          <w:szCs w:val="22"/>
        </w:rPr>
        <w:t>20</w:t>
      </w:r>
      <w:r w:rsidR="0044535F" w:rsidRPr="0044262C">
        <w:rPr>
          <w:rFonts w:ascii="Arial" w:hAnsi="Arial" w:cs="Arial"/>
          <w:color w:val="000000" w:themeColor="text1"/>
          <w:sz w:val="22"/>
          <w:szCs w:val="22"/>
        </w:rPr>
        <w:t xml:space="preserve"> comparado con el mismo periodo de 201</w:t>
      </w:r>
      <w:r w:rsidR="00653C23" w:rsidRPr="0044262C">
        <w:rPr>
          <w:rFonts w:ascii="Arial" w:hAnsi="Arial" w:cs="Arial"/>
          <w:color w:val="000000" w:themeColor="text1"/>
          <w:sz w:val="22"/>
          <w:szCs w:val="22"/>
        </w:rPr>
        <w:t>9</w:t>
      </w:r>
      <w:r w:rsidR="002D4948" w:rsidRPr="0044262C">
        <w:rPr>
          <w:rFonts w:ascii="Arial" w:hAnsi="Arial" w:cs="Arial"/>
          <w:color w:val="000000" w:themeColor="text1"/>
          <w:sz w:val="22"/>
          <w:szCs w:val="22"/>
        </w:rPr>
        <w:t xml:space="preserve"> </w:t>
      </w:r>
      <w:r w:rsidR="00D23292" w:rsidRPr="0044262C">
        <w:rPr>
          <w:rFonts w:ascii="Arial" w:hAnsi="Arial" w:cs="Arial"/>
          <w:color w:val="000000" w:themeColor="text1"/>
          <w:sz w:val="22"/>
          <w:szCs w:val="22"/>
        </w:rPr>
        <w:t>se</w:t>
      </w:r>
      <w:r w:rsidR="002D4948" w:rsidRPr="0044262C">
        <w:rPr>
          <w:rFonts w:ascii="Arial" w:hAnsi="Arial" w:cs="Arial"/>
          <w:color w:val="000000" w:themeColor="text1"/>
          <w:sz w:val="22"/>
          <w:szCs w:val="22"/>
        </w:rPr>
        <w:t xml:space="preserve"> present</w:t>
      </w:r>
      <w:r w:rsidR="004A6FED" w:rsidRPr="0044262C">
        <w:rPr>
          <w:rFonts w:ascii="Arial" w:hAnsi="Arial" w:cs="Arial"/>
          <w:color w:val="000000" w:themeColor="text1"/>
          <w:sz w:val="22"/>
          <w:szCs w:val="22"/>
        </w:rPr>
        <w:t xml:space="preserve">aron </w:t>
      </w:r>
      <w:r w:rsidR="002D4948" w:rsidRPr="0044262C">
        <w:rPr>
          <w:rFonts w:ascii="Arial" w:hAnsi="Arial" w:cs="Arial"/>
          <w:color w:val="000000" w:themeColor="text1"/>
          <w:sz w:val="22"/>
          <w:szCs w:val="22"/>
        </w:rPr>
        <w:t>variaci</w:t>
      </w:r>
      <w:r w:rsidR="004A6FED" w:rsidRPr="0044262C">
        <w:rPr>
          <w:rFonts w:ascii="Arial" w:hAnsi="Arial" w:cs="Arial"/>
          <w:color w:val="000000" w:themeColor="text1"/>
          <w:sz w:val="22"/>
          <w:szCs w:val="22"/>
        </w:rPr>
        <w:t xml:space="preserve">ones </w:t>
      </w:r>
      <w:r w:rsidR="002D4948" w:rsidRPr="0044262C">
        <w:rPr>
          <w:rFonts w:ascii="Arial" w:hAnsi="Arial" w:cs="Arial"/>
          <w:color w:val="000000" w:themeColor="text1"/>
          <w:sz w:val="22"/>
          <w:szCs w:val="22"/>
        </w:rPr>
        <w:t>positiva</w:t>
      </w:r>
      <w:r w:rsidR="004A6FED" w:rsidRPr="0044262C">
        <w:rPr>
          <w:rFonts w:ascii="Arial" w:hAnsi="Arial" w:cs="Arial"/>
          <w:color w:val="000000" w:themeColor="text1"/>
          <w:sz w:val="22"/>
          <w:szCs w:val="22"/>
        </w:rPr>
        <w:t>s</w:t>
      </w:r>
      <w:r w:rsidR="0044535F" w:rsidRPr="0044262C">
        <w:rPr>
          <w:rFonts w:ascii="Arial" w:hAnsi="Arial" w:cs="Arial"/>
          <w:color w:val="000000" w:themeColor="text1"/>
          <w:sz w:val="22"/>
          <w:szCs w:val="22"/>
        </w:rPr>
        <w:t xml:space="preserve"> </w:t>
      </w:r>
      <w:r w:rsidR="00306B4B" w:rsidRPr="0044262C">
        <w:rPr>
          <w:rFonts w:ascii="Arial" w:hAnsi="Arial" w:cs="Arial"/>
          <w:color w:val="000000" w:themeColor="text1"/>
          <w:sz w:val="22"/>
          <w:szCs w:val="22"/>
        </w:rPr>
        <w:t xml:space="preserve">para </w:t>
      </w:r>
      <w:r w:rsidR="004A6FED" w:rsidRPr="0044262C">
        <w:rPr>
          <w:rFonts w:ascii="Arial" w:hAnsi="Arial" w:cs="Arial"/>
          <w:color w:val="000000" w:themeColor="text1"/>
          <w:sz w:val="22"/>
          <w:szCs w:val="22"/>
        </w:rPr>
        <w:t xml:space="preserve">las dos Sedes de este Ministerio, las cuales representan </w:t>
      </w:r>
      <w:r w:rsidR="004A6FED" w:rsidRPr="0044262C">
        <w:rPr>
          <w:rFonts w:ascii="Arial" w:hAnsi="Arial" w:cs="Arial"/>
          <w:b/>
          <w:bCs/>
          <w:color w:val="000000" w:themeColor="text1"/>
          <w:sz w:val="22"/>
          <w:szCs w:val="22"/>
        </w:rPr>
        <w:t xml:space="preserve">incrementos </w:t>
      </w:r>
      <w:r w:rsidR="004A6FED" w:rsidRPr="0044262C">
        <w:rPr>
          <w:rFonts w:ascii="Arial" w:hAnsi="Arial" w:cs="Arial"/>
          <w:color w:val="000000" w:themeColor="text1"/>
          <w:sz w:val="22"/>
          <w:szCs w:val="22"/>
        </w:rPr>
        <w:t xml:space="preserve">para la Sede San </w:t>
      </w:r>
      <w:r w:rsidR="00192A91" w:rsidRPr="0044262C">
        <w:rPr>
          <w:rFonts w:ascii="Arial" w:hAnsi="Arial" w:cs="Arial"/>
          <w:color w:val="000000" w:themeColor="text1"/>
          <w:sz w:val="22"/>
          <w:szCs w:val="22"/>
        </w:rPr>
        <w:t>Agustín</w:t>
      </w:r>
      <w:r w:rsidR="004A6FED" w:rsidRPr="0044262C">
        <w:rPr>
          <w:rFonts w:ascii="Arial" w:hAnsi="Arial" w:cs="Arial"/>
          <w:color w:val="000000" w:themeColor="text1"/>
          <w:sz w:val="22"/>
          <w:szCs w:val="22"/>
        </w:rPr>
        <w:t xml:space="preserve"> de</w:t>
      </w:r>
      <w:r w:rsidR="00556E84" w:rsidRPr="0044262C">
        <w:rPr>
          <w:rFonts w:ascii="Arial" w:hAnsi="Arial" w:cs="Arial"/>
          <w:color w:val="000000" w:themeColor="text1"/>
          <w:sz w:val="22"/>
          <w:szCs w:val="22"/>
        </w:rPr>
        <w:t>l</w:t>
      </w:r>
      <w:r w:rsidR="004A6FED" w:rsidRPr="0044262C">
        <w:rPr>
          <w:rFonts w:ascii="Arial" w:hAnsi="Arial" w:cs="Arial"/>
          <w:color w:val="000000" w:themeColor="text1"/>
          <w:sz w:val="22"/>
          <w:szCs w:val="22"/>
        </w:rPr>
        <w:t xml:space="preserve"> </w:t>
      </w:r>
      <w:r w:rsidR="00164E71" w:rsidRPr="0044262C">
        <w:rPr>
          <w:rFonts w:ascii="Arial" w:hAnsi="Arial" w:cs="Arial"/>
          <w:color w:val="000000" w:themeColor="text1"/>
          <w:sz w:val="22"/>
          <w:szCs w:val="22"/>
        </w:rPr>
        <w:t>7</w:t>
      </w:r>
      <w:r w:rsidR="004A6FED" w:rsidRPr="0044262C">
        <w:rPr>
          <w:rFonts w:ascii="Arial" w:hAnsi="Arial" w:cs="Arial"/>
          <w:color w:val="000000" w:themeColor="text1"/>
          <w:sz w:val="22"/>
          <w:szCs w:val="22"/>
        </w:rPr>
        <w:t xml:space="preserve">% y para la Sede de Casas </w:t>
      </w:r>
      <w:r w:rsidR="00306B4B" w:rsidRPr="0044262C">
        <w:rPr>
          <w:rFonts w:ascii="Arial" w:hAnsi="Arial" w:cs="Arial"/>
          <w:color w:val="000000" w:themeColor="text1"/>
          <w:sz w:val="22"/>
          <w:szCs w:val="22"/>
        </w:rPr>
        <w:t>de Santa</w:t>
      </w:r>
      <w:r w:rsidR="00E16DD0" w:rsidRPr="0044262C">
        <w:rPr>
          <w:rFonts w:ascii="Arial" w:hAnsi="Arial" w:cs="Arial"/>
          <w:color w:val="000000" w:themeColor="text1"/>
          <w:sz w:val="22"/>
          <w:szCs w:val="22"/>
        </w:rPr>
        <w:t xml:space="preserve"> Bárbara</w:t>
      </w:r>
      <w:r w:rsidR="00306B4B" w:rsidRPr="0044262C">
        <w:rPr>
          <w:rFonts w:ascii="Arial" w:hAnsi="Arial" w:cs="Arial"/>
          <w:color w:val="000000" w:themeColor="text1"/>
          <w:sz w:val="22"/>
          <w:szCs w:val="22"/>
        </w:rPr>
        <w:t xml:space="preserve"> </w:t>
      </w:r>
      <w:r w:rsidR="00192A91" w:rsidRPr="0044262C">
        <w:rPr>
          <w:rFonts w:ascii="Arial" w:hAnsi="Arial" w:cs="Arial"/>
          <w:color w:val="000000" w:themeColor="text1"/>
          <w:sz w:val="22"/>
          <w:szCs w:val="22"/>
        </w:rPr>
        <w:t xml:space="preserve">un </w:t>
      </w:r>
      <w:r w:rsidR="00556E84" w:rsidRPr="0044262C">
        <w:rPr>
          <w:rFonts w:ascii="Arial" w:hAnsi="Arial" w:cs="Arial"/>
          <w:color w:val="000000" w:themeColor="text1"/>
          <w:sz w:val="22"/>
          <w:szCs w:val="22"/>
        </w:rPr>
        <w:t>31</w:t>
      </w:r>
      <w:r w:rsidR="00192A91" w:rsidRPr="0044262C">
        <w:rPr>
          <w:rFonts w:ascii="Arial" w:hAnsi="Arial" w:cs="Arial"/>
          <w:color w:val="000000" w:themeColor="text1"/>
          <w:sz w:val="22"/>
          <w:szCs w:val="22"/>
        </w:rPr>
        <w:t xml:space="preserve">%. </w:t>
      </w:r>
    </w:p>
    <w:p w14:paraId="68B6DF80" w14:textId="495345CA" w:rsidR="00EF4260" w:rsidRDefault="00EF4260" w:rsidP="000E0AD2">
      <w:pPr>
        <w:rPr>
          <w:rFonts w:ascii="Arial" w:hAnsi="Arial" w:cs="Arial"/>
          <w:color w:val="000000"/>
          <w:sz w:val="22"/>
          <w:szCs w:val="22"/>
        </w:rPr>
      </w:pPr>
    </w:p>
    <w:p w14:paraId="1AA9310C" w14:textId="77777777" w:rsidR="0044262C" w:rsidRPr="0044262C" w:rsidRDefault="0044262C" w:rsidP="000E0AD2">
      <w:pPr>
        <w:rPr>
          <w:rFonts w:ascii="Arial" w:hAnsi="Arial" w:cs="Arial"/>
          <w:color w:val="000000"/>
          <w:sz w:val="22"/>
          <w:szCs w:val="22"/>
        </w:rPr>
      </w:pPr>
    </w:p>
    <w:tbl>
      <w:tblPr>
        <w:tblStyle w:val="Tablaconcuadrcula1clara-nfasis1"/>
        <w:tblW w:w="0" w:type="auto"/>
        <w:jc w:val="center"/>
        <w:tblLook w:val="04A0" w:firstRow="1" w:lastRow="0" w:firstColumn="1" w:lastColumn="0" w:noHBand="0" w:noVBand="1"/>
      </w:tblPr>
      <w:tblGrid>
        <w:gridCol w:w="1540"/>
        <w:gridCol w:w="2566"/>
        <w:gridCol w:w="2693"/>
      </w:tblGrid>
      <w:tr w:rsidR="00D42177" w:rsidRPr="005045BF" w14:paraId="5629EBFA" w14:textId="77777777" w:rsidTr="004C6BCB">
        <w:trPr>
          <w:cnfStyle w:val="100000000000" w:firstRow="1" w:lastRow="0" w:firstColumn="0" w:lastColumn="0" w:oddVBand="0" w:evenVBand="0" w:oddHBand="0"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left w:val="nil"/>
              <w:bottom w:val="double" w:sz="4" w:space="0" w:color="4F81BD" w:themeColor="accent1"/>
              <w:right w:val="nil"/>
            </w:tcBorders>
            <w:shd w:val="clear" w:color="auto" w:fill="auto"/>
            <w:vAlign w:val="center"/>
            <w:hideMark/>
          </w:tcPr>
          <w:p w14:paraId="4AA9262A" w14:textId="1F486CEA" w:rsidR="00D42177" w:rsidRPr="005045BF" w:rsidRDefault="00D42177" w:rsidP="00AF26E8">
            <w:pPr>
              <w:spacing w:before="100" w:after="80"/>
              <w:jc w:val="center"/>
              <w:rPr>
                <w:rFonts w:ascii="Arial" w:hAnsi="Arial" w:cs="Arial"/>
                <w:color w:val="FFFFFF" w:themeColor="background1"/>
                <w:sz w:val="20"/>
                <w:szCs w:val="20"/>
              </w:rPr>
            </w:pPr>
            <w:r w:rsidRPr="005045BF">
              <w:rPr>
                <w:rFonts w:ascii="Arial" w:hAnsi="Arial" w:cs="Arial"/>
                <w:color w:val="0F243E" w:themeColor="text2" w:themeShade="80"/>
                <w:sz w:val="20"/>
                <w:szCs w:val="20"/>
              </w:rPr>
              <w:t xml:space="preserve">Valor </w:t>
            </w:r>
            <w:r w:rsidR="005E0585" w:rsidRPr="005045BF">
              <w:rPr>
                <w:rFonts w:ascii="Arial" w:hAnsi="Arial" w:cs="Arial"/>
                <w:color w:val="0F243E" w:themeColor="text2" w:themeShade="80"/>
                <w:sz w:val="20"/>
                <w:szCs w:val="20"/>
              </w:rPr>
              <w:t>Facturado I</w:t>
            </w:r>
            <w:r w:rsidRPr="005045BF">
              <w:rPr>
                <w:rFonts w:ascii="Arial" w:hAnsi="Arial" w:cs="Arial"/>
                <w:color w:val="0F243E" w:themeColor="text2" w:themeShade="80"/>
                <w:sz w:val="20"/>
                <w:szCs w:val="20"/>
              </w:rPr>
              <w:t xml:space="preserve"> Trimestre   20</w:t>
            </w:r>
            <w:r w:rsidR="00653C23" w:rsidRPr="005045BF">
              <w:rPr>
                <w:rFonts w:ascii="Arial" w:hAnsi="Arial" w:cs="Arial"/>
                <w:color w:val="0F243E" w:themeColor="text2" w:themeShade="80"/>
                <w:sz w:val="20"/>
                <w:szCs w:val="20"/>
              </w:rPr>
              <w:t>20</w:t>
            </w:r>
            <w:r w:rsidRPr="005045BF">
              <w:rPr>
                <w:rFonts w:ascii="Arial" w:hAnsi="Arial" w:cs="Arial"/>
                <w:color w:val="0F243E" w:themeColor="text2" w:themeShade="80"/>
                <w:sz w:val="20"/>
                <w:szCs w:val="20"/>
              </w:rPr>
              <w:t>-201</w:t>
            </w:r>
            <w:r w:rsidR="00653C23" w:rsidRPr="005045BF">
              <w:rPr>
                <w:rFonts w:ascii="Arial" w:hAnsi="Arial" w:cs="Arial"/>
                <w:color w:val="0F243E" w:themeColor="text2" w:themeShade="80"/>
                <w:sz w:val="20"/>
                <w:szCs w:val="20"/>
              </w:rPr>
              <w:t>9</w:t>
            </w:r>
            <w:r w:rsidRPr="005045BF">
              <w:rPr>
                <w:rFonts w:ascii="Arial" w:hAnsi="Arial" w:cs="Arial"/>
                <w:color w:val="0F243E" w:themeColor="text2" w:themeShade="80"/>
                <w:sz w:val="20"/>
                <w:szCs w:val="20"/>
              </w:rPr>
              <w:t xml:space="preserve"> ($)</w:t>
            </w:r>
            <w:r w:rsidRPr="005045BF">
              <w:rPr>
                <w:rFonts w:ascii="Arial" w:hAnsi="Arial" w:cs="Arial"/>
                <w:color w:val="FFFFFF" w:themeColor="background1"/>
                <w:sz w:val="20"/>
                <w:szCs w:val="20"/>
              </w:rPr>
              <w:t>($)</w:t>
            </w:r>
          </w:p>
        </w:tc>
      </w:tr>
      <w:tr w:rsidR="00D42177" w:rsidRPr="005045BF" w14:paraId="65C394E3" w14:textId="77777777" w:rsidTr="004C6BCB">
        <w:trPr>
          <w:cantSplit/>
          <w:jc w:val="center"/>
        </w:trPr>
        <w:tc>
          <w:tcPr>
            <w:cnfStyle w:val="001000000000" w:firstRow="0" w:lastRow="0" w:firstColumn="1" w:lastColumn="0" w:oddVBand="0" w:evenVBand="0" w:oddHBand="0" w:evenHBand="0" w:firstRowFirstColumn="0" w:firstRowLastColumn="0" w:lastRowFirstColumn="0" w:lastRowLastColumn="0"/>
            <w:tcW w:w="6799" w:type="dxa"/>
            <w:gridSpan w:val="3"/>
            <w:tcBorders>
              <w:top w:val="double" w:sz="4" w:space="0" w:color="4F81BD" w:themeColor="accent1"/>
              <w:bottom w:val="nil"/>
            </w:tcBorders>
            <w:shd w:val="clear" w:color="auto" w:fill="4F81BD" w:themeFill="accent1"/>
            <w:vAlign w:val="center"/>
            <w:hideMark/>
          </w:tcPr>
          <w:p w14:paraId="214EC40B" w14:textId="77777777" w:rsidR="00D42177" w:rsidRPr="005045BF" w:rsidRDefault="00D42177" w:rsidP="00AF26E8">
            <w:pPr>
              <w:spacing w:before="100" w:after="80"/>
              <w:jc w:val="center"/>
              <w:rPr>
                <w:rFonts w:ascii="Arial" w:hAnsi="Arial" w:cs="Arial"/>
                <w:color w:val="FFFFFF" w:themeColor="background1"/>
                <w:sz w:val="20"/>
                <w:szCs w:val="20"/>
              </w:rPr>
            </w:pPr>
            <w:r w:rsidRPr="005045BF">
              <w:rPr>
                <w:rFonts w:ascii="Arial" w:hAnsi="Arial" w:cs="Arial"/>
                <w:color w:val="FFFFFF" w:themeColor="background1"/>
                <w:sz w:val="20"/>
                <w:szCs w:val="20"/>
              </w:rPr>
              <w:t>Acueducto y Aseo</w:t>
            </w:r>
          </w:p>
        </w:tc>
      </w:tr>
      <w:tr w:rsidR="00D42177" w:rsidRPr="005045BF" w14:paraId="36B9C704" w14:textId="77777777" w:rsidTr="00D42177">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B33BFD4" w14:textId="77777777" w:rsidR="00D42177" w:rsidRPr="005045BF" w:rsidRDefault="00D42177" w:rsidP="00AF26E8">
            <w:pPr>
              <w:spacing w:before="10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Periodo</w:t>
            </w:r>
          </w:p>
        </w:tc>
        <w:tc>
          <w:tcPr>
            <w:tcW w:w="2566" w:type="dxa"/>
            <w:tcBorders>
              <w:top w:val="nil"/>
              <w:left w:val="nil"/>
              <w:bottom w:val="nil"/>
              <w:right w:val="nil"/>
            </w:tcBorders>
            <w:vAlign w:val="center"/>
            <w:hideMark/>
          </w:tcPr>
          <w:p w14:paraId="2B52E90E" w14:textId="77777777" w:rsidR="00D42177" w:rsidRPr="005045BF" w:rsidRDefault="00D42177" w:rsidP="00AF26E8">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Edificio San Agustín </w:t>
            </w:r>
          </w:p>
        </w:tc>
        <w:tc>
          <w:tcPr>
            <w:tcW w:w="2693" w:type="dxa"/>
            <w:tcBorders>
              <w:top w:val="nil"/>
              <w:left w:val="nil"/>
              <w:bottom w:val="nil"/>
              <w:right w:val="nil"/>
            </w:tcBorders>
            <w:vAlign w:val="center"/>
            <w:hideMark/>
          </w:tcPr>
          <w:p w14:paraId="26C38B0A" w14:textId="77777777" w:rsidR="00D42177" w:rsidRPr="005045BF" w:rsidRDefault="00D42177" w:rsidP="00AF26E8">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Casas de Santa Bárbara</w:t>
            </w:r>
          </w:p>
        </w:tc>
      </w:tr>
      <w:tr w:rsidR="002C15BD" w:rsidRPr="005045BF" w14:paraId="2F62B382"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vAlign w:val="center"/>
            <w:hideMark/>
          </w:tcPr>
          <w:p w14:paraId="1014A9C4" w14:textId="05B18772" w:rsidR="002C15BD" w:rsidRPr="005045BF" w:rsidRDefault="002C15BD" w:rsidP="00AF26E8">
            <w:pPr>
              <w:spacing w:before="10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Vigencia 2020</w:t>
            </w:r>
          </w:p>
        </w:tc>
        <w:tc>
          <w:tcPr>
            <w:tcW w:w="2566" w:type="dxa"/>
            <w:tcBorders>
              <w:top w:val="nil"/>
              <w:left w:val="nil"/>
              <w:bottom w:val="nil"/>
              <w:right w:val="nil"/>
            </w:tcBorders>
            <w:vAlign w:val="center"/>
          </w:tcPr>
          <w:p w14:paraId="03C1785B" w14:textId="78BF5406"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17.804.382</w:t>
            </w:r>
          </w:p>
        </w:tc>
        <w:tc>
          <w:tcPr>
            <w:tcW w:w="2693" w:type="dxa"/>
            <w:tcBorders>
              <w:top w:val="nil"/>
              <w:left w:val="nil"/>
              <w:bottom w:val="nil"/>
              <w:right w:val="nil"/>
            </w:tcBorders>
            <w:vAlign w:val="center"/>
          </w:tcPr>
          <w:p w14:paraId="3032FEB8" w14:textId="4228C464"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6.424.960</w:t>
            </w:r>
          </w:p>
        </w:tc>
      </w:tr>
      <w:tr w:rsidR="002C15BD" w:rsidRPr="005045BF" w14:paraId="6415D9A0"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788D53D2" w14:textId="20549F4F" w:rsidR="002C15BD" w:rsidRPr="005045BF" w:rsidRDefault="002C15BD" w:rsidP="00AF26E8">
            <w:pPr>
              <w:spacing w:before="10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Vigencia 2019</w:t>
            </w:r>
          </w:p>
        </w:tc>
        <w:tc>
          <w:tcPr>
            <w:tcW w:w="2566" w:type="dxa"/>
            <w:tcBorders>
              <w:top w:val="nil"/>
              <w:left w:val="nil"/>
              <w:bottom w:val="double" w:sz="4" w:space="0" w:color="4F81BD" w:themeColor="accent1"/>
              <w:right w:val="nil"/>
            </w:tcBorders>
            <w:vAlign w:val="center"/>
          </w:tcPr>
          <w:p w14:paraId="60D59812" w14:textId="3A32C73B"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00000"/>
                <w:sz w:val="20"/>
                <w:szCs w:val="20"/>
              </w:rPr>
              <w:t>16.593.280</w:t>
            </w:r>
          </w:p>
        </w:tc>
        <w:tc>
          <w:tcPr>
            <w:tcW w:w="2693" w:type="dxa"/>
            <w:tcBorders>
              <w:top w:val="nil"/>
              <w:left w:val="nil"/>
              <w:bottom w:val="double" w:sz="4" w:space="0" w:color="4F81BD" w:themeColor="accent1"/>
              <w:right w:val="nil"/>
            </w:tcBorders>
            <w:vAlign w:val="center"/>
          </w:tcPr>
          <w:p w14:paraId="7D37E33F" w14:textId="5DFFF5E7"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4.895.990</w:t>
            </w:r>
          </w:p>
        </w:tc>
      </w:tr>
      <w:tr w:rsidR="002C15BD" w:rsidRPr="005045BF" w14:paraId="644E4CAA"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left w:val="nil"/>
              <w:bottom w:val="nil"/>
              <w:right w:val="nil"/>
            </w:tcBorders>
            <w:vAlign w:val="center"/>
            <w:hideMark/>
          </w:tcPr>
          <w:p w14:paraId="354AC523" w14:textId="77777777" w:rsidR="002C15BD" w:rsidRPr="005045BF" w:rsidRDefault="002C15BD" w:rsidP="00AF26E8">
            <w:pPr>
              <w:spacing w:before="10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Variación $</w:t>
            </w:r>
          </w:p>
        </w:tc>
        <w:tc>
          <w:tcPr>
            <w:tcW w:w="2566" w:type="dxa"/>
            <w:tcBorders>
              <w:top w:val="double" w:sz="4" w:space="0" w:color="4F81BD" w:themeColor="accent1"/>
              <w:left w:val="nil"/>
              <w:bottom w:val="nil"/>
              <w:right w:val="nil"/>
            </w:tcBorders>
            <w:vAlign w:val="center"/>
          </w:tcPr>
          <w:p w14:paraId="1079ACC7" w14:textId="4E89E352"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00000"/>
                <w:sz w:val="20"/>
                <w:szCs w:val="20"/>
              </w:rPr>
              <w:t>1.211.102</w:t>
            </w:r>
          </w:p>
        </w:tc>
        <w:tc>
          <w:tcPr>
            <w:tcW w:w="2693" w:type="dxa"/>
            <w:tcBorders>
              <w:top w:val="double" w:sz="4" w:space="0" w:color="4F81BD" w:themeColor="accent1"/>
              <w:left w:val="nil"/>
              <w:bottom w:val="nil"/>
              <w:right w:val="nil"/>
            </w:tcBorders>
            <w:vAlign w:val="center"/>
          </w:tcPr>
          <w:p w14:paraId="26E618B3" w14:textId="0AD02662" w:rsidR="002C15BD"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1.528.970</w:t>
            </w:r>
          </w:p>
        </w:tc>
      </w:tr>
      <w:tr w:rsidR="00653C23" w:rsidRPr="005045BF" w14:paraId="0CBA3DD5" w14:textId="77777777" w:rsidTr="00D342F2">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double" w:sz="4" w:space="0" w:color="4F81BD" w:themeColor="accent1"/>
              <w:right w:val="nil"/>
            </w:tcBorders>
            <w:vAlign w:val="center"/>
            <w:hideMark/>
          </w:tcPr>
          <w:p w14:paraId="2ADFF418" w14:textId="77777777" w:rsidR="00653C23" w:rsidRPr="005045BF" w:rsidRDefault="00653C23" w:rsidP="00AF26E8">
            <w:pPr>
              <w:spacing w:before="100" w:after="8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Variación %</w:t>
            </w:r>
          </w:p>
        </w:tc>
        <w:tc>
          <w:tcPr>
            <w:tcW w:w="2566" w:type="dxa"/>
            <w:tcBorders>
              <w:top w:val="nil"/>
              <w:left w:val="nil"/>
              <w:bottom w:val="double" w:sz="4" w:space="0" w:color="4F81BD" w:themeColor="accent1"/>
              <w:right w:val="nil"/>
            </w:tcBorders>
            <w:vAlign w:val="center"/>
          </w:tcPr>
          <w:p w14:paraId="6CA40A7E" w14:textId="3DB61B0C" w:rsidR="00653C23" w:rsidRPr="005045BF" w:rsidRDefault="002C15BD"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r w:rsidR="00653C23" w:rsidRPr="005045BF">
              <w:rPr>
                <w:rFonts w:ascii="Arial" w:hAnsi="Arial" w:cs="Arial"/>
                <w:b/>
                <w:bCs/>
                <w:color w:val="0F243E" w:themeColor="text2" w:themeShade="80"/>
                <w:sz w:val="20"/>
                <w:szCs w:val="20"/>
              </w:rPr>
              <w:t>%</w:t>
            </w:r>
          </w:p>
        </w:tc>
        <w:tc>
          <w:tcPr>
            <w:tcW w:w="2693" w:type="dxa"/>
            <w:tcBorders>
              <w:top w:val="nil"/>
              <w:left w:val="nil"/>
              <w:bottom w:val="double" w:sz="4" w:space="0" w:color="4F81BD" w:themeColor="accent1"/>
              <w:right w:val="nil"/>
            </w:tcBorders>
            <w:vAlign w:val="center"/>
          </w:tcPr>
          <w:p w14:paraId="6C337271" w14:textId="7BE0464B" w:rsidR="00653C23" w:rsidRPr="005045BF" w:rsidRDefault="00653C23" w:rsidP="00AF26E8">
            <w:pPr>
              <w:spacing w:before="100" w:after="8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31%</w:t>
            </w:r>
          </w:p>
        </w:tc>
      </w:tr>
    </w:tbl>
    <w:p w14:paraId="43978703" w14:textId="77777777" w:rsidR="00653C23" w:rsidRPr="005045BF" w:rsidRDefault="00653C23" w:rsidP="00F41F90">
      <w:pPr>
        <w:jc w:val="both"/>
        <w:rPr>
          <w:rFonts w:ascii="Arial" w:hAnsi="Arial" w:cs="Arial"/>
          <w:color w:val="0F243E" w:themeColor="text2" w:themeShade="80"/>
          <w:sz w:val="22"/>
          <w:szCs w:val="22"/>
          <w:highlight w:val="yellow"/>
        </w:rPr>
      </w:pPr>
    </w:p>
    <w:p w14:paraId="6858BAEA" w14:textId="1F8529FA" w:rsidR="00F41F90" w:rsidRPr="005045BF" w:rsidRDefault="00FF0BAD" w:rsidP="00F41F90">
      <w:pPr>
        <w:jc w:val="both"/>
        <w:rPr>
          <w:rFonts w:ascii="Arial" w:hAnsi="Arial" w:cs="Arial"/>
          <w:color w:val="000000"/>
          <w:sz w:val="22"/>
          <w:szCs w:val="22"/>
        </w:rPr>
      </w:pPr>
      <w:r w:rsidRPr="005045BF">
        <w:rPr>
          <w:rFonts w:ascii="Arial" w:hAnsi="Arial" w:cs="Arial"/>
          <w:color w:val="000000"/>
          <w:sz w:val="22"/>
          <w:szCs w:val="22"/>
        </w:rPr>
        <w:t xml:space="preserve">En lo que respecta a </w:t>
      </w:r>
      <w:r w:rsidR="00F41F90" w:rsidRPr="005045BF">
        <w:rPr>
          <w:rFonts w:ascii="Arial" w:hAnsi="Arial" w:cs="Arial"/>
          <w:color w:val="000000"/>
          <w:sz w:val="22"/>
          <w:szCs w:val="22"/>
        </w:rPr>
        <w:t xml:space="preserve">los </w:t>
      </w:r>
      <w:r w:rsidR="004C6BCB" w:rsidRPr="005045BF">
        <w:rPr>
          <w:rFonts w:ascii="Arial" w:hAnsi="Arial" w:cs="Arial"/>
          <w:color w:val="000000"/>
          <w:sz w:val="22"/>
          <w:szCs w:val="22"/>
        </w:rPr>
        <w:t>gasto</w:t>
      </w:r>
      <w:r w:rsidR="00F41F90" w:rsidRPr="005045BF">
        <w:rPr>
          <w:rFonts w:ascii="Arial" w:hAnsi="Arial" w:cs="Arial"/>
          <w:color w:val="000000"/>
          <w:sz w:val="22"/>
          <w:szCs w:val="22"/>
        </w:rPr>
        <w:t>s</w:t>
      </w:r>
      <w:r w:rsidR="003501ED" w:rsidRPr="005045BF">
        <w:rPr>
          <w:rFonts w:ascii="Arial" w:hAnsi="Arial" w:cs="Arial"/>
          <w:color w:val="000000"/>
          <w:sz w:val="22"/>
          <w:szCs w:val="22"/>
        </w:rPr>
        <w:t xml:space="preserve"> de </w:t>
      </w:r>
      <w:r w:rsidRPr="005045BF">
        <w:rPr>
          <w:rFonts w:ascii="Arial" w:hAnsi="Arial" w:cs="Arial"/>
          <w:color w:val="000000"/>
          <w:sz w:val="22"/>
          <w:szCs w:val="22"/>
        </w:rPr>
        <w:t xml:space="preserve">acueducto y aseo de </w:t>
      </w:r>
      <w:r w:rsidR="003501ED" w:rsidRPr="005045BF">
        <w:rPr>
          <w:rFonts w:ascii="Arial" w:hAnsi="Arial" w:cs="Arial"/>
          <w:color w:val="000000"/>
          <w:sz w:val="22"/>
          <w:szCs w:val="22"/>
        </w:rPr>
        <w:t xml:space="preserve">forma global </w:t>
      </w:r>
      <w:r w:rsidR="004C6BCB" w:rsidRPr="005045BF">
        <w:rPr>
          <w:rFonts w:ascii="Arial" w:hAnsi="Arial" w:cs="Arial"/>
          <w:color w:val="000000"/>
          <w:sz w:val="22"/>
          <w:szCs w:val="22"/>
        </w:rPr>
        <w:t>registrado</w:t>
      </w:r>
      <w:r w:rsidR="00F41F90" w:rsidRPr="005045BF">
        <w:rPr>
          <w:rFonts w:ascii="Arial" w:hAnsi="Arial" w:cs="Arial"/>
          <w:color w:val="000000"/>
          <w:sz w:val="22"/>
          <w:szCs w:val="22"/>
        </w:rPr>
        <w:t>s</w:t>
      </w:r>
      <w:r w:rsidR="004C6BCB" w:rsidRPr="005045BF">
        <w:rPr>
          <w:rFonts w:ascii="Arial" w:hAnsi="Arial" w:cs="Arial"/>
          <w:color w:val="000000"/>
          <w:sz w:val="22"/>
          <w:szCs w:val="22"/>
        </w:rPr>
        <w:t xml:space="preserve"> por</w:t>
      </w:r>
      <w:r w:rsidR="00F41F90" w:rsidRPr="005045BF">
        <w:rPr>
          <w:rFonts w:ascii="Arial" w:hAnsi="Arial" w:cs="Arial"/>
          <w:color w:val="000000"/>
          <w:sz w:val="22"/>
          <w:szCs w:val="22"/>
        </w:rPr>
        <w:t xml:space="preserve"> este Ministerio</w:t>
      </w:r>
      <w:r w:rsidRPr="005045BF">
        <w:rPr>
          <w:rFonts w:ascii="Arial" w:hAnsi="Arial" w:cs="Arial"/>
          <w:color w:val="000000"/>
          <w:sz w:val="22"/>
          <w:szCs w:val="22"/>
        </w:rPr>
        <w:t>,</w:t>
      </w:r>
      <w:r w:rsidR="00F41F90" w:rsidRPr="005045BF">
        <w:rPr>
          <w:rFonts w:ascii="Arial" w:hAnsi="Arial" w:cs="Arial"/>
          <w:color w:val="000000"/>
          <w:sz w:val="22"/>
          <w:szCs w:val="22"/>
        </w:rPr>
        <w:t xml:space="preserve"> </w:t>
      </w:r>
      <w:r w:rsidRPr="005045BF">
        <w:rPr>
          <w:rFonts w:ascii="Arial" w:hAnsi="Arial" w:cs="Arial"/>
          <w:color w:val="000000"/>
          <w:sz w:val="22"/>
          <w:szCs w:val="22"/>
        </w:rPr>
        <w:t xml:space="preserve">correspondientes </w:t>
      </w:r>
      <w:r w:rsidR="00F41F90" w:rsidRPr="005045BF">
        <w:rPr>
          <w:rFonts w:ascii="Arial" w:hAnsi="Arial" w:cs="Arial"/>
          <w:color w:val="000000"/>
          <w:sz w:val="22"/>
          <w:szCs w:val="22"/>
        </w:rPr>
        <w:t>al</w:t>
      </w:r>
      <w:r w:rsidR="004C6BCB" w:rsidRPr="005045BF">
        <w:rPr>
          <w:rFonts w:ascii="Arial" w:hAnsi="Arial" w:cs="Arial"/>
          <w:color w:val="000000"/>
          <w:sz w:val="22"/>
          <w:szCs w:val="22"/>
        </w:rPr>
        <w:t xml:space="preserve"> </w:t>
      </w:r>
      <w:r w:rsidR="002D4E1D" w:rsidRPr="005045BF">
        <w:rPr>
          <w:rFonts w:ascii="Arial" w:hAnsi="Arial" w:cs="Arial"/>
          <w:color w:val="000000"/>
          <w:sz w:val="22"/>
          <w:szCs w:val="22"/>
        </w:rPr>
        <w:t xml:space="preserve">primer </w:t>
      </w:r>
      <w:r w:rsidR="004C6BCB" w:rsidRPr="005045BF">
        <w:rPr>
          <w:rFonts w:ascii="Arial" w:hAnsi="Arial" w:cs="Arial"/>
          <w:color w:val="000000"/>
          <w:sz w:val="22"/>
          <w:szCs w:val="22"/>
        </w:rPr>
        <w:t>trimestre de 20</w:t>
      </w:r>
      <w:r w:rsidR="002D4E1D" w:rsidRPr="005045BF">
        <w:rPr>
          <w:rFonts w:ascii="Arial" w:hAnsi="Arial" w:cs="Arial"/>
          <w:color w:val="000000"/>
          <w:sz w:val="22"/>
          <w:szCs w:val="22"/>
        </w:rPr>
        <w:t>20</w:t>
      </w:r>
      <w:r w:rsidRPr="005045BF">
        <w:rPr>
          <w:rFonts w:ascii="Arial" w:hAnsi="Arial" w:cs="Arial"/>
          <w:color w:val="000000"/>
          <w:sz w:val="22"/>
          <w:szCs w:val="22"/>
        </w:rPr>
        <w:t xml:space="preserve"> </w:t>
      </w:r>
      <w:r w:rsidR="004C6BCB" w:rsidRPr="005045BF">
        <w:rPr>
          <w:rFonts w:ascii="Arial" w:hAnsi="Arial" w:cs="Arial"/>
          <w:color w:val="000000"/>
          <w:sz w:val="22"/>
          <w:szCs w:val="22"/>
        </w:rPr>
        <w:t xml:space="preserve">comparado con el </w:t>
      </w:r>
      <w:r w:rsidR="00CC2708" w:rsidRPr="005045BF">
        <w:rPr>
          <w:rFonts w:ascii="Arial" w:hAnsi="Arial" w:cs="Arial"/>
          <w:color w:val="000000"/>
          <w:sz w:val="22"/>
          <w:szCs w:val="22"/>
        </w:rPr>
        <w:t xml:space="preserve">mismo periodo de </w:t>
      </w:r>
      <w:r w:rsidR="00F41F90" w:rsidRPr="005045BF">
        <w:rPr>
          <w:rFonts w:ascii="Arial" w:hAnsi="Arial" w:cs="Arial"/>
          <w:color w:val="000000"/>
          <w:sz w:val="22"/>
          <w:szCs w:val="22"/>
        </w:rPr>
        <w:t>201</w:t>
      </w:r>
      <w:r w:rsidR="002D4E1D" w:rsidRPr="005045BF">
        <w:rPr>
          <w:rFonts w:ascii="Arial" w:hAnsi="Arial" w:cs="Arial"/>
          <w:color w:val="000000"/>
          <w:sz w:val="22"/>
          <w:szCs w:val="22"/>
        </w:rPr>
        <w:t>9</w:t>
      </w:r>
      <w:r w:rsidR="00F41F90" w:rsidRPr="005045BF">
        <w:rPr>
          <w:rFonts w:ascii="Arial" w:hAnsi="Arial" w:cs="Arial"/>
          <w:color w:val="000000"/>
          <w:sz w:val="22"/>
          <w:szCs w:val="22"/>
        </w:rPr>
        <w:t xml:space="preserve">, </w:t>
      </w:r>
      <w:r w:rsidR="00315873" w:rsidRPr="005045BF">
        <w:rPr>
          <w:rFonts w:ascii="Arial" w:hAnsi="Arial" w:cs="Arial"/>
          <w:b/>
          <w:bCs/>
          <w:color w:val="000000"/>
          <w:sz w:val="22"/>
          <w:szCs w:val="22"/>
        </w:rPr>
        <w:t xml:space="preserve">aumentó </w:t>
      </w:r>
      <w:r w:rsidR="00315873" w:rsidRPr="005045BF">
        <w:rPr>
          <w:rFonts w:ascii="Arial" w:hAnsi="Arial" w:cs="Arial"/>
          <w:color w:val="000000"/>
          <w:sz w:val="22"/>
          <w:szCs w:val="22"/>
        </w:rPr>
        <w:t xml:space="preserve">en un </w:t>
      </w:r>
      <w:r w:rsidR="007E69B7" w:rsidRPr="005045BF">
        <w:rPr>
          <w:rFonts w:ascii="Arial" w:hAnsi="Arial" w:cs="Arial"/>
          <w:color w:val="000000"/>
          <w:sz w:val="22"/>
          <w:szCs w:val="22"/>
        </w:rPr>
        <w:t>13</w:t>
      </w:r>
      <w:r w:rsidR="00CC2DE9" w:rsidRPr="005045BF">
        <w:rPr>
          <w:rFonts w:ascii="Arial" w:hAnsi="Arial" w:cs="Arial"/>
          <w:color w:val="000000"/>
          <w:sz w:val="22"/>
          <w:szCs w:val="22"/>
        </w:rPr>
        <w:t>%.</w:t>
      </w:r>
      <w:r w:rsidR="00F41F90" w:rsidRPr="005045BF">
        <w:rPr>
          <w:rFonts w:ascii="Arial" w:hAnsi="Arial" w:cs="Arial"/>
          <w:color w:val="000000"/>
          <w:sz w:val="22"/>
          <w:szCs w:val="22"/>
        </w:rPr>
        <w:t xml:space="preserve"> </w:t>
      </w:r>
    </w:p>
    <w:p w14:paraId="52A80C00" w14:textId="77777777" w:rsidR="00AF26E8" w:rsidRPr="005045BF" w:rsidRDefault="00AF26E8" w:rsidP="00F41F90">
      <w:pPr>
        <w:jc w:val="both"/>
        <w:rPr>
          <w:rFonts w:ascii="Arial" w:hAnsi="Arial" w:cs="Arial"/>
          <w:color w:val="000000"/>
          <w:sz w:val="22"/>
          <w:szCs w:val="22"/>
        </w:rPr>
      </w:pPr>
    </w:p>
    <w:tbl>
      <w:tblPr>
        <w:tblStyle w:val="Tablaconcuadrcula5oscura-nfasis1"/>
        <w:tblW w:w="5812" w:type="dxa"/>
        <w:jc w:val="center"/>
        <w:tblLook w:val="04A0" w:firstRow="1" w:lastRow="0" w:firstColumn="1" w:lastColumn="0" w:noHBand="0" w:noVBand="1"/>
      </w:tblPr>
      <w:tblGrid>
        <w:gridCol w:w="704"/>
        <w:gridCol w:w="2557"/>
        <w:gridCol w:w="2551"/>
      </w:tblGrid>
      <w:tr w:rsidR="004C6BCB" w:rsidRPr="005045BF" w14:paraId="777CE8D1" w14:textId="77777777" w:rsidTr="004C6BCB">
        <w:trPr>
          <w:cnfStyle w:val="100000000000" w:firstRow="1" w:lastRow="0" w:firstColumn="0" w:lastColumn="0" w:oddVBand="0" w:evenVBand="0" w:oddHBand="0" w:evenHBand="0" w:firstRowFirstColumn="0" w:firstRowLastColumn="0" w:lastRowFirstColumn="0" w:lastRowLastColumn="0"/>
          <w:trHeight w:val="642"/>
          <w:jc w:val="center"/>
        </w:trPr>
        <w:tc>
          <w:tcPr>
            <w:cnfStyle w:val="001000000000" w:firstRow="0" w:lastRow="0" w:firstColumn="1" w:lastColumn="0" w:oddVBand="0" w:evenVBand="0" w:oddHBand="0" w:evenHBand="0" w:firstRowFirstColumn="0" w:firstRowLastColumn="0" w:lastRowFirstColumn="0" w:lastRowLastColumn="0"/>
            <w:tcW w:w="704" w:type="dxa"/>
            <w:vMerge w:val="restart"/>
            <w:noWrap/>
            <w:textDirection w:val="btLr"/>
            <w:vAlign w:val="center"/>
            <w:hideMark/>
          </w:tcPr>
          <w:p w14:paraId="2F0781F1" w14:textId="5E9E1211" w:rsidR="004C6BCB" w:rsidRPr="005045BF" w:rsidRDefault="009311F6" w:rsidP="00AF26E8">
            <w:pPr>
              <w:spacing w:before="100" w:after="80"/>
              <w:jc w:val="center"/>
              <w:rPr>
                <w:rFonts w:ascii="Arial" w:hAnsi="Arial" w:cs="Arial"/>
                <w:color w:val="000000"/>
                <w:sz w:val="20"/>
                <w:szCs w:val="20"/>
              </w:rPr>
            </w:pPr>
            <w:r w:rsidRPr="005045BF">
              <w:rPr>
                <w:rFonts w:ascii="Arial" w:hAnsi="Arial" w:cs="Arial"/>
                <w:sz w:val="20"/>
                <w:szCs w:val="20"/>
              </w:rPr>
              <w:t>I</w:t>
            </w:r>
            <w:r w:rsidR="004C6BCB" w:rsidRPr="005045BF">
              <w:rPr>
                <w:rFonts w:ascii="Arial" w:hAnsi="Arial" w:cs="Arial"/>
                <w:sz w:val="20"/>
                <w:szCs w:val="20"/>
              </w:rPr>
              <w:t xml:space="preserve"> Trimestre </w:t>
            </w:r>
          </w:p>
        </w:tc>
        <w:tc>
          <w:tcPr>
            <w:tcW w:w="5108" w:type="dxa"/>
            <w:gridSpan w:val="2"/>
            <w:vAlign w:val="center"/>
            <w:hideMark/>
          </w:tcPr>
          <w:p w14:paraId="4E10D9B6" w14:textId="77777777" w:rsidR="004C6BCB" w:rsidRPr="005045BF" w:rsidRDefault="004C6BCB" w:rsidP="00AF26E8">
            <w:pPr>
              <w:spacing w:before="100" w:after="8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sz w:val="20"/>
                <w:szCs w:val="20"/>
              </w:rPr>
              <w:t>Valor Facturado por Acueducto y Aseo ($)</w:t>
            </w:r>
          </w:p>
        </w:tc>
      </w:tr>
      <w:tr w:rsidR="004C6BCB" w:rsidRPr="005045BF" w14:paraId="533E93F0" w14:textId="77777777" w:rsidTr="00740627">
        <w:trPr>
          <w:cnfStyle w:val="000000100000" w:firstRow="0" w:lastRow="0" w:firstColumn="0" w:lastColumn="0" w:oddVBand="0" w:evenVBand="0" w:oddHBand="1" w:evenHBand="0" w:firstRowFirstColumn="0" w:firstRowLastColumn="0" w:lastRowFirstColumn="0" w:lastRowLastColumn="0"/>
          <w:trHeight w:val="493"/>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0DFC81A1" w14:textId="77777777" w:rsidR="004C6BCB" w:rsidRPr="005045BF" w:rsidRDefault="004C6BCB" w:rsidP="00AF26E8">
            <w:pPr>
              <w:spacing w:before="100" w:after="80"/>
              <w:rPr>
                <w:rFonts w:ascii="Arial" w:hAnsi="Arial" w:cs="Arial"/>
                <w:color w:val="000000"/>
                <w:sz w:val="20"/>
                <w:szCs w:val="20"/>
              </w:rPr>
            </w:pPr>
          </w:p>
        </w:tc>
        <w:tc>
          <w:tcPr>
            <w:tcW w:w="2557" w:type="dxa"/>
            <w:vAlign w:val="center"/>
            <w:hideMark/>
          </w:tcPr>
          <w:p w14:paraId="2B05BFF4" w14:textId="77777777" w:rsidR="004C6BCB" w:rsidRPr="005045BF" w:rsidRDefault="004C6BCB" w:rsidP="00AF26E8">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Periodo</w:t>
            </w:r>
          </w:p>
        </w:tc>
        <w:tc>
          <w:tcPr>
            <w:tcW w:w="2551" w:type="dxa"/>
            <w:vAlign w:val="center"/>
            <w:hideMark/>
          </w:tcPr>
          <w:p w14:paraId="16A1AB8A" w14:textId="77777777" w:rsidR="004C6BCB" w:rsidRPr="005045BF" w:rsidRDefault="004C6BCB" w:rsidP="00AF26E8">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Valor ($) </w:t>
            </w:r>
          </w:p>
        </w:tc>
      </w:tr>
      <w:tr w:rsidR="002D4E1D" w:rsidRPr="005045BF" w14:paraId="6BB31F68" w14:textId="77777777" w:rsidTr="00740627">
        <w:trPr>
          <w:trHeight w:val="543"/>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22BE50FB" w14:textId="77777777" w:rsidR="002D4E1D" w:rsidRPr="005045BF" w:rsidRDefault="002D4E1D" w:rsidP="00AF26E8">
            <w:pPr>
              <w:spacing w:before="100" w:after="80"/>
              <w:rPr>
                <w:rFonts w:ascii="Arial" w:hAnsi="Arial" w:cs="Arial"/>
                <w:color w:val="000000"/>
                <w:sz w:val="20"/>
                <w:szCs w:val="20"/>
              </w:rPr>
            </w:pPr>
          </w:p>
        </w:tc>
        <w:tc>
          <w:tcPr>
            <w:tcW w:w="2557" w:type="dxa"/>
            <w:noWrap/>
            <w:vAlign w:val="center"/>
          </w:tcPr>
          <w:p w14:paraId="7A356B25" w14:textId="29954F49" w:rsidR="002D4E1D" w:rsidRPr="005045BF" w:rsidRDefault="002D4E1D" w:rsidP="00AF26E8">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2020</w:t>
            </w:r>
          </w:p>
        </w:tc>
        <w:tc>
          <w:tcPr>
            <w:tcW w:w="2551" w:type="dxa"/>
            <w:noWrap/>
            <w:vAlign w:val="center"/>
          </w:tcPr>
          <w:p w14:paraId="6E5C72F5" w14:textId="7BC4D1BC" w:rsidR="002D4E1D" w:rsidRPr="005045BF" w:rsidRDefault="00970E5B" w:rsidP="00AF26E8">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5045BF">
              <w:rPr>
                <w:rFonts w:ascii="Arial" w:hAnsi="Arial" w:cs="Arial"/>
                <w:color w:val="000000"/>
                <w:sz w:val="20"/>
                <w:szCs w:val="20"/>
              </w:rPr>
              <w:t>24.229.342</w:t>
            </w:r>
          </w:p>
        </w:tc>
      </w:tr>
      <w:tr w:rsidR="002D4E1D" w:rsidRPr="005045BF" w14:paraId="2B8D4735" w14:textId="77777777" w:rsidTr="00740627">
        <w:trPr>
          <w:cnfStyle w:val="000000100000" w:firstRow="0" w:lastRow="0" w:firstColumn="0" w:lastColumn="0" w:oddVBand="0" w:evenVBand="0" w:oddHBand="1" w:evenHBand="0" w:firstRowFirstColumn="0" w:firstRowLastColumn="0" w:lastRowFirstColumn="0" w:lastRowLastColumn="0"/>
          <w:trHeight w:val="564"/>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51C8C31B" w14:textId="77777777" w:rsidR="002D4E1D" w:rsidRPr="005045BF" w:rsidRDefault="002D4E1D" w:rsidP="00AF26E8">
            <w:pPr>
              <w:spacing w:before="100" w:after="80"/>
              <w:rPr>
                <w:rFonts w:ascii="Arial" w:hAnsi="Arial" w:cs="Arial"/>
                <w:color w:val="000000"/>
                <w:sz w:val="20"/>
                <w:szCs w:val="20"/>
              </w:rPr>
            </w:pPr>
          </w:p>
        </w:tc>
        <w:tc>
          <w:tcPr>
            <w:tcW w:w="2557" w:type="dxa"/>
            <w:shd w:val="clear" w:color="auto" w:fill="DBE5F1" w:themeFill="accent1" w:themeFillTint="33"/>
            <w:noWrap/>
            <w:vAlign w:val="center"/>
          </w:tcPr>
          <w:p w14:paraId="1DF1B30F" w14:textId="4C408FFE" w:rsidR="002D4E1D" w:rsidRPr="005045BF" w:rsidRDefault="002D4E1D" w:rsidP="00AF26E8">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2019</w:t>
            </w:r>
          </w:p>
        </w:tc>
        <w:tc>
          <w:tcPr>
            <w:tcW w:w="2551" w:type="dxa"/>
            <w:shd w:val="clear" w:color="auto" w:fill="DBE5F1" w:themeFill="accent1" w:themeFillTint="33"/>
            <w:noWrap/>
            <w:vAlign w:val="center"/>
          </w:tcPr>
          <w:p w14:paraId="5C6F0E87" w14:textId="63E0D82A" w:rsidR="002D4E1D" w:rsidRPr="005045BF" w:rsidRDefault="002D4E1D" w:rsidP="00AF26E8">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21.489.270</w:t>
            </w:r>
          </w:p>
        </w:tc>
      </w:tr>
      <w:tr w:rsidR="002D4E1D" w:rsidRPr="005045BF" w14:paraId="419340D6" w14:textId="77777777" w:rsidTr="00740627">
        <w:trPr>
          <w:trHeight w:val="511"/>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65F180E3" w14:textId="77777777" w:rsidR="002D4E1D" w:rsidRPr="005045BF" w:rsidRDefault="002D4E1D" w:rsidP="00AF26E8">
            <w:pPr>
              <w:spacing w:before="100" w:after="80"/>
              <w:rPr>
                <w:rFonts w:ascii="Arial" w:hAnsi="Arial" w:cs="Arial"/>
                <w:color w:val="000000"/>
                <w:sz w:val="20"/>
                <w:szCs w:val="20"/>
              </w:rPr>
            </w:pPr>
          </w:p>
        </w:tc>
        <w:tc>
          <w:tcPr>
            <w:tcW w:w="2557" w:type="dxa"/>
            <w:shd w:val="clear" w:color="auto" w:fill="B8CCE4" w:themeFill="accent1" w:themeFillTint="66"/>
            <w:noWrap/>
            <w:vAlign w:val="center"/>
            <w:hideMark/>
          </w:tcPr>
          <w:p w14:paraId="7CEA6CFD" w14:textId="77777777" w:rsidR="002D4E1D" w:rsidRPr="005045BF" w:rsidRDefault="002D4E1D" w:rsidP="00AF26E8">
            <w:pPr>
              <w:spacing w:before="100" w:after="80"/>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Variación en $</w:t>
            </w:r>
          </w:p>
        </w:tc>
        <w:tc>
          <w:tcPr>
            <w:tcW w:w="2551" w:type="dxa"/>
            <w:shd w:val="clear" w:color="auto" w:fill="B8CCE4" w:themeFill="accent1" w:themeFillTint="66"/>
            <w:noWrap/>
            <w:vAlign w:val="center"/>
          </w:tcPr>
          <w:p w14:paraId="48640EA9" w14:textId="4E947395" w:rsidR="002D4E1D" w:rsidRPr="005045BF" w:rsidRDefault="00970E5B" w:rsidP="00AF26E8">
            <w:pPr>
              <w:spacing w:before="100" w:after="8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20"/>
                <w:szCs w:val="20"/>
              </w:rPr>
            </w:pPr>
            <w:r w:rsidRPr="005045BF">
              <w:rPr>
                <w:rFonts w:ascii="Arial" w:hAnsi="Arial" w:cs="Arial"/>
                <w:b/>
                <w:bCs/>
                <w:color w:val="000000"/>
                <w:sz w:val="20"/>
                <w:szCs w:val="20"/>
              </w:rPr>
              <w:t>2.740.072</w:t>
            </w:r>
          </w:p>
        </w:tc>
      </w:tr>
      <w:tr w:rsidR="002D4E1D" w:rsidRPr="005045BF" w14:paraId="3B006AE0" w14:textId="77777777" w:rsidTr="00740627">
        <w:trPr>
          <w:cnfStyle w:val="000000100000" w:firstRow="0" w:lastRow="0" w:firstColumn="0" w:lastColumn="0" w:oddVBand="0" w:evenVBand="0" w:oddHBand="1" w:evenHBand="0" w:firstRowFirstColumn="0" w:firstRowLastColumn="0" w:lastRowFirstColumn="0" w:lastRowLastColumn="0"/>
          <w:trHeight w:val="517"/>
          <w:jc w:val="center"/>
        </w:trPr>
        <w:tc>
          <w:tcPr>
            <w:cnfStyle w:val="001000000000" w:firstRow="0" w:lastRow="0" w:firstColumn="1" w:lastColumn="0" w:oddVBand="0" w:evenVBand="0" w:oddHBand="0" w:evenHBand="0" w:firstRowFirstColumn="0" w:firstRowLastColumn="0" w:lastRowFirstColumn="0" w:lastRowLastColumn="0"/>
            <w:tcW w:w="704" w:type="dxa"/>
            <w:vMerge/>
            <w:vAlign w:val="center"/>
            <w:hideMark/>
          </w:tcPr>
          <w:p w14:paraId="492B2A9B" w14:textId="77777777" w:rsidR="002D4E1D" w:rsidRPr="005045BF" w:rsidRDefault="002D4E1D" w:rsidP="00AF26E8">
            <w:pPr>
              <w:spacing w:before="100" w:after="80"/>
              <w:rPr>
                <w:rFonts w:ascii="Arial" w:hAnsi="Arial" w:cs="Arial"/>
                <w:color w:val="000000"/>
                <w:sz w:val="20"/>
                <w:szCs w:val="20"/>
              </w:rPr>
            </w:pPr>
          </w:p>
        </w:tc>
        <w:tc>
          <w:tcPr>
            <w:tcW w:w="2557" w:type="dxa"/>
            <w:noWrap/>
            <w:vAlign w:val="center"/>
            <w:hideMark/>
          </w:tcPr>
          <w:p w14:paraId="180E667C" w14:textId="77777777" w:rsidR="002D4E1D" w:rsidRPr="005045BF" w:rsidRDefault="002D4E1D" w:rsidP="00AF26E8">
            <w:pPr>
              <w:spacing w:before="100" w:after="80"/>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Variación en % </w:t>
            </w:r>
          </w:p>
        </w:tc>
        <w:tc>
          <w:tcPr>
            <w:tcW w:w="2551" w:type="dxa"/>
            <w:noWrap/>
            <w:vAlign w:val="center"/>
          </w:tcPr>
          <w:p w14:paraId="7B7E6548" w14:textId="49CEAC3D" w:rsidR="002D4E1D" w:rsidRPr="005045BF" w:rsidRDefault="002D4E1D" w:rsidP="00AF26E8">
            <w:pPr>
              <w:spacing w:before="100" w:after="8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w:t>
            </w:r>
            <w:r w:rsidR="00970E5B" w:rsidRPr="005045BF">
              <w:rPr>
                <w:rFonts w:ascii="Arial" w:hAnsi="Arial" w:cs="Arial"/>
                <w:b/>
                <w:bCs/>
                <w:color w:val="0F243E" w:themeColor="text2" w:themeShade="80"/>
                <w:sz w:val="20"/>
                <w:szCs w:val="20"/>
              </w:rPr>
              <w:t>3</w:t>
            </w:r>
            <w:r w:rsidRPr="005045BF">
              <w:rPr>
                <w:rFonts w:ascii="Arial" w:hAnsi="Arial" w:cs="Arial"/>
                <w:b/>
                <w:bCs/>
                <w:color w:val="0F243E" w:themeColor="text2" w:themeShade="80"/>
                <w:sz w:val="20"/>
                <w:szCs w:val="20"/>
              </w:rPr>
              <w:t>%</w:t>
            </w:r>
          </w:p>
        </w:tc>
      </w:tr>
    </w:tbl>
    <w:p w14:paraId="1A10E69F" w14:textId="77777777" w:rsidR="00D42177" w:rsidRPr="005045BF" w:rsidRDefault="00D42177" w:rsidP="000E0AD2">
      <w:pPr>
        <w:rPr>
          <w:rFonts w:ascii="Arial" w:hAnsi="Arial" w:cs="Arial"/>
          <w:color w:val="000000"/>
          <w:sz w:val="22"/>
          <w:szCs w:val="22"/>
          <w:highlight w:val="yellow"/>
        </w:rPr>
      </w:pPr>
    </w:p>
    <w:p w14:paraId="156C3409" w14:textId="1FDD65A5" w:rsidR="00206150" w:rsidRPr="005045BF" w:rsidRDefault="0046364D" w:rsidP="00206150">
      <w:pPr>
        <w:jc w:val="both"/>
        <w:rPr>
          <w:rFonts w:ascii="Arial" w:hAnsi="Arial" w:cs="Arial"/>
          <w:color w:val="000000"/>
          <w:sz w:val="22"/>
          <w:szCs w:val="22"/>
        </w:rPr>
      </w:pPr>
      <w:r w:rsidRPr="005045BF">
        <w:rPr>
          <w:rFonts w:ascii="Arial" w:hAnsi="Arial" w:cs="Arial"/>
          <w:color w:val="000000"/>
          <w:sz w:val="22"/>
          <w:szCs w:val="22"/>
        </w:rPr>
        <w:t>De otra parte, se comp</w:t>
      </w:r>
      <w:r w:rsidR="00904435" w:rsidRPr="005045BF">
        <w:rPr>
          <w:rFonts w:ascii="Arial" w:hAnsi="Arial" w:cs="Arial"/>
          <w:color w:val="000000"/>
          <w:sz w:val="22"/>
          <w:szCs w:val="22"/>
        </w:rPr>
        <w:t>aró</w:t>
      </w:r>
      <w:r w:rsidRPr="005045BF">
        <w:rPr>
          <w:rFonts w:ascii="Arial" w:hAnsi="Arial" w:cs="Arial"/>
          <w:color w:val="000000"/>
          <w:sz w:val="22"/>
          <w:szCs w:val="22"/>
        </w:rPr>
        <w:t xml:space="preserve"> el consumo en metros cúbicos [m</w:t>
      </w:r>
      <w:r w:rsidRPr="009819E6">
        <w:rPr>
          <w:rFonts w:ascii="Arial" w:hAnsi="Arial" w:cs="Arial"/>
          <w:color w:val="000000"/>
          <w:sz w:val="22"/>
          <w:szCs w:val="22"/>
          <w:vertAlign w:val="superscript"/>
        </w:rPr>
        <w:t>3</w:t>
      </w:r>
      <w:r w:rsidRPr="005045BF">
        <w:rPr>
          <w:rFonts w:ascii="Arial" w:hAnsi="Arial" w:cs="Arial"/>
          <w:color w:val="000000"/>
          <w:sz w:val="22"/>
          <w:szCs w:val="22"/>
        </w:rPr>
        <w:t xml:space="preserve">] </w:t>
      </w:r>
      <w:r w:rsidR="006621F3" w:rsidRPr="005045BF">
        <w:rPr>
          <w:rFonts w:ascii="Arial" w:hAnsi="Arial" w:cs="Arial"/>
          <w:color w:val="000000"/>
          <w:sz w:val="22"/>
          <w:szCs w:val="22"/>
        </w:rPr>
        <w:t>de agua potable</w:t>
      </w:r>
      <w:r w:rsidRPr="005045BF">
        <w:rPr>
          <w:rFonts w:ascii="Arial" w:hAnsi="Arial" w:cs="Arial"/>
          <w:color w:val="000000"/>
          <w:sz w:val="22"/>
          <w:szCs w:val="22"/>
        </w:rPr>
        <w:t xml:space="preserve"> para las dos sedes de la e</w:t>
      </w:r>
      <w:r w:rsidR="00BC0FD3" w:rsidRPr="005045BF">
        <w:rPr>
          <w:rFonts w:ascii="Arial" w:hAnsi="Arial" w:cs="Arial"/>
          <w:color w:val="000000"/>
          <w:sz w:val="22"/>
          <w:szCs w:val="22"/>
        </w:rPr>
        <w:t>ntidad</w:t>
      </w:r>
      <w:r w:rsidR="00E82252" w:rsidRPr="005045BF">
        <w:rPr>
          <w:rFonts w:ascii="Arial" w:hAnsi="Arial" w:cs="Arial"/>
          <w:color w:val="000000"/>
          <w:sz w:val="22"/>
          <w:szCs w:val="22"/>
        </w:rPr>
        <w:t xml:space="preserve">, teniendo en cuenta los periodos </w:t>
      </w:r>
      <w:r w:rsidR="00E10DE6" w:rsidRPr="005045BF">
        <w:rPr>
          <w:rFonts w:ascii="Arial" w:hAnsi="Arial" w:cs="Arial"/>
          <w:color w:val="000000"/>
          <w:sz w:val="22"/>
          <w:szCs w:val="22"/>
        </w:rPr>
        <w:t>factura</w:t>
      </w:r>
      <w:r w:rsidR="00E82252" w:rsidRPr="005045BF">
        <w:rPr>
          <w:rFonts w:ascii="Arial" w:hAnsi="Arial" w:cs="Arial"/>
          <w:color w:val="000000"/>
          <w:sz w:val="22"/>
          <w:szCs w:val="22"/>
        </w:rPr>
        <w:t xml:space="preserve">dos por las empresas prestadoras del </w:t>
      </w:r>
      <w:r w:rsidR="00E10DE6" w:rsidRPr="005045BF">
        <w:rPr>
          <w:rFonts w:ascii="Arial" w:hAnsi="Arial" w:cs="Arial"/>
          <w:color w:val="000000"/>
          <w:sz w:val="22"/>
          <w:szCs w:val="22"/>
        </w:rPr>
        <w:t xml:space="preserve">servicio: </w:t>
      </w:r>
      <w:r w:rsidR="00904435" w:rsidRPr="005045BF">
        <w:rPr>
          <w:rFonts w:ascii="Arial" w:hAnsi="Arial" w:cs="Arial"/>
          <w:color w:val="000000"/>
          <w:sz w:val="22"/>
          <w:szCs w:val="22"/>
        </w:rPr>
        <w:t xml:space="preserve"> </w:t>
      </w:r>
    </w:p>
    <w:p w14:paraId="731501AD" w14:textId="77777777" w:rsidR="005E0585" w:rsidRPr="005045BF" w:rsidRDefault="005E0585" w:rsidP="00206150">
      <w:pPr>
        <w:jc w:val="both"/>
        <w:rPr>
          <w:rFonts w:ascii="Arial" w:hAnsi="Arial" w:cs="Arial"/>
          <w:color w:val="000000"/>
          <w:sz w:val="22"/>
          <w:szCs w:val="22"/>
          <w:highlight w:val="yellow"/>
        </w:rPr>
      </w:pPr>
    </w:p>
    <w:tbl>
      <w:tblPr>
        <w:tblStyle w:val="Tablaconcuadrcula1clara-nfasis1"/>
        <w:tblW w:w="0" w:type="auto"/>
        <w:jc w:val="center"/>
        <w:tblLook w:val="04A0" w:firstRow="1" w:lastRow="0" w:firstColumn="1" w:lastColumn="0" w:noHBand="0" w:noVBand="1"/>
      </w:tblPr>
      <w:tblGrid>
        <w:gridCol w:w="2388"/>
        <w:gridCol w:w="3703"/>
        <w:gridCol w:w="1559"/>
        <w:gridCol w:w="1979"/>
      </w:tblGrid>
      <w:tr w:rsidR="00E75A1A" w:rsidRPr="005045BF" w14:paraId="5AAD1121" w14:textId="77777777" w:rsidTr="001445EC">
        <w:trPr>
          <w:cnfStyle w:val="100000000000" w:firstRow="1" w:lastRow="0" w:firstColumn="0" w:lastColumn="0" w:oddVBand="0" w:evenVBand="0" w:oddHBand="0" w:evenHBand="0" w:firstRowFirstColumn="0" w:firstRowLastColumn="0" w:lastRowFirstColumn="0" w:lastRowLastColumn="0"/>
          <w:cantSplit/>
          <w:trHeight w:val="431"/>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double" w:sz="4" w:space="0" w:color="4F81BD" w:themeColor="accent1"/>
              <w:bottom w:val="double" w:sz="4" w:space="0" w:color="4F81BD" w:themeColor="accent1"/>
            </w:tcBorders>
            <w:vAlign w:val="center"/>
            <w:hideMark/>
          </w:tcPr>
          <w:p w14:paraId="07EE43D6" w14:textId="77777777" w:rsidR="00E75A1A" w:rsidRPr="005045BF" w:rsidRDefault="00206150" w:rsidP="00740627">
            <w:pPr>
              <w:spacing w:before="40" w:after="40"/>
              <w:jc w:val="center"/>
              <w:rPr>
                <w:rFonts w:ascii="Arial" w:hAnsi="Arial" w:cs="Arial"/>
                <w:color w:val="000000"/>
                <w:sz w:val="20"/>
                <w:szCs w:val="20"/>
              </w:rPr>
            </w:pPr>
            <w:r w:rsidRPr="005045BF">
              <w:rPr>
                <w:rFonts w:ascii="Arial" w:hAnsi="Arial" w:cs="Arial"/>
                <w:color w:val="000000"/>
                <w:sz w:val="22"/>
                <w:szCs w:val="22"/>
              </w:rPr>
              <w:lastRenderedPageBreak/>
              <w:br w:type="page"/>
            </w:r>
            <w:r w:rsidR="00E75A1A" w:rsidRPr="005045BF">
              <w:rPr>
                <w:rFonts w:ascii="Arial" w:hAnsi="Arial" w:cs="Arial"/>
                <w:color w:val="0F243E" w:themeColor="text2" w:themeShade="80"/>
                <w:sz w:val="20"/>
                <w:szCs w:val="20"/>
              </w:rPr>
              <w:t>Consumo M</w:t>
            </w:r>
            <w:r w:rsidR="00E75A1A" w:rsidRPr="009819E6">
              <w:rPr>
                <w:rFonts w:ascii="Arial" w:hAnsi="Arial" w:cs="Arial"/>
                <w:color w:val="0F243E" w:themeColor="text2" w:themeShade="80"/>
                <w:sz w:val="20"/>
                <w:szCs w:val="20"/>
                <w:vertAlign w:val="superscript"/>
              </w:rPr>
              <w:t>3</w:t>
            </w:r>
            <w:r w:rsidR="00E75A1A" w:rsidRPr="005045BF">
              <w:rPr>
                <w:rFonts w:ascii="Arial" w:hAnsi="Arial" w:cs="Arial"/>
                <w:color w:val="0F243E" w:themeColor="text2" w:themeShade="80"/>
                <w:sz w:val="20"/>
                <w:szCs w:val="20"/>
              </w:rPr>
              <w:t xml:space="preserve"> Agua Potable</w:t>
            </w:r>
          </w:p>
        </w:tc>
      </w:tr>
      <w:tr w:rsidR="00E75A1A" w:rsidRPr="005045BF" w14:paraId="7B4986B1"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4F81BD" w:themeColor="accent1"/>
            </w:tcBorders>
            <w:shd w:val="clear" w:color="auto" w:fill="4F81BD" w:themeFill="accent1"/>
            <w:vAlign w:val="center"/>
            <w:hideMark/>
          </w:tcPr>
          <w:p w14:paraId="3C76F528" w14:textId="77777777" w:rsidR="00E75A1A" w:rsidRPr="005045BF" w:rsidRDefault="00E75A1A" w:rsidP="00740627">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Sede</w:t>
            </w:r>
          </w:p>
        </w:tc>
        <w:tc>
          <w:tcPr>
            <w:tcW w:w="3703" w:type="dxa"/>
            <w:tcBorders>
              <w:top w:val="double" w:sz="4" w:space="0" w:color="4F81BD" w:themeColor="accent1"/>
            </w:tcBorders>
            <w:shd w:val="clear" w:color="auto" w:fill="4F81BD" w:themeFill="accent1"/>
            <w:vAlign w:val="center"/>
            <w:hideMark/>
          </w:tcPr>
          <w:p w14:paraId="3AA7D506" w14:textId="77777777" w:rsidR="00E75A1A" w:rsidRPr="005045BF" w:rsidRDefault="00E75A1A"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 xml:space="preserve">Periodo </w:t>
            </w:r>
          </w:p>
        </w:tc>
        <w:tc>
          <w:tcPr>
            <w:tcW w:w="1559" w:type="dxa"/>
            <w:tcBorders>
              <w:top w:val="double" w:sz="4" w:space="0" w:color="4F81BD" w:themeColor="accent1"/>
            </w:tcBorders>
            <w:shd w:val="clear" w:color="auto" w:fill="4F81BD" w:themeFill="accent1"/>
            <w:vAlign w:val="center"/>
            <w:hideMark/>
          </w:tcPr>
          <w:p w14:paraId="53A42AAF" w14:textId="77777777" w:rsidR="00E75A1A" w:rsidRPr="005045BF" w:rsidRDefault="00E75A1A"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Vigencia</w:t>
            </w:r>
          </w:p>
        </w:tc>
        <w:tc>
          <w:tcPr>
            <w:tcW w:w="1979" w:type="dxa"/>
            <w:tcBorders>
              <w:top w:val="double" w:sz="4" w:space="0" w:color="4F81BD" w:themeColor="accent1"/>
            </w:tcBorders>
            <w:shd w:val="clear" w:color="auto" w:fill="4F81BD" w:themeFill="accent1"/>
            <w:vAlign w:val="center"/>
            <w:hideMark/>
          </w:tcPr>
          <w:p w14:paraId="5C065DCE" w14:textId="77777777" w:rsidR="00E75A1A" w:rsidRPr="005045BF" w:rsidRDefault="00E75A1A"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Consumo M</w:t>
            </w:r>
            <w:r w:rsidRPr="009819E6">
              <w:rPr>
                <w:rFonts w:ascii="Arial" w:hAnsi="Arial" w:cs="Arial"/>
                <w:b/>
                <w:bCs/>
                <w:color w:val="FFFFFF" w:themeColor="background1"/>
                <w:sz w:val="20"/>
                <w:szCs w:val="20"/>
                <w:vertAlign w:val="superscript"/>
              </w:rPr>
              <w:t>3</w:t>
            </w:r>
            <w:r w:rsidRPr="005045BF">
              <w:rPr>
                <w:rFonts w:ascii="Arial" w:hAnsi="Arial" w:cs="Arial"/>
                <w:b/>
                <w:bCs/>
                <w:color w:val="FFFFFF" w:themeColor="background1"/>
                <w:sz w:val="20"/>
                <w:szCs w:val="20"/>
              </w:rPr>
              <w:t xml:space="preserve"> Agua Potable</w:t>
            </w:r>
          </w:p>
        </w:tc>
      </w:tr>
      <w:tr w:rsidR="001445EC" w:rsidRPr="005045BF" w14:paraId="0249E11A"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4EC132DB" w14:textId="77777777" w:rsidR="001445EC" w:rsidRPr="005045BF" w:rsidRDefault="001445EC" w:rsidP="00740627">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Edificio San Agustín</w:t>
            </w:r>
          </w:p>
        </w:tc>
        <w:tc>
          <w:tcPr>
            <w:tcW w:w="3703" w:type="dxa"/>
            <w:vAlign w:val="center"/>
            <w:hideMark/>
          </w:tcPr>
          <w:p w14:paraId="64C8CD74" w14:textId="23561804"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04 de enero al 04 de marzo de 2020</w:t>
            </w:r>
          </w:p>
        </w:tc>
        <w:tc>
          <w:tcPr>
            <w:tcW w:w="1559" w:type="dxa"/>
            <w:vAlign w:val="center"/>
          </w:tcPr>
          <w:p w14:paraId="067EC970" w14:textId="54D754BA"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2020</w:t>
            </w:r>
          </w:p>
        </w:tc>
        <w:tc>
          <w:tcPr>
            <w:tcW w:w="1979" w:type="dxa"/>
            <w:vAlign w:val="center"/>
          </w:tcPr>
          <w:p w14:paraId="49028F8D" w14:textId="42B92EF6"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sz w:val="20"/>
                <w:szCs w:val="20"/>
              </w:rPr>
              <w:t>3.958</w:t>
            </w:r>
          </w:p>
        </w:tc>
      </w:tr>
      <w:tr w:rsidR="001445EC" w:rsidRPr="005045BF" w14:paraId="76D6DF6F"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674D63DB" w14:textId="77777777" w:rsidR="001445EC" w:rsidRPr="005045BF" w:rsidRDefault="001445EC" w:rsidP="00740627">
            <w:pPr>
              <w:spacing w:before="40" w:after="40"/>
              <w:rPr>
                <w:rFonts w:ascii="Arial" w:hAnsi="Arial" w:cs="Arial"/>
                <w:color w:val="0F243E" w:themeColor="text2" w:themeShade="80"/>
                <w:sz w:val="20"/>
                <w:szCs w:val="20"/>
              </w:rPr>
            </w:pPr>
          </w:p>
        </w:tc>
        <w:tc>
          <w:tcPr>
            <w:tcW w:w="3703" w:type="dxa"/>
            <w:vAlign w:val="center"/>
            <w:hideMark/>
          </w:tcPr>
          <w:p w14:paraId="1EFCB85B" w14:textId="4F986CB3"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 de enero al 12 de marzo de 2019</w:t>
            </w:r>
          </w:p>
        </w:tc>
        <w:tc>
          <w:tcPr>
            <w:tcW w:w="1559" w:type="dxa"/>
            <w:vAlign w:val="center"/>
          </w:tcPr>
          <w:p w14:paraId="603945D6" w14:textId="46D96CFE"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2019</w:t>
            </w:r>
          </w:p>
        </w:tc>
        <w:tc>
          <w:tcPr>
            <w:tcW w:w="1979" w:type="dxa"/>
            <w:vAlign w:val="center"/>
          </w:tcPr>
          <w:p w14:paraId="10390739" w14:textId="4A13B724"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sz w:val="20"/>
                <w:szCs w:val="20"/>
              </w:rPr>
              <w:t>3.728</w:t>
            </w:r>
          </w:p>
        </w:tc>
      </w:tr>
      <w:tr w:rsidR="001445EC" w:rsidRPr="005045BF" w14:paraId="54E0BD8D"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2C469B56" w14:textId="77777777" w:rsidR="001445EC" w:rsidRPr="005045BF" w:rsidRDefault="001445EC" w:rsidP="00740627">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5262" w:type="dxa"/>
            <w:gridSpan w:val="2"/>
            <w:shd w:val="clear" w:color="auto" w:fill="4F81BD" w:themeFill="accent1"/>
            <w:vAlign w:val="center"/>
            <w:hideMark/>
          </w:tcPr>
          <w:p w14:paraId="2BC20F61" w14:textId="77777777"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Cantidad</w:t>
            </w:r>
          </w:p>
        </w:tc>
        <w:tc>
          <w:tcPr>
            <w:tcW w:w="1979" w:type="dxa"/>
            <w:shd w:val="clear" w:color="auto" w:fill="4F81BD" w:themeFill="accent1"/>
            <w:vAlign w:val="center"/>
          </w:tcPr>
          <w:p w14:paraId="4ED4CD9C" w14:textId="5E33867A"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230</w:t>
            </w:r>
          </w:p>
        </w:tc>
      </w:tr>
      <w:tr w:rsidR="001445EC" w:rsidRPr="005045BF" w14:paraId="46114D18"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4CD4A8EE" w14:textId="77777777" w:rsidR="001445EC" w:rsidRPr="005045BF" w:rsidRDefault="001445EC" w:rsidP="00740627">
            <w:pPr>
              <w:spacing w:before="40" w:after="40"/>
              <w:rPr>
                <w:rFonts w:ascii="Arial" w:hAnsi="Arial" w:cs="Arial"/>
                <w:color w:val="FFFFFF" w:themeColor="background1"/>
                <w:sz w:val="20"/>
                <w:szCs w:val="20"/>
              </w:rPr>
            </w:pPr>
          </w:p>
        </w:tc>
        <w:tc>
          <w:tcPr>
            <w:tcW w:w="5262" w:type="dxa"/>
            <w:gridSpan w:val="2"/>
            <w:shd w:val="clear" w:color="auto" w:fill="4F81BD" w:themeFill="accent1"/>
            <w:vAlign w:val="center"/>
            <w:hideMark/>
          </w:tcPr>
          <w:p w14:paraId="1561A315" w14:textId="77777777"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979" w:type="dxa"/>
            <w:shd w:val="clear" w:color="auto" w:fill="4F81BD" w:themeFill="accent1"/>
            <w:vAlign w:val="center"/>
          </w:tcPr>
          <w:p w14:paraId="5DBA1054" w14:textId="13E3CC1D"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6%</w:t>
            </w:r>
          </w:p>
        </w:tc>
      </w:tr>
      <w:tr w:rsidR="001445EC" w:rsidRPr="005045BF" w14:paraId="5359CB58"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vAlign w:val="center"/>
            <w:hideMark/>
          </w:tcPr>
          <w:p w14:paraId="20C75EBF" w14:textId="77777777" w:rsidR="001445EC" w:rsidRPr="005045BF" w:rsidRDefault="001445EC" w:rsidP="00740627">
            <w:pPr>
              <w:spacing w:before="40" w:after="40"/>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Casas de Santa Bárbara</w:t>
            </w:r>
          </w:p>
        </w:tc>
        <w:tc>
          <w:tcPr>
            <w:tcW w:w="3703" w:type="dxa"/>
            <w:vAlign w:val="center"/>
            <w:hideMark/>
          </w:tcPr>
          <w:p w14:paraId="1B8A94BD" w14:textId="38E41E1B"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04 de enero al 04 de marzo de 2020</w:t>
            </w:r>
          </w:p>
        </w:tc>
        <w:tc>
          <w:tcPr>
            <w:tcW w:w="1559" w:type="dxa"/>
            <w:vAlign w:val="center"/>
          </w:tcPr>
          <w:p w14:paraId="2E78D7D9" w14:textId="7DB3A568"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2020</w:t>
            </w:r>
          </w:p>
        </w:tc>
        <w:tc>
          <w:tcPr>
            <w:tcW w:w="1979" w:type="dxa"/>
            <w:vAlign w:val="center"/>
          </w:tcPr>
          <w:p w14:paraId="6CFD7AB8" w14:textId="17D55B38"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sz w:val="20"/>
                <w:szCs w:val="20"/>
              </w:rPr>
              <w:t>779</w:t>
            </w:r>
          </w:p>
        </w:tc>
      </w:tr>
      <w:tr w:rsidR="001445EC" w:rsidRPr="005045BF" w14:paraId="44EE2C34"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14:paraId="36DADB64" w14:textId="77777777" w:rsidR="001445EC" w:rsidRPr="005045BF" w:rsidRDefault="001445EC" w:rsidP="00740627">
            <w:pPr>
              <w:spacing w:before="40" w:after="40"/>
              <w:rPr>
                <w:rFonts w:ascii="Arial" w:hAnsi="Arial" w:cs="Arial"/>
                <w:color w:val="0F243E" w:themeColor="text2" w:themeShade="80"/>
                <w:sz w:val="20"/>
                <w:szCs w:val="20"/>
              </w:rPr>
            </w:pPr>
          </w:p>
        </w:tc>
        <w:tc>
          <w:tcPr>
            <w:tcW w:w="3703" w:type="dxa"/>
            <w:vAlign w:val="center"/>
            <w:hideMark/>
          </w:tcPr>
          <w:p w14:paraId="051F5ECD" w14:textId="5BF94848"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11 de enero al 12 de marzo de 2019</w:t>
            </w:r>
          </w:p>
        </w:tc>
        <w:tc>
          <w:tcPr>
            <w:tcW w:w="1559" w:type="dxa"/>
            <w:vAlign w:val="center"/>
          </w:tcPr>
          <w:p w14:paraId="1F849F4A" w14:textId="2BFD5951"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F243E" w:themeColor="text2" w:themeShade="80"/>
                <w:sz w:val="20"/>
                <w:szCs w:val="20"/>
              </w:rPr>
            </w:pPr>
            <w:r w:rsidRPr="005045BF">
              <w:rPr>
                <w:rFonts w:ascii="Arial" w:hAnsi="Arial" w:cs="Arial"/>
                <w:color w:val="0F243E" w:themeColor="text2" w:themeShade="80"/>
                <w:sz w:val="20"/>
                <w:szCs w:val="20"/>
              </w:rPr>
              <w:t>2019</w:t>
            </w:r>
          </w:p>
        </w:tc>
        <w:tc>
          <w:tcPr>
            <w:tcW w:w="1979" w:type="dxa"/>
            <w:vAlign w:val="center"/>
          </w:tcPr>
          <w:p w14:paraId="3DDF91EE" w14:textId="3240DFFB"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F243E" w:themeColor="text2" w:themeShade="80"/>
                <w:sz w:val="20"/>
                <w:szCs w:val="20"/>
              </w:rPr>
            </w:pPr>
            <w:r w:rsidRPr="005045BF">
              <w:rPr>
                <w:rFonts w:ascii="Arial" w:hAnsi="Arial" w:cs="Arial"/>
                <w:b/>
                <w:bCs/>
                <w:sz w:val="20"/>
                <w:szCs w:val="20"/>
              </w:rPr>
              <w:t>699</w:t>
            </w:r>
          </w:p>
        </w:tc>
      </w:tr>
      <w:tr w:rsidR="001445EC" w:rsidRPr="005045BF" w14:paraId="020762DC"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val="restart"/>
            <w:shd w:val="clear" w:color="auto" w:fill="4F81BD" w:themeFill="accent1"/>
            <w:vAlign w:val="center"/>
            <w:hideMark/>
          </w:tcPr>
          <w:p w14:paraId="0022B171" w14:textId="77777777" w:rsidR="001445EC" w:rsidRPr="005045BF" w:rsidRDefault="001445EC" w:rsidP="00740627">
            <w:pPr>
              <w:spacing w:before="40" w:after="40"/>
              <w:jc w:val="center"/>
              <w:rPr>
                <w:rFonts w:ascii="Arial" w:hAnsi="Arial" w:cs="Arial"/>
                <w:color w:val="FFFFFF" w:themeColor="background1"/>
                <w:sz w:val="20"/>
                <w:szCs w:val="20"/>
              </w:rPr>
            </w:pPr>
            <w:r w:rsidRPr="005045BF">
              <w:rPr>
                <w:rFonts w:ascii="Arial" w:hAnsi="Arial" w:cs="Arial"/>
                <w:color w:val="FFFFFF" w:themeColor="background1"/>
                <w:sz w:val="20"/>
                <w:szCs w:val="20"/>
              </w:rPr>
              <w:t>Variaciones</w:t>
            </w:r>
          </w:p>
        </w:tc>
        <w:tc>
          <w:tcPr>
            <w:tcW w:w="5262" w:type="dxa"/>
            <w:gridSpan w:val="2"/>
            <w:shd w:val="clear" w:color="auto" w:fill="4F81BD" w:themeFill="accent1"/>
            <w:vAlign w:val="center"/>
            <w:hideMark/>
          </w:tcPr>
          <w:p w14:paraId="4DFDFAC4" w14:textId="77777777"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Cantidad</w:t>
            </w:r>
          </w:p>
        </w:tc>
        <w:tc>
          <w:tcPr>
            <w:tcW w:w="1979" w:type="dxa"/>
            <w:shd w:val="clear" w:color="auto" w:fill="4F81BD" w:themeFill="accent1"/>
            <w:vAlign w:val="center"/>
          </w:tcPr>
          <w:p w14:paraId="238A0C52" w14:textId="196165C5"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80</w:t>
            </w:r>
          </w:p>
        </w:tc>
      </w:tr>
      <w:tr w:rsidR="001445EC" w:rsidRPr="005045BF" w14:paraId="3B9CB2D1" w14:textId="77777777" w:rsidTr="003C7E03">
        <w:trPr>
          <w:cantSplit/>
          <w:jc w:val="center"/>
        </w:trPr>
        <w:tc>
          <w:tcPr>
            <w:cnfStyle w:val="001000000000" w:firstRow="0" w:lastRow="0" w:firstColumn="1" w:lastColumn="0" w:oddVBand="0" w:evenVBand="0" w:oddHBand="0" w:evenHBand="0" w:firstRowFirstColumn="0" w:firstRowLastColumn="0" w:lastRowFirstColumn="0" w:lastRowLastColumn="0"/>
            <w:tcW w:w="0" w:type="auto"/>
            <w:vMerge/>
            <w:shd w:val="clear" w:color="auto" w:fill="4F81BD" w:themeFill="accent1"/>
            <w:vAlign w:val="center"/>
            <w:hideMark/>
          </w:tcPr>
          <w:p w14:paraId="706846D2" w14:textId="77777777" w:rsidR="001445EC" w:rsidRPr="005045BF" w:rsidRDefault="001445EC" w:rsidP="00740627">
            <w:pPr>
              <w:spacing w:before="40" w:after="40"/>
              <w:rPr>
                <w:rFonts w:ascii="Arial" w:hAnsi="Arial" w:cs="Arial"/>
                <w:color w:val="FFFFFF" w:themeColor="background1"/>
                <w:sz w:val="20"/>
                <w:szCs w:val="20"/>
              </w:rPr>
            </w:pPr>
          </w:p>
        </w:tc>
        <w:tc>
          <w:tcPr>
            <w:tcW w:w="5262" w:type="dxa"/>
            <w:gridSpan w:val="2"/>
            <w:shd w:val="clear" w:color="auto" w:fill="4F81BD" w:themeFill="accent1"/>
            <w:vAlign w:val="center"/>
            <w:hideMark/>
          </w:tcPr>
          <w:p w14:paraId="6B71C945" w14:textId="77777777"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themeColor="background1"/>
                <w:sz w:val="20"/>
                <w:szCs w:val="20"/>
              </w:rPr>
              <w:t>%</w:t>
            </w:r>
          </w:p>
        </w:tc>
        <w:tc>
          <w:tcPr>
            <w:tcW w:w="1979" w:type="dxa"/>
            <w:shd w:val="clear" w:color="auto" w:fill="4F81BD" w:themeFill="accent1"/>
            <w:vAlign w:val="center"/>
          </w:tcPr>
          <w:p w14:paraId="07434AE4" w14:textId="157D3FCA" w:rsidR="001445EC" w:rsidRPr="005045BF" w:rsidRDefault="001445EC" w:rsidP="00740627">
            <w:pPr>
              <w:spacing w:before="40" w:after="4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FFFFFF" w:themeColor="background1"/>
                <w:sz w:val="20"/>
                <w:szCs w:val="20"/>
              </w:rPr>
            </w:pPr>
            <w:r w:rsidRPr="005045BF">
              <w:rPr>
                <w:rFonts w:ascii="Arial" w:hAnsi="Arial" w:cs="Arial"/>
                <w:b/>
                <w:bCs/>
                <w:color w:val="FFFFFF"/>
                <w:sz w:val="20"/>
                <w:szCs w:val="20"/>
              </w:rPr>
              <w:t>11%</w:t>
            </w:r>
          </w:p>
        </w:tc>
      </w:tr>
    </w:tbl>
    <w:p w14:paraId="780C411D" w14:textId="77777777" w:rsidR="009778CD" w:rsidRPr="005045BF" w:rsidRDefault="009778CD" w:rsidP="006343F0">
      <w:pPr>
        <w:jc w:val="both"/>
        <w:rPr>
          <w:rFonts w:ascii="Arial" w:hAnsi="Arial" w:cs="Arial"/>
          <w:sz w:val="22"/>
          <w:szCs w:val="22"/>
          <w:highlight w:val="yellow"/>
        </w:rPr>
      </w:pPr>
    </w:p>
    <w:p w14:paraId="0584D94A" w14:textId="02656FA6" w:rsidR="000F014A" w:rsidRPr="005045BF" w:rsidRDefault="002E7979" w:rsidP="006343F0">
      <w:pPr>
        <w:jc w:val="both"/>
        <w:rPr>
          <w:rFonts w:ascii="Arial" w:hAnsi="Arial" w:cs="Arial"/>
          <w:sz w:val="22"/>
          <w:szCs w:val="22"/>
        </w:rPr>
      </w:pPr>
      <w:r w:rsidRPr="005045BF">
        <w:rPr>
          <w:rFonts w:ascii="Arial" w:hAnsi="Arial" w:cs="Arial"/>
          <w:sz w:val="22"/>
          <w:szCs w:val="22"/>
        </w:rPr>
        <w:t>D</w:t>
      </w:r>
      <w:r w:rsidR="002D2231" w:rsidRPr="005045BF">
        <w:rPr>
          <w:rFonts w:ascii="Arial" w:hAnsi="Arial" w:cs="Arial"/>
          <w:sz w:val="22"/>
          <w:szCs w:val="22"/>
        </w:rPr>
        <w:t xml:space="preserve">e lo antes expuesto, se obtuvo como resultado que </w:t>
      </w:r>
      <w:r w:rsidR="000A0841" w:rsidRPr="005045BF">
        <w:rPr>
          <w:rFonts w:ascii="Arial" w:hAnsi="Arial" w:cs="Arial"/>
          <w:sz w:val="22"/>
          <w:szCs w:val="22"/>
        </w:rPr>
        <w:t>el consumo de agua</w:t>
      </w:r>
      <w:r w:rsidR="00135E0F" w:rsidRPr="005045BF">
        <w:rPr>
          <w:rFonts w:ascii="Arial" w:hAnsi="Arial" w:cs="Arial"/>
          <w:sz w:val="22"/>
          <w:szCs w:val="22"/>
        </w:rPr>
        <w:t xml:space="preserve"> en metros </w:t>
      </w:r>
      <w:r w:rsidR="007D11A1" w:rsidRPr="005045BF">
        <w:rPr>
          <w:rFonts w:ascii="Arial" w:hAnsi="Arial" w:cs="Arial"/>
          <w:sz w:val="22"/>
          <w:szCs w:val="22"/>
        </w:rPr>
        <w:t>cúbicos para</w:t>
      </w:r>
      <w:r w:rsidR="000A0841" w:rsidRPr="005045BF">
        <w:rPr>
          <w:rFonts w:ascii="Arial" w:hAnsi="Arial" w:cs="Arial"/>
          <w:sz w:val="22"/>
          <w:szCs w:val="22"/>
        </w:rPr>
        <w:t xml:space="preserve"> la</w:t>
      </w:r>
      <w:r w:rsidR="005407DA" w:rsidRPr="005045BF">
        <w:rPr>
          <w:rFonts w:ascii="Arial" w:hAnsi="Arial" w:cs="Arial"/>
          <w:sz w:val="22"/>
          <w:szCs w:val="22"/>
        </w:rPr>
        <w:t xml:space="preserve"> sede San Agustín </w:t>
      </w:r>
      <w:r w:rsidR="007D11A1" w:rsidRPr="005045BF">
        <w:rPr>
          <w:rFonts w:ascii="Arial" w:hAnsi="Arial" w:cs="Arial"/>
          <w:sz w:val="22"/>
          <w:szCs w:val="22"/>
        </w:rPr>
        <w:t xml:space="preserve">presentó un </w:t>
      </w:r>
      <w:r w:rsidR="007D11A1" w:rsidRPr="005045BF">
        <w:rPr>
          <w:rFonts w:ascii="Arial" w:hAnsi="Arial" w:cs="Arial"/>
          <w:b/>
          <w:bCs/>
          <w:sz w:val="22"/>
          <w:szCs w:val="22"/>
        </w:rPr>
        <w:t>incremento</w:t>
      </w:r>
      <w:r w:rsidR="007D11A1" w:rsidRPr="005045BF">
        <w:rPr>
          <w:rFonts w:ascii="Arial" w:hAnsi="Arial" w:cs="Arial"/>
          <w:sz w:val="22"/>
          <w:szCs w:val="22"/>
        </w:rPr>
        <w:t xml:space="preserve"> de </w:t>
      </w:r>
      <w:r w:rsidR="00AC04BA" w:rsidRPr="005045BF">
        <w:rPr>
          <w:rFonts w:ascii="Arial" w:hAnsi="Arial" w:cs="Arial"/>
          <w:sz w:val="22"/>
          <w:szCs w:val="22"/>
        </w:rPr>
        <w:t>230</w:t>
      </w:r>
      <w:r w:rsidR="007D11A1" w:rsidRPr="005045BF">
        <w:rPr>
          <w:rFonts w:ascii="Arial" w:hAnsi="Arial" w:cs="Arial"/>
          <w:sz w:val="22"/>
          <w:szCs w:val="22"/>
        </w:rPr>
        <w:t xml:space="preserve"> m</w:t>
      </w:r>
      <w:r w:rsidR="007D11A1" w:rsidRPr="005045BF">
        <w:rPr>
          <w:rFonts w:ascii="Arial" w:hAnsi="Arial" w:cs="Arial"/>
          <w:sz w:val="22"/>
          <w:szCs w:val="22"/>
          <w:vertAlign w:val="superscript"/>
        </w:rPr>
        <w:t>3</w:t>
      </w:r>
      <w:r w:rsidR="007D11A1" w:rsidRPr="005045BF">
        <w:rPr>
          <w:rFonts w:ascii="Arial" w:hAnsi="Arial" w:cs="Arial"/>
          <w:sz w:val="22"/>
          <w:szCs w:val="22"/>
        </w:rPr>
        <w:t xml:space="preserve"> representando un </w:t>
      </w:r>
      <w:r w:rsidR="00AC04BA" w:rsidRPr="005045BF">
        <w:rPr>
          <w:rFonts w:ascii="Arial" w:hAnsi="Arial" w:cs="Arial"/>
          <w:sz w:val="22"/>
          <w:szCs w:val="22"/>
        </w:rPr>
        <w:t>6</w:t>
      </w:r>
      <w:r w:rsidR="007D11A1" w:rsidRPr="005045BF">
        <w:rPr>
          <w:rFonts w:ascii="Arial" w:hAnsi="Arial" w:cs="Arial"/>
          <w:sz w:val="22"/>
          <w:szCs w:val="22"/>
        </w:rPr>
        <w:t>%. Para la S</w:t>
      </w:r>
      <w:r w:rsidR="006343F0" w:rsidRPr="005045BF">
        <w:rPr>
          <w:rFonts w:ascii="Arial" w:hAnsi="Arial" w:cs="Arial"/>
          <w:sz w:val="22"/>
          <w:szCs w:val="22"/>
        </w:rPr>
        <w:t xml:space="preserve">ede Casas de Santa Bárbara </w:t>
      </w:r>
      <w:r w:rsidR="007D11A1" w:rsidRPr="005045BF">
        <w:rPr>
          <w:rFonts w:ascii="Arial" w:hAnsi="Arial" w:cs="Arial"/>
          <w:sz w:val="22"/>
          <w:szCs w:val="22"/>
        </w:rPr>
        <w:t xml:space="preserve">se observó un </w:t>
      </w:r>
      <w:r w:rsidR="00AC04BA" w:rsidRPr="005045BF">
        <w:rPr>
          <w:rFonts w:ascii="Arial" w:hAnsi="Arial" w:cs="Arial"/>
          <w:b/>
          <w:bCs/>
          <w:sz w:val="22"/>
          <w:szCs w:val="22"/>
        </w:rPr>
        <w:t>aumento</w:t>
      </w:r>
      <w:r w:rsidR="00AC04BA" w:rsidRPr="005045BF">
        <w:rPr>
          <w:rFonts w:ascii="Arial" w:hAnsi="Arial" w:cs="Arial"/>
          <w:sz w:val="22"/>
          <w:szCs w:val="22"/>
        </w:rPr>
        <w:t xml:space="preserve"> </w:t>
      </w:r>
      <w:r w:rsidR="007D11A1" w:rsidRPr="005045BF">
        <w:rPr>
          <w:rFonts w:ascii="Arial" w:hAnsi="Arial" w:cs="Arial"/>
          <w:sz w:val="22"/>
          <w:szCs w:val="22"/>
        </w:rPr>
        <w:t xml:space="preserve">de </w:t>
      </w:r>
      <w:r w:rsidR="00AC04BA" w:rsidRPr="005045BF">
        <w:rPr>
          <w:rFonts w:ascii="Arial" w:hAnsi="Arial" w:cs="Arial"/>
          <w:sz w:val="22"/>
          <w:szCs w:val="22"/>
        </w:rPr>
        <w:t xml:space="preserve">80 </w:t>
      </w:r>
      <w:r w:rsidR="007D11A1" w:rsidRPr="005045BF">
        <w:rPr>
          <w:rFonts w:ascii="Arial" w:hAnsi="Arial" w:cs="Arial"/>
          <w:sz w:val="22"/>
          <w:szCs w:val="22"/>
        </w:rPr>
        <w:t>m</w:t>
      </w:r>
      <w:r w:rsidR="007D11A1" w:rsidRPr="005045BF">
        <w:rPr>
          <w:rFonts w:ascii="Arial" w:hAnsi="Arial" w:cs="Arial"/>
          <w:sz w:val="22"/>
          <w:szCs w:val="22"/>
          <w:vertAlign w:val="superscript"/>
        </w:rPr>
        <w:t>3</w:t>
      </w:r>
      <w:r w:rsidR="007D11A1" w:rsidRPr="005045BF">
        <w:rPr>
          <w:rFonts w:ascii="Arial" w:hAnsi="Arial" w:cs="Arial"/>
          <w:sz w:val="22"/>
          <w:szCs w:val="22"/>
        </w:rPr>
        <w:t xml:space="preserve"> equivalente a un 1</w:t>
      </w:r>
      <w:r w:rsidR="00AC04BA" w:rsidRPr="005045BF">
        <w:rPr>
          <w:rFonts w:ascii="Arial" w:hAnsi="Arial" w:cs="Arial"/>
          <w:sz w:val="22"/>
          <w:szCs w:val="22"/>
        </w:rPr>
        <w:t>1</w:t>
      </w:r>
      <w:r w:rsidR="007D11A1" w:rsidRPr="005045BF">
        <w:rPr>
          <w:rFonts w:ascii="Arial" w:hAnsi="Arial" w:cs="Arial"/>
          <w:sz w:val="22"/>
          <w:szCs w:val="22"/>
        </w:rPr>
        <w:t xml:space="preserve">%. </w:t>
      </w:r>
      <w:r w:rsidR="006343F0" w:rsidRPr="005045BF">
        <w:rPr>
          <w:rFonts w:ascii="Arial" w:hAnsi="Arial" w:cs="Arial"/>
          <w:sz w:val="22"/>
          <w:szCs w:val="22"/>
        </w:rPr>
        <w:t xml:space="preserve"> </w:t>
      </w:r>
    </w:p>
    <w:p w14:paraId="0878EB21" w14:textId="77777777" w:rsidR="005F4583" w:rsidRPr="005045BF" w:rsidRDefault="005F4583" w:rsidP="003C7E03">
      <w:pPr>
        <w:spacing w:line="168" w:lineRule="auto"/>
        <w:jc w:val="both"/>
        <w:rPr>
          <w:rFonts w:ascii="Arial" w:hAnsi="Arial" w:cs="Arial"/>
          <w:sz w:val="22"/>
          <w:szCs w:val="22"/>
        </w:rPr>
      </w:pPr>
    </w:p>
    <w:p w14:paraId="24F008A4" w14:textId="19C298B8" w:rsidR="00D75892" w:rsidRPr="005045BF" w:rsidRDefault="007C7256" w:rsidP="00D75892">
      <w:pPr>
        <w:jc w:val="both"/>
        <w:rPr>
          <w:rFonts w:ascii="Arial" w:hAnsi="Arial" w:cs="Arial"/>
          <w:color w:val="000000"/>
          <w:sz w:val="22"/>
          <w:szCs w:val="22"/>
        </w:rPr>
      </w:pPr>
      <w:r w:rsidRPr="005045BF">
        <w:rPr>
          <w:rFonts w:ascii="Arial" w:hAnsi="Arial" w:cs="Arial"/>
          <w:sz w:val="22"/>
          <w:szCs w:val="22"/>
        </w:rPr>
        <w:t>D</w:t>
      </w:r>
      <w:r w:rsidR="00B21D78" w:rsidRPr="005045BF">
        <w:rPr>
          <w:rFonts w:ascii="Arial" w:hAnsi="Arial" w:cs="Arial"/>
          <w:sz w:val="22"/>
          <w:szCs w:val="22"/>
        </w:rPr>
        <w:t xml:space="preserve">e acuerdo con </w:t>
      </w:r>
      <w:r w:rsidR="00F93DAE" w:rsidRPr="005045BF">
        <w:rPr>
          <w:rFonts w:ascii="Arial" w:hAnsi="Arial" w:cs="Arial"/>
          <w:sz w:val="22"/>
          <w:szCs w:val="22"/>
        </w:rPr>
        <w:t xml:space="preserve">lo informado </w:t>
      </w:r>
      <w:r w:rsidR="00637F30" w:rsidRPr="005045BF">
        <w:rPr>
          <w:rFonts w:ascii="Arial" w:hAnsi="Arial" w:cs="Arial"/>
          <w:sz w:val="22"/>
          <w:szCs w:val="22"/>
        </w:rPr>
        <w:t xml:space="preserve">por la </w:t>
      </w:r>
      <w:r w:rsidR="008369D1" w:rsidRPr="005045BF">
        <w:rPr>
          <w:rFonts w:ascii="Arial" w:hAnsi="Arial" w:cs="Arial"/>
          <w:sz w:val="22"/>
          <w:szCs w:val="22"/>
        </w:rPr>
        <w:t>Subdirección de</w:t>
      </w:r>
      <w:r w:rsidR="00637F30" w:rsidRPr="005045BF">
        <w:rPr>
          <w:rFonts w:ascii="Arial" w:hAnsi="Arial" w:cs="Arial"/>
          <w:sz w:val="22"/>
          <w:szCs w:val="22"/>
        </w:rPr>
        <w:t xml:space="preserve"> Servicios</w:t>
      </w:r>
      <w:r w:rsidRPr="005045BF">
        <w:rPr>
          <w:rFonts w:ascii="Arial" w:hAnsi="Arial" w:cs="Arial"/>
          <w:sz w:val="22"/>
          <w:szCs w:val="22"/>
        </w:rPr>
        <w:t>,</w:t>
      </w:r>
      <w:r w:rsidR="00637F30" w:rsidRPr="005045BF">
        <w:rPr>
          <w:rFonts w:ascii="Arial" w:hAnsi="Arial" w:cs="Arial"/>
          <w:sz w:val="22"/>
          <w:szCs w:val="22"/>
        </w:rPr>
        <w:t xml:space="preserve"> </w:t>
      </w:r>
      <w:r w:rsidR="00F95C08" w:rsidRPr="005045BF">
        <w:rPr>
          <w:rFonts w:ascii="Arial" w:hAnsi="Arial" w:cs="Arial"/>
          <w:sz w:val="22"/>
          <w:szCs w:val="22"/>
        </w:rPr>
        <w:t xml:space="preserve">el incremento presentado en la sede de San Agustín obedeció </w:t>
      </w:r>
      <w:r w:rsidR="005361EB" w:rsidRPr="005045BF">
        <w:rPr>
          <w:rFonts w:ascii="Arial" w:hAnsi="Arial" w:cs="Arial"/>
          <w:color w:val="000000"/>
          <w:sz w:val="22"/>
          <w:szCs w:val="22"/>
        </w:rPr>
        <w:t xml:space="preserve">en parte </w:t>
      </w:r>
      <w:r w:rsidR="00F93DAE" w:rsidRPr="005045BF">
        <w:rPr>
          <w:rFonts w:ascii="Arial" w:hAnsi="Arial" w:cs="Arial"/>
          <w:color w:val="000000"/>
          <w:sz w:val="22"/>
          <w:szCs w:val="22"/>
        </w:rPr>
        <w:t>a la labor</w:t>
      </w:r>
      <w:r w:rsidR="00D75892" w:rsidRPr="005045BF">
        <w:rPr>
          <w:rFonts w:ascii="Arial" w:hAnsi="Arial" w:cs="Arial"/>
          <w:color w:val="000000"/>
          <w:sz w:val="22"/>
          <w:szCs w:val="22"/>
        </w:rPr>
        <w:t xml:space="preserve"> de</w:t>
      </w:r>
      <w:r w:rsidR="00F93DAE" w:rsidRPr="005045BF">
        <w:rPr>
          <w:rFonts w:ascii="Arial" w:hAnsi="Arial" w:cs="Arial"/>
          <w:color w:val="000000"/>
          <w:sz w:val="22"/>
          <w:szCs w:val="22"/>
        </w:rPr>
        <w:t xml:space="preserve"> </w:t>
      </w:r>
      <w:r w:rsidR="00D75892" w:rsidRPr="005045BF">
        <w:rPr>
          <w:rFonts w:ascii="Arial" w:hAnsi="Arial" w:cs="Arial"/>
          <w:color w:val="000000"/>
          <w:sz w:val="22"/>
          <w:szCs w:val="22"/>
        </w:rPr>
        <w:t xml:space="preserve">lavado y desinfección de dos tanques de agua potable. Por otra parte, el mantenimiento de las bombas de suministro de agua potable generó que los </w:t>
      </w:r>
      <w:r w:rsidR="009819E6" w:rsidRPr="005045BF">
        <w:rPr>
          <w:rFonts w:ascii="Arial" w:hAnsi="Arial" w:cs="Arial"/>
          <w:color w:val="000000"/>
          <w:sz w:val="22"/>
          <w:szCs w:val="22"/>
        </w:rPr>
        <w:t>di</w:t>
      </w:r>
      <w:r w:rsidR="009819E6">
        <w:rPr>
          <w:rFonts w:ascii="Arial" w:hAnsi="Arial" w:cs="Arial"/>
          <w:color w:val="000000"/>
          <w:sz w:val="22"/>
          <w:szCs w:val="22"/>
        </w:rPr>
        <w:t>a</w:t>
      </w:r>
      <w:r w:rsidR="009819E6" w:rsidRPr="005045BF">
        <w:rPr>
          <w:rFonts w:ascii="Arial" w:hAnsi="Arial" w:cs="Arial"/>
          <w:color w:val="000000"/>
          <w:sz w:val="22"/>
          <w:szCs w:val="22"/>
        </w:rPr>
        <w:t>fragmas</w:t>
      </w:r>
      <w:r w:rsidR="00D75892" w:rsidRPr="005045BF">
        <w:rPr>
          <w:rFonts w:ascii="Arial" w:hAnsi="Arial" w:cs="Arial"/>
          <w:color w:val="000000"/>
          <w:sz w:val="22"/>
          <w:szCs w:val="22"/>
        </w:rPr>
        <w:t xml:space="preserve"> de</w:t>
      </w:r>
      <w:r w:rsidR="009819E6">
        <w:rPr>
          <w:rFonts w:ascii="Arial" w:hAnsi="Arial" w:cs="Arial"/>
          <w:color w:val="000000"/>
          <w:sz w:val="22"/>
          <w:szCs w:val="22"/>
        </w:rPr>
        <w:t>l</w:t>
      </w:r>
      <w:r w:rsidR="00D75892" w:rsidRPr="005045BF">
        <w:rPr>
          <w:rFonts w:ascii="Arial" w:hAnsi="Arial" w:cs="Arial"/>
          <w:color w:val="000000"/>
          <w:sz w:val="22"/>
          <w:szCs w:val="22"/>
        </w:rPr>
        <w:t xml:space="preserve"> sistema de desagüe de baños y lavamanos se descalibrar</w:t>
      </w:r>
      <w:r w:rsidR="009819E6">
        <w:rPr>
          <w:rFonts w:ascii="Arial" w:hAnsi="Arial" w:cs="Arial"/>
          <w:color w:val="000000"/>
          <w:sz w:val="22"/>
          <w:szCs w:val="22"/>
        </w:rPr>
        <w:t>o</w:t>
      </w:r>
      <w:r w:rsidR="00D75892" w:rsidRPr="005045BF">
        <w:rPr>
          <w:rFonts w:ascii="Arial" w:hAnsi="Arial" w:cs="Arial"/>
          <w:color w:val="000000"/>
          <w:sz w:val="22"/>
          <w:szCs w:val="22"/>
        </w:rPr>
        <w:t>n, en consecuencia, lo antes descrito contribuy</w:t>
      </w:r>
      <w:r w:rsidR="009819E6">
        <w:rPr>
          <w:rFonts w:ascii="Arial" w:hAnsi="Arial" w:cs="Arial"/>
          <w:color w:val="000000"/>
          <w:sz w:val="22"/>
          <w:szCs w:val="22"/>
        </w:rPr>
        <w:t>ó</w:t>
      </w:r>
      <w:r w:rsidR="00D75892" w:rsidRPr="005045BF">
        <w:rPr>
          <w:rFonts w:ascii="Arial" w:hAnsi="Arial" w:cs="Arial"/>
          <w:color w:val="000000"/>
          <w:sz w:val="22"/>
          <w:szCs w:val="22"/>
        </w:rPr>
        <w:t xml:space="preserve"> a los incrementos de metros cúbicos presentados. Es de aclarar que, los respectivos correctivos fueron realizado</w:t>
      </w:r>
      <w:r w:rsidR="009819E6">
        <w:rPr>
          <w:rFonts w:ascii="Arial" w:hAnsi="Arial" w:cs="Arial"/>
          <w:color w:val="000000"/>
          <w:sz w:val="22"/>
          <w:szCs w:val="22"/>
        </w:rPr>
        <w:t>s</w:t>
      </w:r>
      <w:r w:rsidR="00D75892" w:rsidRPr="005045BF">
        <w:rPr>
          <w:rFonts w:ascii="Arial" w:hAnsi="Arial" w:cs="Arial"/>
          <w:color w:val="000000"/>
          <w:sz w:val="22"/>
          <w:szCs w:val="22"/>
        </w:rPr>
        <w:t xml:space="preserve">. </w:t>
      </w:r>
    </w:p>
    <w:p w14:paraId="380484E9" w14:textId="77777777" w:rsidR="00D75892" w:rsidRPr="005045BF" w:rsidRDefault="00D75892" w:rsidP="003C7E03">
      <w:pPr>
        <w:spacing w:line="168" w:lineRule="auto"/>
        <w:jc w:val="both"/>
        <w:rPr>
          <w:rFonts w:ascii="Arial" w:hAnsi="Arial" w:cs="Arial"/>
          <w:color w:val="000000"/>
          <w:sz w:val="22"/>
          <w:szCs w:val="22"/>
        </w:rPr>
      </w:pPr>
    </w:p>
    <w:p w14:paraId="08BED911" w14:textId="51B3C226" w:rsidR="00D75892" w:rsidRPr="005045BF" w:rsidRDefault="007A2A23" w:rsidP="00D75892">
      <w:pPr>
        <w:jc w:val="both"/>
        <w:rPr>
          <w:rFonts w:ascii="Arial" w:hAnsi="Arial" w:cs="Arial"/>
          <w:color w:val="000000"/>
          <w:sz w:val="22"/>
          <w:szCs w:val="22"/>
        </w:rPr>
      </w:pPr>
      <w:r w:rsidRPr="005045BF">
        <w:rPr>
          <w:rFonts w:ascii="Arial" w:hAnsi="Arial" w:cs="Arial"/>
          <w:color w:val="000000"/>
          <w:sz w:val="22"/>
          <w:szCs w:val="22"/>
        </w:rPr>
        <w:t xml:space="preserve">Para la </w:t>
      </w:r>
      <w:r w:rsidR="00D75892" w:rsidRPr="005045BF">
        <w:rPr>
          <w:rFonts w:ascii="Arial" w:hAnsi="Arial" w:cs="Arial"/>
          <w:color w:val="000000"/>
          <w:sz w:val="22"/>
          <w:szCs w:val="22"/>
        </w:rPr>
        <w:t>sede de Casas de Santa Bárbara</w:t>
      </w:r>
      <w:r w:rsidRPr="005045BF">
        <w:rPr>
          <w:rFonts w:ascii="Arial" w:hAnsi="Arial" w:cs="Arial"/>
          <w:color w:val="000000"/>
          <w:sz w:val="22"/>
          <w:szCs w:val="22"/>
        </w:rPr>
        <w:t xml:space="preserve">, </w:t>
      </w:r>
      <w:r w:rsidR="002C5CCB" w:rsidRPr="005045BF">
        <w:rPr>
          <w:rFonts w:ascii="Arial" w:hAnsi="Arial" w:cs="Arial"/>
          <w:color w:val="000000"/>
          <w:sz w:val="22"/>
          <w:szCs w:val="22"/>
        </w:rPr>
        <w:t xml:space="preserve">el </w:t>
      </w:r>
      <w:r w:rsidR="00D75892" w:rsidRPr="005045BF">
        <w:rPr>
          <w:rFonts w:ascii="Arial" w:hAnsi="Arial" w:cs="Arial"/>
          <w:color w:val="000000"/>
          <w:sz w:val="22"/>
          <w:szCs w:val="22"/>
        </w:rPr>
        <w:t xml:space="preserve">incremento </w:t>
      </w:r>
      <w:r w:rsidR="002C5CCB" w:rsidRPr="005045BF">
        <w:rPr>
          <w:rFonts w:ascii="Arial" w:hAnsi="Arial" w:cs="Arial"/>
          <w:color w:val="000000"/>
          <w:sz w:val="22"/>
          <w:szCs w:val="22"/>
        </w:rPr>
        <w:t>presentado</w:t>
      </w:r>
      <w:r w:rsidR="00CE7AD6" w:rsidRPr="005045BF">
        <w:rPr>
          <w:rFonts w:ascii="Arial" w:hAnsi="Arial" w:cs="Arial"/>
          <w:color w:val="000000"/>
          <w:sz w:val="22"/>
          <w:szCs w:val="22"/>
        </w:rPr>
        <w:t xml:space="preserve"> al igual que la sede de San Agustín</w:t>
      </w:r>
      <w:r w:rsidR="006543F5" w:rsidRPr="005045BF">
        <w:rPr>
          <w:rFonts w:ascii="Arial" w:hAnsi="Arial" w:cs="Arial"/>
          <w:color w:val="000000"/>
          <w:sz w:val="22"/>
          <w:szCs w:val="22"/>
        </w:rPr>
        <w:t xml:space="preserve">, </w:t>
      </w:r>
      <w:r w:rsidR="00CE7AD6" w:rsidRPr="005045BF">
        <w:rPr>
          <w:rFonts w:ascii="Arial" w:hAnsi="Arial" w:cs="Arial"/>
          <w:color w:val="000000"/>
          <w:sz w:val="22"/>
          <w:szCs w:val="22"/>
        </w:rPr>
        <w:t>obedeció en parte al lavado</w:t>
      </w:r>
      <w:r w:rsidR="00D75892" w:rsidRPr="005045BF">
        <w:rPr>
          <w:rFonts w:ascii="Arial" w:hAnsi="Arial" w:cs="Arial"/>
          <w:color w:val="000000"/>
          <w:sz w:val="22"/>
          <w:szCs w:val="22"/>
        </w:rPr>
        <w:t xml:space="preserve"> y </w:t>
      </w:r>
      <w:r w:rsidR="00CE7AD6" w:rsidRPr="005045BF">
        <w:rPr>
          <w:rFonts w:ascii="Arial" w:hAnsi="Arial" w:cs="Arial"/>
          <w:color w:val="000000"/>
          <w:sz w:val="22"/>
          <w:szCs w:val="22"/>
        </w:rPr>
        <w:t>desinfección</w:t>
      </w:r>
      <w:r w:rsidR="006543F5" w:rsidRPr="005045BF">
        <w:rPr>
          <w:rFonts w:ascii="Arial" w:hAnsi="Arial" w:cs="Arial"/>
          <w:color w:val="000000"/>
          <w:sz w:val="22"/>
          <w:szCs w:val="22"/>
        </w:rPr>
        <w:t xml:space="preserve"> </w:t>
      </w:r>
      <w:r w:rsidR="00D75892" w:rsidRPr="005045BF">
        <w:rPr>
          <w:rFonts w:ascii="Arial" w:hAnsi="Arial" w:cs="Arial"/>
          <w:color w:val="000000"/>
          <w:sz w:val="22"/>
          <w:szCs w:val="22"/>
        </w:rPr>
        <w:t>del tanque de almacenamiento de agua potable</w:t>
      </w:r>
      <w:r w:rsidR="006543F5" w:rsidRPr="005045BF">
        <w:rPr>
          <w:rFonts w:ascii="Arial" w:hAnsi="Arial" w:cs="Arial"/>
          <w:color w:val="000000"/>
          <w:sz w:val="22"/>
          <w:szCs w:val="22"/>
        </w:rPr>
        <w:t>,</w:t>
      </w:r>
      <w:r w:rsidR="00D75892" w:rsidRPr="005045BF">
        <w:rPr>
          <w:rFonts w:ascii="Arial" w:hAnsi="Arial" w:cs="Arial"/>
          <w:color w:val="000000"/>
          <w:sz w:val="22"/>
          <w:szCs w:val="22"/>
        </w:rPr>
        <w:t xml:space="preserve"> </w:t>
      </w:r>
      <w:r w:rsidR="006543F5" w:rsidRPr="005045BF">
        <w:rPr>
          <w:rFonts w:ascii="Arial" w:hAnsi="Arial" w:cs="Arial"/>
          <w:color w:val="000000"/>
          <w:sz w:val="22"/>
          <w:szCs w:val="22"/>
        </w:rPr>
        <w:t xml:space="preserve">así </w:t>
      </w:r>
      <w:r w:rsidR="00D75892" w:rsidRPr="005045BF">
        <w:rPr>
          <w:rFonts w:ascii="Arial" w:hAnsi="Arial" w:cs="Arial"/>
          <w:color w:val="000000"/>
          <w:sz w:val="22"/>
          <w:szCs w:val="22"/>
        </w:rPr>
        <w:t>como</w:t>
      </w:r>
      <w:r w:rsidR="006543F5" w:rsidRPr="005045BF">
        <w:rPr>
          <w:rFonts w:ascii="Arial" w:hAnsi="Arial" w:cs="Arial"/>
          <w:color w:val="000000"/>
          <w:sz w:val="22"/>
          <w:szCs w:val="22"/>
        </w:rPr>
        <w:t xml:space="preserve">, </w:t>
      </w:r>
      <w:r w:rsidR="00D75892" w:rsidRPr="005045BF">
        <w:rPr>
          <w:rFonts w:ascii="Arial" w:hAnsi="Arial" w:cs="Arial"/>
          <w:color w:val="000000"/>
          <w:sz w:val="22"/>
          <w:szCs w:val="22"/>
        </w:rPr>
        <w:t xml:space="preserve">el aumento del uso de baños de dicha sede por el </w:t>
      </w:r>
      <w:r w:rsidR="00B02ABD" w:rsidRPr="005045BF">
        <w:rPr>
          <w:rFonts w:ascii="Arial" w:hAnsi="Arial" w:cs="Arial"/>
          <w:color w:val="000000"/>
          <w:sz w:val="22"/>
          <w:szCs w:val="22"/>
        </w:rPr>
        <w:t>personal</w:t>
      </w:r>
      <w:r w:rsidR="00D75892" w:rsidRPr="005045BF">
        <w:rPr>
          <w:rFonts w:ascii="Arial" w:hAnsi="Arial" w:cs="Arial"/>
          <w:color w:val="000000"/>
          <w:sz w:val="22"/>
          <w:szCs w:val="22"/>
        </w:rPr>
        <w:t xml:space="preserve"> del edifico San </w:t>
      </w:r>
      <w:r w:rsidR="00B02ABD" w:rsidRPr="005045BF">
        <w:rPr>
          <w:rFonts w:ascii="Arial" w:hAnsi="Arial" w:cs="Arial"/>
          <w:color w:val="000000"/>
          <w:sz w:val="22"/>
          <w:szCs w:val="22"/>
        </w:rPr>
        <w:t>Agustín</w:t>
      </w:r>
      <w:r w:rsidR="00D75892" w:rsidRPr="005045BF">
        <w:rPr>
          <w:rFonts w:ascii="Arial" w:hAnsi="Arial" w:cs="Arial"/>
          <w:color w:val="000000"/>
          <w:sz w:val="22"/>
          <w:szCs w:val="22"/>
        </w:rPr>
        <w:t xml:space="preserve"> </w:t>
      </w:r>
      <w:r w:rsidR="00B02ABD" w:rsidRPr="005045BF">
        <w:rPr>
          <w:rFonts w:ascii="Arial" w:hAnsi="Arial" w:cs="Arial"/>
          <w:color w:val="000000"/>
          <w:sz w:val="22"/>
          <w:szCs w:val="22"/>
        </w:rPr>
        <w:t xml:space="preserve">derivado de una </w:t>
      </w:r>
      <w:r w:rsidR="00D75892" w:rsidRPr="005045BF">
        <w:rPr>
          <w:rFonts w:ascii="Arial" w:hAnsi="Arial" w:cs="Arial"/>
          <w:color w:val="000000"/>
          <w:sz w:val="22"/>
          <w:szCs w:val="22"/>
        </w:rPr>
        <w:t>contingencia en</w:t>
      </w:r>
      <w:r w:rsidR="009819E6">
        <w:rPr>
          <w:rFonts w:ascii="Arial" w:hAnsi="Arial" w:cs="Arial"/>
          <w:color w:val="000000"/>
          <w:sz w:val="22"/>
          <w:szCs w:val="22"/>
        </w:rPr>
        <w:t xml:space="preserve"> el</w:t>
      </w:r>
      <w:r w:rsidR="00D75892" w:rsidRPr="005045BF">
        <w:rPr>
          <w:rFonts w:ascii="Arial" w:hAnsi="Arial" w:cs="Arial"/>
          <w:color w:val="000000"/>
          <w:sz w:val="22"/>
          <w:szCs w:val="22"/>
        </w:rPr>
        <w:t xml:space="preserve"> suministro de agua potabl</w:t>
      </w:r>
      <w:r w:rsidR="00B02ABD" w:rsidRPr="005045BF">
        <w:rPr>
          <w:rFonts w:ascii="Arial" w:hAnsi="Arial" w:cs="Arial"/>
          <w:color w:val="000000"/>
          <w:sz w:val="22"/>
          <w:szCs w:val="22"/>
        </w:rPr>
        <w:t>e</w:t>
      </w:r>
      <w:r w:rsidR="009819E6">
        <w:rPr>
          <w:rFonts w:ascii="Arial" w:hAnsi="Arial" w:cs="Arial"/>
          <w:color w:val="000000"/>
          <w:sz w:val="22"/>
          <w:szCs w:val="22"/>
        </w:rPr>
        <w:t xml:space="preserve"> en esta última sede mencionada. </w:t>
      </w:r>
    </w:p>
    <w:p w14:paraId="236FE9AB" w14:textId="77777777" w:rsidR="00D77C61" w:rsidRPr="005045BF" w:rsidRDefault="00D77C61" w:rsidP="009819E6">
      <w:pPr>
        <w:jc w:val="both"/>
        <w:rPr>
          <w:rFonts w:ascii="Arial" w:hAnsi="Arial" w:cs="Arial"/>
          <w:sz w:val="22"/>
          <w:szCs w:val="22"/>
          <w:highlight w:val="yellow"/>
        </w:rPr>
      </w:pPr>
    </w:p>
    <w:p w14:paraId="45D03A0E" w14:textId="4B01A9DB" w:rsidR="006F5242" w:rsidRDefault="00EB1B27" w:rsidP="009819E6">
      <w:pPr>
        <w:jc w:val="both"/>
        <w:rPr>
          <w:rFonts w:ascii="Arial" w:hAnsi="Arial" w:cs="Arial"/>
          <w:sz w:val="22"/>
          <w:szCs w:val="22"/>
        </w:rPr>
      </w:pPr>
      <w:r w:rsidRPr="005045BF">
        <w:rPr>
          <w:rFonts w:ascii="Arial" w:hAnsi="Arial" w:cs="Arial"/>
          <w:sz w:val="22"/>
          <w:szCs w:val="22"/>
        </w:rPr>
        <w:t>Conforme a l</w:t>
      </w:r>
      <w:r w:rsidR="00B75F98" w:rsidRPr="005045BF">
        <w:rPr>
          <w:rFonts w:ascii="Arial" w:hAnsi="Arial" w:cs="Arial"/>
          <w:sz w:val="22"/>
          <w:szCs w:val="22"/>
        </w:rPr>
        <w:t>as variaciones obtenidas como resultado de las comparaciones</w:t>
      </w:r>
      <w:r w:rsidR="00E24035" w:rsidRPr="005045BF">
        <w:rPr>
          <w:rFonts w:ascii="Arial" w:hAnsi="Arial" w:cs="Arial"/>
          <w:sz w:val="22"/>
          <w:szCs w:val="22"/>
        </w:rPr>
        <w:t>,</w:t>
      </w:r>
      <w:r w:rsidR="00B75F98" w:rsidRPr="005045BF">
        <w:rPr>
          <w:rFonts w:ascii="Arial" w:hAnsi="Arial" w:cs="Arial"/>
          <w:sz w:val="22"/>
          <w:szCs w:val="22"/>
        </w:rPr>
        <w:t xml:space="preserve"> se puede deducir que </w:t>
      </w:r>
      <w:r w:rsidR="00E24035" w:rsidRPr="005045BF">
        <w:rPr>
          <w:rFonts w:ascii="Arial" w:hAnsi="Arial" w:cs="Arial"/>
          <w:sz w:val="22"/>
          <w:szCs w:val="22"/>
        </w:rPr>
        <w:t>el incremento presentado en la</w:t>
      </w:r>
      <w:r w:rsidR="00337546" w:rsidRPr="005045BF">
        <w:rPr>
          <w:rFonts w:ascii="Arial" w:hAnsi="Arial" w:cs="Arial"/>
          <w:sz w:val="22"/>
          <w:szCs w:val="22"/>
        </w:rPr>
        <w:t>s sedes de este Ministerio [</w:t>
      </w:r>
      <w:r w:rsidR="00E24035" w:rsidRPr="005045BF">
        <w:rPr>
          <w:rFonts w:ascii="Arial" w:hAnsi="Arial" w:cs="Arial"/>
          <w:sz w:val="22"/>
          <w:szCs w:val="22"/>
        </w:rPr>
        <w:t>San Agustín</w:t>
      </w:r>
      <w:r w:rsidR="00337546" w:rsidRPr="005045BF">
        <w:rPr>
          <w:rFonts w:ascii="Arial" w:hAnsi="Arial" w:cs="Arial"/>
          <w:sz w:val="22"/>
          <w:szCs w:val="22"/>
        </w:rPr>
        <w:t xml:space="preserve"> y Casas de Santa Bárbara], </w:t>
      </w:r>
      <w:r w:rsidR="00E24035" w:rsidRPr="005045BF">
        <w:rPr>
          <w:rFonts w:ascii="Arial" w:hAnsi="Arial" w:cs="Arial"/>
          <w:sz w:val="22"/>
          <w:szCs w:val="22"/>
        </w:rPr>
        <w:t xml:space="preserve">referente al </w:t>
      </w:r>
      <w:r w:rsidR="00337546" w:rsidRPr="005045BF">
        <w:rPr>
          <w:rFonts w:ascii="Arial" w:hAnsi="Arial" w:cs="Arial"/>
          <w:sz w:val="22"/>
          <w:szCs w:val="22"/>
        </w:rPr>
        <w:t xml:space="preserve">gasto </w:t>
      </w:r>
      <w:r w:rsidR="00E24035" w:rsidRPr="005045BF">
        <w:rPr>
          <w:rFonts w:ascii="Arial" w:hAnsi="Arial" w:cs="Arial"/>
          <w:sz w:val="22"/>
          <w:szCs w:val="22"/>
        </w:rPr>
        <w:t>del servicio de acueducto en parte estaría relacionada con el aumento en el consumo en metros cúbico</w:t>
      </w:r>
      <w:r w:rsidR="00337546" w:rsidRPr="005045BF">
        <w:rPr>
          <w:rFonts w:ascii="Arial" w:hAnsi="Arial" w:cs="Arial"/>
          <w:sz w:val="22"/>
          <w:szCs w:val="22"/>
        </w:rPr>
        <w:t>s</w:t>
      </w:r>
      <w:r w:rsidR="0059786B" w:rsidRPr="005045BF">
        <w:rPr>
          <w:rFonts w:ascii="Arial" w:hAnsi="Arial" w:cs="Arial"/>
          <w:sz w:val="22"/>
          <w:szCs w:val="22"/>
        </w:rPr>
        <w:t>, teniendo en cuenta que</w:t>
      </w:r>
      <w:r w:rsidR="009819E6">
        <w:rPr>
          <w:rFonts w:ascii="Arial" w:hAnsi="Arial" w:cs="Arial"/>
          <w:sz w:val="22"/>
          <w:szCs w:val="22"/>
        </w:rPr>
        <w:t>,</w:t>
      </w:r>
      <w:r w:rsidR="0059786B" w:rsidRPr="005045BF">
        <w:rPr>
          <w:rFonts w:ascii="Arial" w:hAnsi="Arial" w:cs="Arial"/>
          <w:sz w:val="22"/>
          <w:szCs w:val="22"/>
        </w:rPr>
        <w:t xml:space="preserve"> </w:t>
      </w:r>
      <w:r w:rsidR="009819E6">
        <w:rPr>
          <w:rFonts w:ascii="Arial" w:hAnsi="Arial" w:cs="Arial"/>
          <w:sz w:val="22"/>
          <w:szCs w:val="22"/>
        </w:rPr>
        <w:t xml:space="preserve">en </w:t>
      </w:r>
      <w:r w:rsidR="0059786B" w:rsidRPr="005045BF">
        <w:rPr>
          <w:rFonts w:ascii="Arial" w:hAnsi="Arial" w:cs="Arial"/>
          <w:sz w:val="22"/>
          <w:szCs w:val="22"/>
        </w:rPr>
        <w:t>el periodo analizado se efectu</w:t>
      </w:r>
      <w:r w:rsidR="00337546" w:rsidRPr="005045BF">
        <w:rPr>
          <w:rFonts w:ascii="Arial" w:hAnsi="Arial" w:cs="Arial"/>
          <w:sz w:val="22"/>
          <w:szCs w:val="22"/>
        </w:rPr>
        <w:t xml:space="preserve">aron actividades </w:t>
      </w:r>
      <w:r w:rsidR="009819E6">
        <w:rPr>
          <w:rFonts w:ascii="Arial" w:hAnsi="Arial" w:cs="Arial"/>
          <w:sz w:val="22"/>
          <w:szCs w:val="22"/>
        </w:rPr>
        <w:t xml:space="preserve">relacionadas con </w:t>
      </w:r>
      <w:r w:rsidR="0059786B" w:rsidRPr="005045BF">
        <w:rPr>
          <w:rFonts w:ascii="Arial" w:hAnsi="Arial" w:cs="Arial"/>
          <w:sz w:val="22"/>
          <w:szCs w:val="22"/>
        </w:rPr>
        <w:t xml:space="preserve">el lavado de </w:t>
      </w:r>
      <w:r w:rsidR="00337546" w:rsidRPr="005045BF">
        <w:rPr>
          <w:rFonts w:ascii="Arial" w:hAnsi="Arial" w:cs="Arial"/>
          <w:sz w:val="22"/>
          <w:szCs w:val="22"/>
        </w:rPr>
        <w:t xml:space="preserve">tanques de almacenamiento. De igual forma, se </w:t>
      </w:r>
      <w:r w:rsidR="005F013C" w:rsidRPr="005045BF">
        <w:rPr>
          <w:rFonts w:ascii="Arial" w:hAnsi="Arial" w:cs="Arial"/>
          <w:sz w:val="22"/>
          <w:szCs w:val="22"/>
        </w:rPr>
        <w:t>observó que</w:t>
      </w:r>
      <w:r w:rsidR="00337546" w:rsidRPr="005045BF">
        <w:rPr>
          <w:rFonts w:ascii="Arial" w:hAnsi="Arial" w:cs="Arial"/>
          <w:sz w:val="22"/>
          <w:szCs w:val="22"/>
        </w:rPr>
        <w:t xml:space="preserve"> los aumentos </w:t>
      </w:r>
      <w:r w:rsidR="005F013C" w:rsidRPr="005045BF">
        <w:rPr>
          <w:rFonts w:ascii="Arial" w:hAnsi="Arial" w:cs="Arial"/>
          <w:sz w:val="22"/>
          <w:szCs w:val="22"/>
        </w:rPr>
        <w:t xml:space="preserve">tanto en consumo como el valor </w:t>
      </w:r>
      <w:r w:rsidR="00754799" w:rsidRPr="005045BF">
        <w:rPr>
          <w:rFonts w:ascii="Arial" w:hAnsi="Arial" w:cs="Arial"/>
          <w:sz w:val="22"/>
          <w:szCs w:val="22"/>
        </w:rPr>
        <w:t>del gasto</w:t>
      </w:r>
      <w:r w:rsidR="002319E7" w:rsidRPr="005045BF">
        <w:rPr>
          <w:rFonts w:ascii="Arial" w:hAnsi="Arial" w:cs="Arial"/>
          <w:sz w:val="22"/>
          <w:szCs w:val="22"/>
        </w:rPr>
        <w:t>,</w:t>
      </w:r>
      <w:r w:rsidR="005F013C" w:rsidRPr="005045BF">
        <w:rPr>
          <w:rFonts w:ascii="Arial" w:hAnsi="Arial" w:cs="Arial"/>
          <w:sz w:val="22"/>
          <w:szCs w:val="22"/>
        </w:rPr>
        <w:t xml:space="preserve"> </w:t>
      </w:r>
      <w:r w:rsidR="00337546" w:rsidRPr="005045BF">
        <w:rPr>
          <w:rFonts w:ascii="Arial" w:hAnsi="Arial" w:cs="Arial"/>
          <w:sz w:val="22"/>
          <w:szCs w:val="22"/>
        </w:rPr>
        <w:t xml:space="preserve">se </w:t>
      </w:r>
      <w:r w:rsidR="002319E7" w:rsidRPr="005045BF">
        <w:rPr>
          <w:rFonts w:ascii="Arial" w:hAnsi="Arial" w:cs="Arial"/>
          <w:sz w:val="22"/>
          <w:szCs w:val="22"/>
        </w:rPr>
        <w:t xml:space="preserve">ubicaron </w:t>
      </w:r>
      <w:r w:rsidR="00337546" w:rsidRPr="005045BF">
        <w:rPr>
          <w:rFonts w:ascii="Arial" w:hAnsi="Arial" w:cs="Arial"/>
          <w:sz w:val="22"/>
          <w:szCs w:val="22"/>
        </w:rPr>
        <w:t>en rangos</w:t>
      </w:r>
      <w:r w:rsidR="00FF7B4F" w:rsidRPr="005045BF">
        <w:rPr>
          <w:rFonts w:ascii="Arial" w:hAnsi="Arial" w:cs="Arial"/>
          <w:sz w:val="22"/>
          <w:szCs w:val="22"/>
        </w:rPr>
        <w:t xml:space="preserve"> de variaciones</w:t>
      </w:r>
      <w:r w:rsidR="00601F99" w:rsidRPr="005045BF">
        <w:rPr>
          <w:rFonts w:ascii="Arial" w:hAnsi="Arial" w:cs="Arial"/>
          <w:sz w:val="22"/>
          <w:szCs w:val="22"/>
        </w:rPr>
        <w:t xml:space="preserve"> similares. </w:t>
      </w:r>
      <w:r w:rsidR="00337546" w:rsidRPr="005045BF">
        <w:rPr>
          <w:rFonts w:ascii="Arial" w:hAnsi="Arial" w:cs="Arial"/>
          <w:sz w:val="22"/>
          <w:szCs w:val="22"/>
        </w:rPr>
        <w:t xml:space="preserve"> </w:t>
      </w:r>
      <w:r w:rsidR="00E24035" w:rsidRPr="005045BF">
        <w:rPr>
          <w:rFonts w:ascii="Arial" w:hAnsi="Arial" w:cs="Arial"/>
          <w:sz w:val="22"/>
          <w:szCs w:val="22"/>
        </w:rPr>
        <w:t xml:space="preserve"> </w:t>
      </w:r>
    </w:p>
    <w:p w14:paraId="00B32948" w14:textId="77777777" w:rsidR="009819E6" w:rsidRPr="005045BF" w:rsidRDefault="009819E6" w:rsidP="009819E6">
      <w:pPr>
        <w:spacing w:line="168" w:lineRule="auto"/>
        <w:jc w:val="both"/>
        <w:rPr>
          <w:rFonts w:ascii="Arial" w:hAnsi="Arial" w:cs="Arial"/>
          <w:sz w:val="22"/>
          <w:szCs w:val="22"/>
        </w:rPr>
      </w:pPr>
    </w:p>
    <w:p w14:paraId="5FB904FA" w14:textId="6F470BB5" w:rsidR="006E3B84" w:rsidRPr="005045BF" w:rsidRDefault="009F0613" w:rsidP="006626EB">
      <w:pPr>
        <w:jc w:val="both"/>
        <w:rPr>
          <w:rFonts w:ascii="Arial" w:hAnsi="Arial" w:cs="Arial"/>
          <w:color w:val="000000"/>
          <w:sz w:val="22"/>
          <w:szCs w:val="22"/>
        </w:rPr>
      </w:pPr>
      <w:r w:rsidRPr="005045BF">
        <w:rPr>
          <w:noProof/>
        </w:rPr>
        <w:drawing>
          <wp:inline distT="0" distB="0" distL="0" distR="0" wp14:anchorId="139908EE" wp14:editId="0FECB83E">
            <wp:extent cx="6134100" cy="2359998"/>
            <wp:effectExtent l="0" t="0" r="0" b="2540"/>
            <wp:docPr id="16" name="Gráfico 16">
              <a:extLst xmlns:a="http://schemas.openxmlformats.org/drawingml/2006/main">
                <a:ext uri="{FF2B5EF4-FFF2-40B4-BE49-F238E27FC236}">
                  <a16:creationId xmlns:a16="http://schemas.microsoft.com/office/drawing/2014/main" id="{8825E133-43A1-40DD-8FC5-78BAA2BB53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E0F7793" w14:textId="2075C85D" w:rsidR="006626EB" w:rsidRDefault="00D37F9C" w:rsidP="006626EB">
      <w:pPr>
        <w:jc w:val="both"/>
        <w:rPr>
          <w:rFonts w:ascii="Arial" w:hAnsi="Arial" w:cs="Arial"/>
          <w:color w:val="000000"/>
          <w:sz w:val="22"/>
          <w:szCs w:val="22"/>
        </w:rPr>
      </w:pPr>
      <w:r w:rsidRPr="005045BF">
        <w:rPr>
          <w:rFonts w:ascii="Arial" w:hAnsi="Arial" w:cs="Arial"/>
          <w:color w:val="000000"/>
          <w:sz w:val="22"/>
          <w:szCs w:val="22"/>
        </w:rPr>
        <w:lastRenderedPageBreak/>
        <w:t xml:space="preserve">Finalmente, en </w:t>
      </w:r>
      <w:r w:rsidR="003A1ABD" w:rsidRPr="005045BF">
        <w:rPr>
          <w:rFonts w:ascii="Arial" w:hAnsi="Arial" w:cs="Arial"/>
          <w:color w:val="000000"/>
          <w:sz w:val="22"/>
          <w:szCs w:val="22"/>
        </w:rPr>
        <w:t>términos globales</w:t>
      </w:r>
      <w:r w:rsidRPr="005045BF">
        <w:rPr>
          <w:rFonts w:ascii="Arial" w:hAnsi="Arial" w:cs="Arial"/>
          <w:color w:val="000000"/>
          <w:sz w:val="22"/>
          <w:szCs w:val="22"/>
        </w:rPr>
        <w:t xml:space="preserve"> </w:t>
      </w:r>
      <w:r w:rsidR="003A1ABD" w:rsidRPr="005045BF">
        <w:rPr>
          <w:rFonts w:ascii="Arial" w:hAnsi="Arial" w:cs="Arial"/>
          <w:color w:val="000000"/>
          <w:sz w:val="22"/>
          <w:szCs w:val="22"/>
        </w:rPr>
        <w:t xml:space="preserve">las variaciones establecidas para </w:t>
      </w:r>
      <w:r w:rsidR="009C662E" w:rsidRPr="005045BF">
        <w:rPr>
          <w:rFonts w:ascii="Arial" w:hAnsi="Arial" w:cs="Arial"/>
          <w:color w:val="000000"/>
          <w:sz w:val="22"/>
          <w:szCs w:val="22"/>
        </w:rPr>
        <w:t>el primer trimestre de 2020 c</w:t>
      </w:r>
      <w:r w:rsidR="003A1ABD" w:rsidRPr="005045BF">
        <w:rPr>
          <w:rFonts w:ascii="Arial" w:hAnsi="Arial" w:cs="Arial"/>
          <w:color w:val="000000"/>
          <w:sz w:val="22"/>
          <w:szCs w:val="22"/>
        </w:rPr>
        <w:t>omparada con la vigencia 201</w:t>
      </w:r>
      <w:r w:rsidR="009C662E" w:rsidRPr="005045BF">
        <w:rPr>
          <w:rFonts w:ascii="Arial" w:hAnsi="Arial" w:cs="Arial"/>
          <w:color w:val="000000"/>
          <w:sz w:val="22"/>
          <w:szCs w:val="22"/>
        </w:rPr>
        <w:t>9</w:t>
      </w:r>
      <w:r w:rsidR="003A1ABD" w:rsidRPr="005045BF">
        <w:rPr>
          <w:rFonts w:ascii="Arial" w:hAnsi="Arial" w:cs="Arial"/>
          <w:color w:val="000000"/>
          <w:sz w:val="22"/>
          <w:szCs w:val="22"/>
        </w:rPr>
        <w:t xml:space="preserve"> correspondiente</w:t>
      </w:r>
      <w:r w:rsidR="00AF6FCB">
        <w:rPr>
          <w:rFonts w:ascii="Arial" w:hAnsi="Arial" w:cs="Arial"/>
          <w:color w:val="000000"/>
          <w:sz w:val="22"/>
          <w:szCs w:val="22"/>
        </w:rPr>
        <w:t>s</w:t>
      </w:r>
      <w:r w:rsidR="003A1ABD" w:rsidRPr="005045BF">
        <w:rPr>
          <w:rFonts w:ascii="Arial" w:hAnsi="Arial" w:cs="Arial"/>
          <w:color w:val="000000"/>
          <w:sz w:val="22"/>
          <w:szCs w:val="22"/>
        </w:rPr>
        <w:t xml:space="preserve"> a las dos Sedes de este Ministerio [San Agustín y Casas de Santa Bárbara], el valor del gasto por el servicio de acueducto presentó un </w:t>
      </w:r>
      <w:r w:rsidR="003A1ABD" w:rsidRPr="005045BF">
        <w:rPr>
          <w:rFonts w:ascii="Arial" w:hAnsi="Arial" w:cs="Arial"/>
          <w:b/>
          <w:bCs/>
          <w:color w:val="000000"/>
          <w:sz w:val="22"/>
          <w:szCs w:val="22"/>
        </w:rPr>
        <w:t>incremento</w:t>
      </w:r>
      <w:r w:rsidR="003A1ABD" w:rsidRPr="005045BF">
        <w:rPr>
          <w:rFonts w:ascii="Arial" w:hAnsi="Arial" w:cs="Arial"/>
          <w:color w:val="000000"/>
          <w:sz w:val="22"/>
          <w:szCs w:val="22"/>
        </w:rPr>
        <w:t xml:space="preserve"> de $ </w:t>
      </w:r>
      <w:r w:rsidR="00EA2BFB" w:rsidRPr="005045BF">
        <w:rPr>
          <w:rFonts w:ascii="Arial" w:hAnsi="Arial" w:cs="Arial"/>
          <w:color w:val="000000"/>
          <w:sz w:val="22"/>
          <w:szCs w:val="22"/>
        </w:rPr>
        <w:t>1.557.554</w:t>
      </w:r>
      <w:r w:rsidR="009C662E" w:rsidRPr="005045BF">
        <w:rPr>
          <w:rFonts w:ascii="Arial" w:hAnsi="Arial" w:cs="Arial"/>
          <w:color w:val="0F243E" w:themeColor="text2" w:themeShade="80"/>
          <w:sz w:val="22"/>
          <w:szCs w:val="22"/>
        </w:rPr>
        <w:t xml:space="preserve"> </w:t>
      </w:r>
      <w:r w:rsidR="003A1ABD" w:rsidRPr="005045BF">
        <w:rPr>
          <w:rFonts w:ascii="Arial" w:hAnsi="Arial" w:cs="Arial"/>
          <w:color w:val="000000"/>
          <w:sz w:val="22"/>
          <w:szCs w:val="22"/>
        </w:rPr>
        <w:t xml:space="preserve">representando </w:t>
      </w:r>
      <w:r w:rsidR="000B6DF7" w:rsidRPr="005045BF">
        <w:rPr>
          <w:rFonts w:ascii="Arial" w:hAnsi="Arial" w:cs="Arial"/>
          <w:color w:val="000000"/>
          <w:sz w:val="22"/>
          <w:szCs w:val="22"/>
        </w:rPr>
        <w:t>un 1</w:t>
      </w:r>
      <w:r w:rsidR="00EA2BFB" w:rsidRPr="005045BF">
        <w:rPr>
          <w:rFonts w:ascii="Arial" w:hAnsi="Arial" w:cs="Arial"/>
          <w:color w:val="000000"/>
          <w:sz w:val="22"/>
          <w:szCs w:val="22"/>
        </w:rPr>
        <w:t>0%</w:t>
      </w:r>
      <w:r w:rsidR="003A1ABD" w:rsidRPr="005045BF">
        <w:rPr>
          <w:rFonts w:ascii="Arial" w:hAnsi="Arial" w:cs="Arial"/>
          <w:color w:val="000000"/>
          <w:sz w:val="22"/>
          <w:szCs w:val="22"/>
        </w:rPr>
        <w:t xml:space="preserve">. </w:t>
      </w:r>
      <w:r w:rsidR="009C662E" w:rsidRPr="005045BF">
        <w:rPr>
          <w:rFonts w:ascii="Arial" w:hAnsi="Arial" w:cs="Arial"/>
          <w:color w:val="000000"/>
          <w:sz w:val="22"/>
          <w:szCs w:val="22"/>
        </w:rPr>
        <w:t xml:space="preserve">Referente al consumo medido en metros cúbicos, </w:t>
      </w:r>
      <w:r w:rsidR="003A1ABD" w:rsidRPr="005045BF">
        <w:rPr>
          <w:rFonts w:ascii="Arial" w:hAnsi="Arial" w:cs="Arial"/>
          <w:color w:val="000000"/>
          <w:sz w:val="22"/>
          <w:szCs w:val="22"/>
        </w:rPr>
        <w:t xml:space="preserve">se observó un </w:t>
      </w:r>
      <w:r w:rsidR="000B6DF7" w:rsidRPr="005045BF">
        <w:rPr>
          <w:rFonts w:ascii="Arial" w:hAnsi="Arial" w:cs="Arial"/>
          <w:color w:val="000000"/>
          <w:sz w:val="22"/>
          <w:szCs w:val="22"/>
        </w:rPr>
        <w:t xml:space="preserve">aumento de 310 </w:t>
      </w:r>
      <w:r w:rsidR="000B6DF7" w:rsidRPr="005045BF">
        <w:rPr>
          <w:rFonts w:ascii="Arial" w:hAnsi="Arial" w:cs="Arial"/>
          <w:sz w:val="22"/>
          <w:szCs w:val="22"/>
        </w:rPr>
        <w:t>m</w:t>
      </w:r>
      <w:r w:rsidR="000B6DF7" w:rsidRPr="005045BF">
        <w:rPr>
          <w:rFonts w:ascii="Arial" w:hAnsi="Arial" w:cs="Arial"/>
          <w:sz w:val="22"/>
          <w:szCs w:val="22"/>
          <w:vertAlign w:val="superscript"/>
        </w:rPr>
        <w:t>3</w:t>
      </w:r>
      <w:r w:rsidR="000B6DF7" w:rsidRPr="005045BF">
        <w:rPr>
          <w:rFonts w:ascii="Arial" w:hAnsi="Arial" w:cs="Arial"/>
          <w:color w:val="000000"/>
          <w:sz w:val="22"/>
          <w:szCs w:val="22"/>
        </w:rPr>
        <w:t xml:space="preserve"> </w:t>
      </w:r>
      <w:r w:rsidR="003A1ABD" w:rsidRPr="005045BF">
        <w:rPr>
          <w:rFonts w:ascii="Arial" w:hAnsi="Arial" w:cs="Arial"/>
          <w:color w:val="000000"/>
          <w:sz w:val="22"/>
          <w:szCs w:val="22"/>
        </w:rPr>
        <w:t xml:space="preserve">equivalentes a </w:t>
      </w:r>
      <w:r w:rsidR="000B6DF7" w:rsidRPr="005045BF">
        <w:rPr>
          <w:rFonts w:ascii="Arial" w:hAnsi="Arial" w:cs="Arial"/>
          <w:color w:val="000000"/>
          <w:sz w:val="22"/>
          <w:szCs w:val="22"/>
        </w:rPr>
        <w:t>un 7%.</w:t>
      </w:r>
    </w:p>
    <w:p w14:paraId="3E7CBC9D" w14:textId="77777777" w:rsidR="003B05D8" w:rsidRPr="005045BF" w:rsidRDefault="003B05D8" w:rsidP="006626EB">
      <w:pPr>
        <w:jc w:val="both"/>
        <w:rPr>
          <w:rFonts w:ascii="Arial" w:hAnsi="Arial" w:cs="Arial"/>
          <w:color w:val="000000"/>
          <w:sz w:val="22"/>
          <w:szCs w:val="22"/>
        </w:rPr>
      </w:pPr>
    </w:p>
    <w:p w14:paraId="00331EB4" w14:textId="77777777" w:rsidR="006626EB" w:rsidRPr="005045BF" w:rsidRDefault="006626EB" w:rsidP="006626EB">
      <w:pPr>
        <w:jc w:val="both"/>
        <w:rPr>
          <w:rFonts w:ascii="Arial" w:hAnsi="Arial" w:cs="Arial"/>
          <w:color w:val="000000"/>
          <w:sz w:val="22"/>
          <w:szCs w:val="22"/>
          <w:highlight w:val="yellow"/>
        </w:rPr>
      </w:pPr>
    </w:p>
    <w:tbl>
      <w:tblPr>
        <w:tblW w:w="0" w:type="auto"/>
        <w:tblCellMar>
          <w:left w:w="70" w:type="dxa"/>
          <w:right w:w="70" w:type="dxa"/>
        </w:tblCellMar>
        <w:tblLook w:val="04A0" w:firstRow="1" w:lastRow="0" w:firstColumn="1" w:lastColumn="0" w:noHBand="0" w:noVBand="1"/>
      </w:tblPr>
      <w:tblGrid>
        <w:gridCol w:w="563"/>
        <w:gridCol w:w="1125"/>
        <w:gridCol w:w="1394"/>
        <w:gridCol w:w="1689"/>
        <w:gridCol w:w="196"/>
        <w:gridCol w:w="563"/>
        <w:gridCol w:w="1254"/>
        <w:gridCol w:w="1231"/>
        <w:gridCol w:w="1604"/>
      </w:tblGrid>
      <w:tr w:rsidR="00280E61" w:rsidRPr="005045BF" w14:paraId="25DDC2A2" w14:textId="77777777" w:rsidTr="00280E61">
        <w:trPr>
          <w:trHeight w:val="450"/>
        </w:trPr>
        <w:tc>
          <w:tcPr>
            <w:tcW w:w="0" w:type="auto"/>
            <w:vMerge w:val="restart"/>
            <w:tcBorders>
              <w:top w:val="single" w:sz="8" w:space="0" w:color="4F81BD"/>
              <w:left w:val="single" w:sz="8" w:space="0" w:color="4F81BD"/>
              <w:bottom w:val="single" w:sz="8" w:space="0" w:color="B8CCE4"/>
              <w:right w:val="single" w:sz="8" w:space="0" w:color="B8CCE4"/>
            </w:tcBorders>
            <w:shd w:val="clear" w:color="000000" w:fill="4F81BD"/>
            <w:textDirection w:val="btLr"/>
            <w:vAlign w:val="center"/>
            <w:hideMark/>
          </w:tcPr>
          <w:p w14:paraId="2ADF9827" w14:textId="2BA2F493" w:rsidR="00280E61" w:rsidRPr="005045BF" w:rsidRDefault="000B6DF7"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I Trimestre </w:t>
            </w:r>
          </w:p>
        </w:tc>
        <w:tc>
          <w:tcPr>
            <w:tcW w:w="0" w:type="auto"/>
            <w:gridSpan w:val="3"/>
            <w:tcBorders>
              <w:top w:val="single" w:sz="8" w:space="0" w:color="4F81BD"/>
              <w:left w:val="nil"/>
              <w:bottom w:val="single" w:sz="12" w:space="0" w:color="95B3D7"/>
              <w:right w:val="single" w:sz="8" w:space="0" w:color="4F81BD"/>
            </w:tcBorders>
            <w:shd w:val="clear" w:color="000000" w:fill="4F81BD"/>
            <w:vAlign w:val="center"/>
            <w:hideMark/>
          </w:tcPr>
          <w:p w14:paraId="5EDCE7D5" w14:textId="7E471CC6"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Valor Facturado por </w:t>
            </w:r>
            <w:r w:rsidR="000B6DF7" w:rsidRPr="005045BF">
              <w:rPr>
                <w:rFonts w:ascii="Arial" w:hAnsi="Arial" w:cs="Arial"/>
                <w:b/>
                <w:bCs/>
                <w:color w:val="FFFFFF" w:themeColor="background1"/>
                <w:sz w:val="20"/>
                <w:szCs w:val="20"/>
              </w:rPr>
              <w:t>Acueducto (</w:t>
            </w:r>
            <w:r w:rsidR="003A1ABD" w:rsidRPr="005045BF">
              <w:rPr>
                <w:rFonts w:ascii="Arial" w:hAnsi="Arial" w:cs="Arial"/>
                <w:b/>
                <w:bCs/>
                <w:color w:val="FFFFFF" w:themeColor="background1"/>
                <w:sz w:val="20"/>
                <w:szCs w:val="20"/>
              </w:rPr>
              <w:t>$)</w:t>
            </w:r>
          </w:p>
        </w:tc>
        <w:tc>
          <w:tcPr>
            <w:tcW w:w="0" w:type="auto"/>
            <w:tcBorders>
              <w:top w:val="nil"/>
              <w:left w:val="nil"/>
              <w:bottom w:val="nil"/>
              <w:right w:val="single" w:sz="8" w:space="0" w:color="4F81BD"/>
            </w:tcBorders>
            <w:shd w:val="clear" w:color="auto" w:fill="auto"/>
            <w:noWrap/>
            <w:vAlign w:val="center"/>
            <w:hideMark/>
          </w:tcPr>
          <w:p w14:paraId="5BB6C426" w14:textId="77777777" w:rsidR="00280E61" w:rsidRPr="005045BF" w:rsidRDefault="00280E61"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val="restart"/>
            <w:tcBorders>
              <w:top w:val="single" w:sz="8" w:space="0" w:color="4F81BD"/>
              <w:left w:val="single" w:sz="8" w:space="0" w:color="4F81BD"/>
              <w:bottom w:val="single" w:sz="8" w:space="0" w:color="B8CCE4"/>
              <w:right w:val="single" w:sz="8" w:space="0" w:color="B8CCE4"/>
            </w:tcBorders>
            <w:shd w:val="clear" w:color="000000" w:fill="4F81BD"/>
            <w:textDirection w:val="btLr"/>
            <w:vAlign w:val="center"/>
            <w:hideMark/>
          </w:tcPr>
          <w:p w14:paraId="0D8FC39E" w14:textId="5C79B723" w:rsidR="00280E61" w:rsidRPr="005045BF" w:rsidRDefault="000B6DF7"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I Trimestre</w:t>
            </w:r>
          </w:p>
        </w:tc>
        <w:tc>
          <w:tcPr>
            <w:tcW w:w="0" w:type="auto"/>
            <w:gridSpan w:val="3"/>
            <w:tcBorders>
              <w:top w:val="single" w:sz="8" w:space="0" w:color="4F81BD"/>
              <w:left w:val="nil"/>
              <w:bottom w:val="single" w:sz="12" w:space="0" w:color="95B3D7"/>
              <w:right w:val="single" w:sz="8" w:space="0" w:color="4F81BD"/>
            </w:tcBorders>
            <w:shd w:val="clear" w:color="000000" w:fill="4F81BD"/>
            <w:vAlign w:val="center"/>
            <w:hideMark/>
          </w:tcPr>
          <w:p w14:paraId="5F5047C2" w14:textId="3551D54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Total de Consumo en Metros Cúbicos Acueducto </w:t>
            </w:r>
          </w:p>
        </w:tc>
      </w:tr>
      <w:tr w:rsidR="00280E61" w:rsidRPr="005045BF" w14:paraId="37F6DDFD" w14:textId="77777777" w:rsidTr="00280E61">
        <w:trPr>
          <w:trHeight w:val="780"/>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47807C92"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2737BDF7"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Periodo</w:t>
            </w:r>
          </w:p>
        </w:tc>
        <w:tc>
          <w:tcPr>
            <w:tcW w:w="0" w:type="auto"/>
            <w:tcBorders>
              <w:top w:val="nil"/>
              <w:left w:val="nil"/>
              <w:bottom w:val="nil"/>
              <w:right w:val="single" w:sz="8" w:space="0" w:color="B8CCE4"/>
            </w:tcBorders>
            <w:shd w:val="clear" w:color="000000" w:fill="4F81BD"/>
            <w:vAlign w:val="center"/>
            <w:hideMark/>
          </w:tcPr>
          <w:p w14:paraId="207F66CD"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Sede San Agustín </w:t>
            </w:r>
          </w:p>
        </w:tc>
        <w:tc>
          <w:tcPr>
            <w:tcW w:w="0" w:type="auto"/>
            <w:tcBorders>
              <w:top w:val="nil"/>
              <w:left w:val="nil"/>
              <w:bottom w:val="nil"/>
              <w:right w:val="single" w:sz="8" w:space="0" w:color="4F81BD"/>
            </w:tcBorders>
            <w:shd w:val="clear" w:color="000000" w:fill="4F81BD"/>
            <w:vAlign w:val="center"/>
            <w:hideMark/>
          </w:tcPr>
          <w:p w14:paraId="5297978B"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Sede Casa de Santa Bárbara</w:t>
            </w:r>
          </w:p>
        </w:tc>
        <w:tc>
          <w:tcPr>
            <w:tcW w:w="0" w:type="auto"/>
            <w:tcBorders>
              <w:top w:val="nil"/>
              <w:left w:val="nil"/>
              <w:bottom w:val="nil"/>
              <w:right w:val="single" w:sz="8" w:space="0" w:color="4F81BD"/>
            </w:tcBorders>
            <w:shd w:val="clear" w:color="auto" w:fill="auto"/>
            <w:noWrap/>
            <w:vAlign w:val="center"/>
            <w:hideMark/>
          </w:tcPr>
          <w:p w14:paraId="1C9D9DDE" w14:textId="77777777" w:rsidR="00280E61" w:rsidRPr="005045BF" w:rsidRDefault="00280E61"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65BE167A"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nil"/>
              <w:right w:val="single" w:sz="8" w:space="0" w:color="B8CCE4"/>
            </w:tcBorders>
            <w:shd w:val="clear" w:color="000000" w:fill="4F81BD"/>
            <w:vAlign w:val="center"/>
            <w:hideMark/>
          </w:tcPr>
          <w:p w14:paraId="48713570"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Periodo</w:t>
            </w:r>
          </w:p>
        </w:tc>
        <w:tc>
          <w:tcPr>
            <w:tcW w:w="0" w:type="auto"/>
            <w:tcBorders>
              <w:top w:val="nil"/>
              <w:left w:val="nil"/>
              <w:bottom w:val="nil"/>
              <w:right w:val="single" w:sz="8" w:space="0" w:color="B8CCE4"/>
            </w:tcBorders>
            <w:shd w:val="clear" w:color="000000" w:fill="4F81BD"/>
            <w:vAlign w:val="center"/>
            <w:hideMark/>
          </w:tcPr>
          <w:p w14:paraId="3A1BF1D7"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 xml:space="preserve">Sede San Agustín </w:t>
            </w:r>
          </w:p>
        </w:tc>
        <w:tc>
          <w:tcPr>
            <w:tcW w:w="0" w:type="auto"/>
            <w:tcBorders>
              <w:top w:val="nil"/>
              <w:left w:val="nil"/>
              <w:bottom w:val="nil"/>
              <w:right w:val="single" w:sz="8" w:space="0" w:color="4F81BD"/>
            </w:tcBorders>
            <w:shd w:val="clear" w:color="000000" w:fill="4F81BD"/>
            <w:vAlign w:val="center"/>
            <w:hideMark/>
          </w:tcPr>
          <w:p w14:paraId="5D198B03" w14:textId="77777777" w:rsidR="00280E61" w:rsidRPr="005045BF" w:rsidRDefault="00280E61" w:rsidP="003B05D8">
            <w:pPr>
              <w:widowControl w:val="0"/>
              <w:spacing w:before="100" w:after="80"/>
              <w:jc w:val="center"/>
              <w:rPr>
                <w:rFonts w:ascii="Arial" w:hAnsi="Arial" w:cs="Arial"/>
                <w:b/>
                <w:bCs/>
                <w:color w:val="FFFFFF"/>
                <w:sz w:val="20"/>
                <w:szCs w:val="20"/>
              </w:rPr>
            </w:pPr>
            <w:r w:rsidRPr="005045BF">
              <w:rPr>
                <w:rFonts w:ascii="Arial" w:hAnsi="Arial" w:cs="Arial"/>
                <w:b/>
                <w:bCs/>
                <w:color w:val="FFFFFF" w:themeColor="background1"/>
                <w:sz w:val="20"/>
                <w:szCs w:val="20"/>
              </w:rPr>
              <w:t>Sede Casa de Santa Bárbara</w:t>
            </w:r>
          </w:p>
        </w:tc>
      </w:tr>
      <w:tr w:rsidR="00F33806" w:rsidRPr="005045BF" w14:paraId="3316A3EF" w14:textId="77777777" w:rsidTr="000B6DF7">
        <w:trPr>
          <w:trHeight w:val="300"/>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4AEFBF8" w14:textId="77777777" w:rsidR="00F33806" w:rsidRPr="005045BF" w:rsidRDefault="00F33806" w:rsidP="003B05D8">
            <w:pPr>
              <w:widowControl w:val="0"/>
              <w:spacing w:before="100" w:after="80"/>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18051065" w14:textId="63E82753" w:rsidR="00F33806" w:rsidRPr="005045BF" w:rsidRDefault="00F33806" w:rsidP="003B05D8">
            <w:pPr>
              <w:widowControl w:val="0"/>
              <w:spacing w:before="100" w:after="80"/>
              <w:jc w:val="center"/>
              <w:rPr>
                <w:rFonts w:ascii="Arial" w:hAnsi="Arial" w:cs="Arial"/>
                <w:color w:val="0F243E"/>
                <w:sz w:val="20"/>
                <w:szCs w:val="20"/>
              </w:rPr>
            </w:pPr>
            <w:r w:rsidRPr="005045BF">
              <w:rPr>
                <w:rFonts w:ascii="Arial" w:hAnsi="Arial" w:cs="Arial"/>
                <w:color w:val="0F243E"/>
                <w:sz w:val="20"/>
                <w:szCs w:val="20"/>
              </w:rPr>
              <w:t>2020</w:t>
            </w:r>
          </w:p>
        </w:tc>
        <w:tc>
          <w:tcPr>
            <w:tcW w:w="0" w:type="auto"/>
            <w:tcBorders>
              <w:top w:val="nil"/>
              <w:left w:val="nil"/>
              <w:bottom w:val="nil"/>
              <w:right w:val="nil"/>
            </w:tcBorders>
            <w:shd w:val="clear" w:color="auto" w:fill="auto"/>
            <w:vAlign w:val="center"/>
          </w:tcPr>
          <w:p w14:paraId="1552A81E" w14:textId="453364BD"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13.118.490</w:t>
            </w:r>
          </w:p>
        </w:tc>
        <w:tc>
          <w:tcPr>
            <w:tcW w:w="0" w:type="auto"/>
            <w:tcBorders>
              <w:top w:val="nil"/>
              <w:left w:val="nil"/>
              <w:bottom w:val="nil"/>
              <w:right w:val="nil"/>
            </w:tcBorders>
            <w:shd w:val="clear" w:color="auto" w:fill="auto"/>
            <w:vAlign w:val="center"/>
          </w:tcPr>
          <w:p w14:paraId="1F084DEF" w14:textId="5FAC8871"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4.179.020</w:t>
            </w:r>
          </w:p>
        </w:tc>
        <w:tc>
          <w:tcPr>
            <w:tcW w:w="0" w:type="auto"/>
            <w:tcBorders>
              <w:top w:val="nil"/>
              <w:left w:val="nil"/>
              <w:bottom w:val="nil"/>
              <w:right w:val="single" w:sz="8" w:space="0" w:color="4F81BD"/>
            </w:tcBorders>
            <w:shd w:val="clear" w:color="auto" w:fill="auto"/>
            <w:noWrap/>
            <w:vAlign w:val="center"/>
            <w:hideMark/>
          </w:tcPr>
          <w:p w14:paraId="1CA284CC" w14:textId="77777777" w:rsidR="00F33806" w:rsidRPr="005045BF" w:rsidRDefault="00F33806"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21CD37B7" w14:textId="77777777" w:rsidR="00F33806" w:rsidRPr="005045BF" w:rsidRDefault="00F33806" w:rsidP="003B05D8">
            <w:pPr>
              <w:widowControl w:val="0"/>
              <w:spacing w:before="100" w:after="80"/>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58DF2465" w14:textId="47A9EDDD" w:rsidR="00F33806" w:rsidRPr="005045BF" w:rsidRDefault="00F33806" w:rsidP="003B05D8">
            <w:pPr>
              <w:widowControl w:val="0"/>
              <w:spacing w:before="100" w:after="80"/>
              <w:jc w:val="center"/>
              <w:rPr>
                <w:rFonts w:ascii="Arial" w:hAnsi="Arial" w:cs="Arial"/>
                <w:color w:val="0F243E"/>
                <w:sz w:val="20"/>
                <w:szCs w:val="20"/>
              </w:rPr>
            </w:pPr>
            <w:r w:rsidRPr="005045BF">
              <w:rPr>
                <w:rFonts w:ascii="Arial" w:hAnsi="Arial" w:cs="Arial"/>
                <w:color w:val="0F243E"/>
                <w:sz w:val="20"/>
                <w:szCs w:val="20"/>
              </w:rPr>
              <w:t>2020</w:t>
            </w:r>
          </w:p>
        </w:tc>
        <w:tc>
          <w:tcPr>
            <w:tcW w:w="0" w:type="auto"/>
            <w:tcBorders>
              <w:top w:val="nil"/>
              <w:left w:val="nil"/>
              <w:bottom w:val="nil"/>
              <w:right w:val="nil"/>
            </w:tcBorders>
            <w:shd w:val="clear" w:color="auto" w:fill="auto"/>
            <w:vAlign w:val="center"/>
          </w:tcPr>
          <w:p w14:paraId="03842A62" w14:textId="0E137326"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3.958</w:t>
            </w:r>
          </w:p>
        </w:tc>
        <w:tc>
          <w:tcPr>
            <w:tcW w:w="0" w:type="auto"/>
            <w:tcBorders>
              <w:top w:val="nil"/>
              <w:left w:val="nil"/>
              <w:bottom w:val="nil"/>
              <w:right w:val="nil"/>
            </w:tcBorders>
            <w:shd w:val="clear" w:color="auto" w:fill="auto"/>
            <w:vAlign w:val="center"/>
          </w:tcPr>
          <w:p w14:paraId="005AB677" w14:textId="1B35405D"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779</w:t>
            </w:r>
          </w:p>
        </w:tc>
      </w:tr>
      <w:tr w:rsidR="00F33806" w:rsidRPr="005045BF" w14:paraId="5BB07BD8" w14:textId="77777777" w:rsidTr="000B6DF7">
        <w:trPr>
          <w:trHeight w:val="315"/>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069BE437" w14:textId="77777777" w:rsidR="00F33806" w:rsidRPr="005045BF" w:rsidRDefault="00F33806" w:rsidP="003B05D8">
            <w:pPr>
              <w:widowControl w:val="0"/>
              <w:spacing w:before="100" w:after="80"/>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258ED26C" w14:textId="285D4B7E" w:rsidR="00F33806" w:rsidRPr="005045BF" w:rsidRDefault="00F33806" w:rsidP="003B05D8">
            <w:pPr>
              <w:widowControl w:val="0"/>
              <w:spacing w:before="100" w:after="80"/>
              <w:jc w:val="center"/>
              <w:rPr>
                <w:rFonts w:ascii="Arial" w:hAnsi="Arial" w:cs="Arial"/>
                <w:color w:val="0F243E"/>
                <w:sz w:val="20"/>
                <w:szCs w:val="20"/>
              </w:rPr>
            </w:pPr>
            <w:r w:rsidRPr="005045BF">
              <w:rPr>
                <w:rFonts w:ascii="Arial" w:hAnsi="Arial" w:cs="Arial"/>
                <w:color w:val="0F243E"/>
                <w:sz w:val="20"/>
                <w:szCs w:val="20"/>
              </w:rPr>
              <w:t>2019</w:t>
            </w:r>
          </w:p>
        </w:tc>
        <w:tc>
          <w:tcPr>
            <w:tcW w:w="0" w:type="auto"/>
            <w:tcBorders>
              <w:top w:val="nil"/>
              <w:left w:val="nil"/>
              <w:bottom w:val="double" w:sz="6" w:space="0" w:color="4F81BD"/>
              <w:right w:val="nil"/>
            </w:tcBorders>
            <w:shd w:val="clear" w:color="auto" w:fill="auto"/>
            <w:vAlign w:val="center"/>
          </w:tcPr>
          <w:p w14:paraId="732B34CD" w14:textId="78FB3276"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12.073.986</w:t>
            </w:r>
          </w:p>
        </w:tc>
        <w:tc>
          <w:tcPr>
            <w:tcW w:w="0" w:type="auto"/>
            <w:tcBorders>
              <w:top w:val="nil"/>
              <w:left w:val="nil"/>
              <w:bottom w:val="double" w:sz="6" w:space="0" w:color="4F81BD"/>
              <w:right w:val="nil"/>
            </w:tcBorders>
            <w:shd w:val="clear" w:color="auto" w:fill="auto"/>
            <w:vAlign w:val="center"/>
          </w:tcPr>
          <w:p w14:paraId="5B9585D2" w14:textId="57CBC9C8"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3.665.970</w:t>
            </w:r>
          </w:p>
        </w:tc>
        <w:tc>
          <w:tcPr>
            <w:tcW w:w="0" w:type="auto"/>
            <w:tcBorders>
              <w:top w:val="nil"/>
              <w:left w:val="nil"/>
              <w:bottom w:val="nil"/>
              <w:right w:val="single" w:sz="8" w:space="0" w:color="4F81BD"/>
            </w:tcBorders>
            <w:shd w:val="clear" w:color="auto" w:fill="auto"/>
            <w:noWrap/>
            <w:vAlign w:val="center"/>
            <w:hideMark/>
          </w:tcPr>
          <w:p w14:paraId="123BB21E" w14:textId="77777777" w:rsidR="00F33806" w:rsidRPr="005045BF" w:rsidRDefault="00F33806"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72CE0CC" w14:textId="77777777" w:rsidR="00F33806" w:rsidRPr="005045BF" w:rsidRDefault="00F33806" w:rsidP="003B05D8">
            <w:pPr>
              <w:widowControl w:val="0"/>
              <w:spacing w:before="100" w:after="80"/>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2FB8B8EB" w14:textId="5A6E797C" w:rsidR="00F33806" w:rsidRPr="005045BF" w:rsidRDefault="00F33806" w:rsidP="003B05D8">
            <w:pPr>
              <w:widowControl w:val="0"/>
              <w:spacing w:before="100" w:after="80"/>
              <w:jc w:val="center"/>
              <w:rPr>
                <w:rFonts w:ascii="Arial" w:hAnsi="Arial" w:cs="Arial"/>
                <w:color w:val="0F243E"/>
                <w:sz w:val="20"/>
                <w:szCs w:val="20"/>
              </w:rPr>
            </w:pPr>
            <w:r w:rsidRPr="005045BF">
              <w:rPr>
                <w:rFonts w:ascii="Arial" w:hAnsi="Arial" w:cs="Arial"/>
                <w:color w:val="0F243E"/>
                <w:sz w:val="20"/>
                <w:szCs w:val="20"/>
              </w:rPr>
              <w:t>2019</w:t>
            </w:r>
          </w:p>
        </w:tc>
        <w:tc>
          <w:tcPr>
            <w:tcW w:w="0" w:type="auto"/>
            <w:tcBorders>
              <w:top w:val="nil"/>
              <w:left w:val="nil"/>
              <w:bottom w:val="double" w:sz="6" w:space="0" w:color="4F81BD"/>
              <w:right w:val="nil"/>
            </w:tcBorders>
            <w:shd w:val="clear" w:color="auto" w:fill="auto"/>
            <w:vAlign w:val="center"/>
          </w:tcPr>
          <w:p w14:paraId="5C9ADBCC" w14:textId="64F2F52B"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3.728</w:t>
            </w:r>
          </w:p>
        </w:tc>
        <w:tc>
          <w:tcPr>
            <w:tcW w:w="0" w:type="auto"/>
            <w:tcBorders>
              <w:top w:val="nil"/>
              <w:left w:val="nil"/>
              <w:bottom w:val="double" w:sz="6" w:space="0" w:color="4F81BD"/>
              <w:right w:val="nil"/>
            </w:tcBorders>
            <w:shd w:val="clear" w:color="auto" w:fill="auto"/>
            <w:vAlign w:val="center"/>
          </w:tcPr>
          <w:p w14:paraId="3BEF0570" w14:textId="57B4541A" w:rsidR="00F33806" w:rsidRPr="005045BF" w:rsidRDefault="00F33806" w:rsidP="003B05D8">
            <w:pPr>
              <w:widowControl w:val="0"/>
              <w:spacing w:before="100" w:after="80"/>
              <w:jc w:val="right"/>
              <w:rPr>
                <w:rFonts w:ascii="Arial" w:hAnsi="Arial" w:cs="Arial"/>
                <w:color w:val="000000"/>
                <w:sz w:val="20"/>
                <w:szCs w:val="20"/>
              </w:rPr>
            </w:pPr>
            <w:r w:rsidRPr="005045BF">
              <w:rPr>
                <w:rFonts w:ascii="Arial" w:hAnsi="Arial" w:cs="Arial"/>
                <w:color w:val="000000"/>
                <w:sz w:val="20"/>
                <w:szCs w:val="20"/>
              </w:rPr>
              <w:t>699</w:t>
            </w:r>
          </w:p>
        </w:tc>
      </w:tr>
      <w:tr w:rsidR="00280E61" w:rsidRPr="005045BF" w14:paraId="134C985E" w14:textId="77777777" w:rsidTr="00E2251A">
        <w:trPr>
          <w:trHeight w:val="446"/>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1C8BE55D"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nil"/>
              <w:right w:val="nil"/>
            </w:tcBorders>
            <w:shd w:val="clear" w:color="000000" w:fill="FFFFFF"/>
            <w:vAlign w:val="center"/>
            <w:hideMark/>
          </w:tcPr>
          <w:p w14:paraId="3DEAD6BC" w14:textId="77777777" w:rsidR="00280E61" w:rsidRPr="005045BF" w:rsidRDefault="00280E61"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Variación $</w:t>
            </w:r>
          </w:p>
        </w:tc>
        <w:tc>
          <w:tcPr>
            <w:tcW w:w="0" w:type="auto"/>
            <w:gridSpan w:val="2"/>
            <w:tcBorders>
              <w:top w:val="double" w:sz="6" w:space="0" w:color="4F81BD"/>
              <w:left w:val="nil"/>
              <w:bottom w:val="nil"/>
              <w:right w:val="nil"/>
            </w:tcBorders>
            <w:shd w:val="clear" w:color="000000" w:fill="FFFFFF"/>
            <w:vAlign w:val="center"/>
          </w:tcPr>
          <w:p w14:paraId="753CBBBE" w14:textId="16FA40FE" w:rsidR="00280E61" w:rsidRPr="005045BF" w:rsidRDefault="00F33806" w:rsidP="003B05D8">
            <w:pPr>
              <w:widowControl w:val="0"/>
              <w:spacing w:before="100" w:after="80"/>
              <w:jc w:val="center"/>
              <w:rPr>
                <w:rFonts w:ascii="Arial" w:hAnsi="Arial" w:cs="Arial"/>
                <w:b/>
                <w:bCs/>
                <w:color w:val="000000"/>
                <w:sz w:val="20"/>
                <w:szCs w:val="20"/>
              </w:rPr>
            </w:pPr>
            <w:r w:rsidRPr="005045BF">
              <w:rPr>
                <w:rFonts w:ascii="Arial" w:hAnsi="Arial" w:cs="Arial"/>
                <w:b/>
                <w:bCs/>
                <w:color w:val="000000"/>
                <w:sz w:val="20"/>
                <w:szCs w:val="20"/>
              </w:rPr>
              <w:t>1.557.554</w:t>
            </w:r>
          </w:p>
        </w:tc>
        <w:tc>
          <w:tcPr>
            <w:tcW w:w="0" w:type="auto"/>
            <w:tcBorders>
              <w:top w:val="nil"/>
              <w:left w:val="nil"/>
              <w:bottom w:val="nil"/>
              <w:right w:val="single" w:sz="8" w:space="0" w:color="4F81BD"/>
            </w:tcBorders>
            <w:shd w:val="clear" w:color="auto" w:fill="auto"/>
            <w:noWrap/>
            <w:vAlign w:val="center"/>
            <w:hideMark/>
          </w:tcPr>
          <w:p w14:paraId="35FB52DF" w14:textId="77777777" w:rsidR="00280E61" w:rsidRPr="005045BF" w:rsidRDefault="00280E61"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05A70FC1"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nil"/>
              <w:right w:val="nil"/>
            </w:tcBorders>
            <w:shd w:val="clear" w:color="auto" w:fill="auto"/>
            <w:vAlign w:val="center"/>
            <w:hideMark/>
          </w:tcPr>
          <w:p w14:paraId="75141150" w14:textId="77777777" w:rsidR="00280E61" w:rsidRPr="005045BF" w:rsidRDefault="00280E61"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Variación KW/H</w:t>
            </w:r>
          </w:p>
        </w:tc>
        <w:tc>
          <w:tcPr>
            <w:tcW w:w="0" w:type="auto"/>
            <w:gridSpan w:val="2"/>
            <w:tcBorders>
              <w:top w:val="double" w:sz="6" w:space="0" w:color="4F81BD"/>
              <w:left w:val="nil"/>
              <w:bottom w:val="nil"/>
              <w:right w:val="nil"/>
            </w:tcBorders>
            <w:shd w:val="clear" w:color="auto" w:fill="auto"/>
            <w:vAlign w:val="center"/>
          </w:tcPr>
          <w:p w14:paraId="1DE91EBA" w14:textId="4618DE96" w:rsidR="00280E61" w:rsidRPr="005045BF" w:rsidRDefault="00F33806" w:rsidP="003B05D8">
            <w:pPr>
              <w:widowControl w:val="0"/>
              <w:spacing w:before="100" w:after="80"/>
              <w:jc w:val="center"/>
              <w:rPr>
                <w:rFonts w:ascii="Arial" w:hAnsi="Arial" w:cs="Arial"/>
                <w:b/>
                <w:bCs/>
                <w:color w:val="000000"/>
                <w:sz w:val="20"/>
                <w:szCs w:val="20"/>
              </w:rPr>
            </w:pPr>
            <w:r w:rsidRPr="005045BF">
              <w:rPr>
                <w:rFonts w:ascii="Arial" w:hAnsi="Arial" w:cs="Arial"/>
                <w:b/>
                <w:bCs/>
                <w:color w:val="000000"/>
                <w:sz w:val="20"/>
                <w:szCs w:val="20"/>
              </w:rPr>
              <w:t>310</w:t>
            </w:r>
          </w:p>
        </w:tc>
      </w:tr>
      <w:tr w:rsidR="00280E61" w:rsidRPr="005045BF" w14:paraId="30867F5F" w14:textId="77777777" w:rsidTr="00E2251A">
        <w:trPr>
          <w:trHeight w:val="339"/>
        </w:trPr>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7C7E1CF8"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double" w:sz="6" w:space="0" w:color="4F81BD"/>
              <w:right w:val="nil"/>
            </w:tcBorders>
            <w:shd w:val="clear" w:color="000000" w:fill="FFFFFF"/>
            <w:vAlign w:val="center"/>
            <w:hideMark/>
          </w:tcPr>
          <w:p w14:paraId="0D2A5999" w14:textId="77777777" w:rsidR="00280E61" w:rsidRPr="005045BF" w:rsidRDefault="00280E61"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 xml:space="preserve">Variación % </w:t>
            </w:r>
          </w:p>
        </w:tc>
        <w:tc>
          <w:tcPr>
            <w:tcW w:w="0" w:type="auto"/>
            <w:gridSpan w:val="2"/>
            <w:tcBorders>
              <w:top w:val="nil"/>
              <w:left w:val="nil"/>
              <w:bottom w:val="double" w:sz="6" w:space="0" w:color="4F81BD"/>
              <w:right w:val="nil"/>
            </w:tcBorders>
            <w:shd w:val="clear" w:color="000000" w:fill="FFFFFF"/>
            <w:vAlign w:val="center"/>
          </w:tcPr>
          <w:p w14:paraId="2CBBEDAB" w14:textId="199BFCDC" w:rsidR="00280E61" w:rsidRPr="005045BF" w:rsidRDefault="00F33806"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10%</w:t>
            </w:r>
          </w:p>
        </w:tc>
        <w:tc>
          <w:tcPr>
            <w:tcW w:w="0" w:type="auto"/>
            <w:tcBorders>
              <w:top w:val="nil"/>
              <w:left w:val="nil"/>
              <w:bottom w:val="nil"/>
              <w:right w:val="single" w:sz="8" w:space="0" w:color="4F81BD"/>
            </w:tcBorders>
            <w:shd w:val="clear" w:color="auto" w:fill="auto"/>
            <w:noWrap/>
            <w:vAlign w:val="center"/>
            <w:hideMark/>
          </w:tcPr>
          <w:p w14:paraId="40997D9B" w14:textId="77777777" w:rsidR="00280E61" w:rsidRPr="005045BF" w:rsidRDefault="00280E61" w:rsidP="003B05D8">
            <w:pPr>
              <w:widowControl w:val="0"/>
              <w:spacing w:before="100" w:after="80"/>
              <w:rPr>
                <w:rFonts w:ascii="Arial" w:hAnsi="Arial" w:cs="Arial"/>
                <w:color w:val="000000"/>
                <w:sz w:val="20"/>
                <w:szCs w:val="20"/>
              </w:rPr>
            </w:pPr>
            <w:r w:rsidRPr="005045BF">
              <w:rPr>
                <w:rFonts w:ascii="Arial" w:hAnsi="Arial" w:cs="Arial"/>
                <w:color w:val="000000"/>
                <w:sz w:val="20"/>
                <w:szCs w:val="20"/>
              </w:rPr>
              <w:t> </w:t>
            </w:r>
          </w:p>
        </w:tc>
        <w:tc>
          <w:tcPr>
            <w:tcW w:w="0" w:type="auto"/>
            <w:vMerge/>
            <w:tcBorders>
              <w:top w:val="single" w:sz="8" w:space="0" w:color="4F81BD"/>
              <w:left w:val="single" w:sz="8" w:space="0" w:color="4F81BD"/>
              <w:bottom w:val="single" w:sz="8" w:space="0" w:color="B8CCE4"/>
              <w:right w:val="single" w:sz="8" w:space="0" w:color="B8CCE4"/>
            </w:tcBorders>
            <w:vAlign w:val="center"/>
            <w:hideMark/>
          </w:tcPr>
          <w:p w14:paraId="5B747DE5" w14:textId="77777777" w:rsidR="00280E61" w:rsidRPr="005045BF" w:rsidRDefault="00280E61" w:rsidP="003B05D8">
            <w:pPr>
              <w:widowControl w:val="0"/>
              <w:spacing w:before="100" w:after="80"/>
              <w:rPr>
                <w:rFonts w:ascii="Arial" w:hAnsi="Arial" w:cs="Arial"/>
                <w:b/>
                <w:bCs/>
                <w:color w:val="FFFFFF"/>
                <w:sz w:val="20"/>
                <w:szCs w:val="20"/>
              </w:rPr>
            </w:pPr>
          </w:p>
        </w:tc>
        <w:tc>
          <w:tcPr>
            <w:tcW w:w="0" w:type="auto"/>
            <w:tcBorders>
              <w:top w:val="nil"/>
              <w:left w:val="nil"/>
              <w:bottom w:val="double" w:sz="6" w:space="0" w:color="4F81BD"/>
              <w:right w:val="nil"/>
            </w:tcBorders>
            <w:shd w:val="clear" w:color="auto" w:fill="auto"/>
            <w:vAlign w:val="center"/>
            <w:hideMark/>
          </w:tcPr>
          <w:p w14:paraId="1F0EAB30" w14:textId="77777777" w:rsidR="00280E61" w:rsidRPr="005045BF" w:rsidRDefault="00280E61"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 xml:space="preserve">Variación % </w:t>
            </w:r>
          </w:p>
        </w:tc>
        <w:tc>
          <w:tcPr>
            <w:tcW w:w="0" w:type="auto"/>
            <w:gridSpan w:val="2"/>
            <w:tcBorders>
              <w:top w:val="nil"/>
              <w:left w:val="nil"/>
              <w:bottom w:val="double" w:sz="6" w:space="0" w:color="4F81BD"/>
              <w:right w:val="nil"/>
            </w:tcBorders>
            <w:shd w:val="clear" w:color="auto" w:fill="auto"/>
            <w:vAlign w:val="center"/>
          </w:tcPr>
          <w:p w14:paraId="10CA009F" w14:textId="3E600EB4" w:rsidR="00280E61" w:rsidRPr="005045BF" w:rsidRDefault="00F33806" w:rsidP="003B05D8">
            <w:pPr>
              <w:widowControl w:val="0"/>
              <w:spacing w:before="100" w:after="80"/>
              <w:jc w:val="center"/>
              <w:rPr>
                <w:rFonts w:ascii="Arial" w:hAnsi="Arial" w:cs="Arial"/>
                <w:b/>
                <w:bCs/>
                <w:color w:val="0F243E"/>
                <w:sz w:val="20"/>
                <w:szCs w:val="20"/>
              </w:rPr>
            </w:pPr>
            <w:r w:rsidRPr="005045BF">
              <w:rPr>
                <w:rFonts w:ascii="Arial" w:hAnsi="Arial" w:cs="Arial"/>
                <w:b/>
                <w:bCs/>
                <w:color w:val="0F243E"/>
                <w:sz w:val="20"/>
                <w:szCs w:val="20"/>
              </w:rPr>
              <w:t>7%</w:t>
            </w:r>
          </w:p>
        </w:tc>
      </w:tr>
    </w:tbl>
    <w:p w14:paraId="13907E90" w14:textId="7418F3EB" w:rsidR="00AF6FCB" w:rsidRDefault="00AF6FCB" w:rsidP="00AF6FCB">
      <w:pPr>
        <w:jc w:val="both"/>
        <w:rPr>
          <w:rFonts w:ascii="Arial" w:hAnsi="Arial" w:cs="Arial"/>
          <w:color w:val="000000"/>
          <w:sz w:val="22"/>
          <w:szCs w:val="22"/>
        </w:rPr>
      </w:pPr>
    </w:p>
    <w:p w14:paraId="7C5261CC" w14:textId="77777777" w:rsidR="00AF6FCB" w:rsidRDefault="00AF6FCB" w:rsidP="00AF6FCB">
      <w:pPr>
        <w:jc w:val="both"/>
        <w:rPr>
          <w:rFonts w:ascii="Arial" w:hAnsi="Arial" w:cs="Arial"/>
          <w:color w:val="000000"/>
          <w:sz w:val="22"/>
          <w:szCs w:val="22"/>
        </w:rPr>
      </w:pPr>
    </w:p>
    <w:p w14:paraId="7EDA3D28" w14:textId="7F7ED0CF" w:rsidR="00C64D43" w:rsidRDefault="0052638A" w:rsidP="00AF6FCB">
      <w:pPr>
        <w:jc w:val="both"/>
        <w:rPr>
          <w:rFonts w:ascii="Arial" w:hAnsi="Arial" w:cs="Arial"/>
          <w:color w:val="000000"/>
          <w:sz w:val="22"/>
          <w:szCs w:val="22"/>
        </w:rPr>
      </w:pPr>
      <w:r w:rsidRPr="005045BF">
        <w:rPr>
          <w:rFonts w:ascii="Arial" w:hAnsi="Arial" w:cs="Arial"/>
          <w:color w:val="000000"/>
          <w:sz w:val="22"/>
          <w:szCs w:val="22"/>
        </w:rPr>
        <w:t>Es de precisar que, si bien durante el trimestre analizado se presentaron incrementos en el servicio de acueducto</w:t>
      </w:r>
      <w:r w:rsidR="00977793" w:rsidRPr="005045BF">
        <w:rPr>
          <w:rFonts w:ascii="Arial" w:hAnsi="Arial" w:cs="Arial"/>
          <w:color w:val="000000"/>
          <w:sz w:val="22"/>
          <w:szCs w:val="22"/>
        </w:rPr>
        <w:t xml:space="preserve"> y aseo</w:t>
      </w:r>
      <w:r w:rsidRPr="005045BF">
        <w:rPr>
          <w:rFonts w:ascii="Arial" w:hAnsi="Arial" w:cs="Arial"/>
          <w:color w:val="000000"/>
          <w:sz w:val="22"/>
          <w:szCs w:val="22"/>
        </w:rPr>
        <w:t>, la Subdirección de Servicios ha implementado controles</w:t>
      </w:r>
      <w:r w:rsidR="00C64D43" w:rsidRPr="005045BF">
        <w:rPr>
          <w:rFonts w:ascii="Arial" w:hAnsi="Arial" w:cs="Arial"/>
          <w:color w:val="000000"/>
          <w:sz w:val="22"/>
          <w:szCs w:val="22"/>
        </w:rPr>
        <w:t xml:space="preserve"> tales como: </w:t>
      </w:r>
    </w:p>
    <w:p w14:paraId="3F1D7F39" w14:textId="77777777" w:rsidR="00AF6FCB" w:rsidRPr="005045BF" w:rsidRDefault="00AF6FCB" w:rsidP="00AF6FCB">
      <w:pPr>
        <w:jc w:val="both"/>
        <w:rPr>
          <w:rFonts w:ascii="Arial" w:hAnsi="Arial" w:cs="Arial"/>
          <w:color w:val="000000"/>
          <w:sz w:val="22"/>
          <w:szCs w:val="22"/>
        </w:rPr>
      </w:pPr>
    </w:p>
    <w:p w14:paraId="4CE2C892" w14:textId="77777777" w:rsidR="00C64D43" w:rsidRPr="005045BF" w:rsidRDefault="00C64D43" w:rsidP="00C64D43">
      <w:pPr>
        <w:pStyle w:val="Prrafodelista"/>
        <w:numPr>
          <w:ilvl w:val="0"/>
          <w:numId w:val="46"/>
        </w:numPr>
        <w:spacing w:after="120"/>
        <w:ind w:left="357" w:hanging="357"/>
        <w:contextualSpacing w:val="0"/>
        <w:rPr>
          <w:rFonts w:ascii="Arial" w:hAnsi="Arial" w:cs="Arial"/>
          <w:color w:val="000000"/>
          <w:sz w:val="22"/>
          <w:szCs w:val="22"/>
        </w:rPr>
      </w:pPr>
      <w:r w:rsidRPr="005045BF">
        <w:rPr>
          <w:rFonts w:ascii="Arial" w:hAnsi="Arial" w:cs="Arial"/>
          <w:color w:val="000000"/>
          <w:sz w:val="22"/>
          <w:szCs w:val="22"/>
        </w:rPr>
        <w:t>Instalación de dispositivos ahorradores de agua en todas las cafeterías de la Entidad.</w:t>
      </w:r>
    </w:p>
    <w:p w14:paraId="20E5D182" w14:textId="77777777" w:rsidR="00C64D43" w:rsidRPr="005045BF" w:rsidRDefault="00C64D43" w:rsidP="00C64D43">
      <w:pPr>
        <w:pStyle w:val="Prrafodelista"/>
        <w:numPr>
          <w:ilvl w:val="0"/>
          <w:numId w:val="46"/>
        </w:numPr>
        <w:spacing w:after="120"/>
        <w:ind w:left="357" w:hanging="357"/>
        <w:contextualSpacing w:val="0"/>
        <w:rPr>
          <w:rFonts w:ascii="Arial" w:hAnsi="Arial" w:cs="Arial"/>
          <w:color w:val="000000"/>
          <w:sz w:val="22"/>
          <w:szCs w:val="22"/>
        </w:rPr>
      </w:pPr>
      <w:r w:rsidRPr="005045BF">
        <w:rPr>
          <w:rFonts w:ascii="Arial" w:hAnsi="Arial" w:cs="Arial"/>
          <w:color w:val="000000"/>
          <w:sz w:val="22"/>
          <w:szCs w:val="22"/>
        </w:rPr>
        <w:t>Sensores para orinales y sanitarios de toda la Entidad.</w:t>
      </w:r>
    </w:p>
    <w:p w14:paraId="7BD6DC2A" w14:textId="54E405CA" w:rsidR="00C64D43" w:rsidRPr="005045BF" w:rsidRDefault="00C64D43" w:rsidP="00C64D43">
      <w:pPr>
        <w:pStyle w:val="Prrafodelista"/>
        <w:numPr>
          <w:ilvl w:val="0"/>
          <w:numId w:val="46"/>
        </w:numPr>
        <w:spacing w:after="120"/>
        <w:ind w:left="357" w:hanging="357"/>
        <w:contextualSpacing w:val="0"/>
        <w:rPr>
          <w:rFonts w:ascii="Arial" w:hAnsi="Arial" w:cs="Arial"/>
          <w:color w:val="000000"/>
          <w:sz w:val="22"/>
          <w:szCs w:val="22"/>
        </w:rPr>
      </w:pPr>
      <w:r w:rsidRPr="005045BF">
        <w:rPr>
          <w:rFonts w:ascii="Arial" w:hAnsi="Arial" w:cs="Arial"/>
          <w:color w:val="000000"/>
          <w:sz w:val="22"/>
          <w:szCs w:val="22"/>
        </w:rPr>
        <w:t xml:space="preserve">Realización </w:t>
      </w:r>
      <w:r w:rsidR="00D762CA" w:rsidRPr="005045BF">
        <w:rPr>
          <w:rFonts w:ascii="Arial" w:hAnsi="Arial" w:cs="Arial"/>
          <w:color w:val="000000"/>
          <w:sz w:val="22"/>
          <w:szCs w:val="22"/>
        </w:rPr>
        <w:t>de</w:t>
      </w:r>
      <w:r w:rsidRPr="005045BF">
        <w:rPr>
          <w:rFonts w:ascii="Arial" w:hAnsi="Arial" w:cs="Arial"/>
          <w:color w:val="000000"/>
          <w:sz w:val="22"/>
          <w:szCs w:val="22"/>
        </w:rPr>
        <w:t xml:space="preserve"> campañas de sensibilización para el ahorro y uso eficiente de estos</w:t>
      </w:r>
      <w:r w:rsidRPr="005045BF">
        <w:rPr>
          <w:rFonts w:ascii="Arial" w:hAnsi="Arial" w:cs="Arial"/>
          <w:color w:val="000000"/>
          <w:sz w:val="22"/>
          <w:szCs w:val="22"/>
        </w:rPr>
        <w:br/>
        <w:t>servicios publicadas en la intranet, carteleras digitales y físicas del Ministerio.</w:t>
      </w:r>
    </w:p>
    <w:p w14:paraId="276E100E" w14:textId="4ABEFB76" w:rsidR="00C64D43" w:rsidRPr="005045BF" w:rsidRDefault="00C64D43" w:rsidP="00C64D43">
      <w:pPr>
        <w:pStyle w:val="Prrafodelista"/>
        <w:numPr>
          <w:ilvl w:val="0"/>
          <w:numId w:val="46"/>
        </w:numPr>
        <w:spacing w:after="200" w:line="276" w:lineRule="auto"/>
        <w:rPr>
          <w:rFonts w:ascii="Arial" w:hAnsi="Arial" w:cs="Arial"/>
          <w:color w:val="000000"/>
          <w:sz w:val="22"/>
          <w:szCs w:val="22"/>
        </w:rPr>
      </w:pPr>
      <w:r w:rsidRPr="005045BF">
        <w:rPr>
          <w:rFonts w:ascii="Arial" w:hAnsi="Arial" w:cs="Arial"/>
          <w:color w:val="000000"/>
          <w:sz w:val="22"/>
          <w:szCs w:val="22"/>
        </w:rPr>
        <w:t>Seguimiento y mantenimiento de ahorradores de agua en todas las cafeterías de la entidad</w:t>
      </w:r>
      <w:r w:rsidR="00D762CA" w:rsidRPr="005045BF">
        <w:rPr>
          <w:rFonts w:ascii="Arial" w:hAnsi="Arial" w:cs="Arial"/>
          <w:color w:val="000000"/>
          <w:sz w:val="22"/>
          <w:szCs w:val="22"/>
        </w:rPr>
        <w:t>.</w:t>
      </w:r>
    </w:p>
    <w:p w14:paraId="080CDD36" w14:textId="5FA62D6F" w:rsidR="00EC13AD" w:rsidRPr="005045BF" w:rsidRDefault="00EC13AD" w:rsidP="00825171">
      <w:pPr>
        <w:rPr>
          <w:rFonts w:ascii="Arial" w:hAnsi="Arial" w:cs="Arial"/>
          <w:sz w:val="22"/>
          <w:szCs w:val="22"/>
        </w:rPr>
      </w:pPr>
    </w:p>
    <w:p w14:paraId="6602E1F9" w14:textId="77777777" w:rsidR="003F456A" w:rsidRPr="005045BF" w:rsidRDefault="003F456A" w:rsidP="003F456A">
      <w:pPr>
        <w:tabs>
          <w:tab w:val="left" w:pos="142"/>
          <w:tab w:val="left" w:pos="284"/>
        </w:tabs>
        <w:rPr>
          <w:rFonts w:ascii="Arial" w:hAnsi="Arial" w:cs="Arial"/>
          <w:b/>
          <w:color w:val="000000" w:themeColor="text1"/>
        </w:rPr>
      </w:pPr>
    </w:p>
    <w:p w14:paraId="456C549C" w14:textId="5FD40710" w:rsidR="003F456A" w:rsidRPr="005045BF" w:rsidRDefault="00D31785" w:rsidP="003F456A">
      <w:pPr>
        <w:tabs>
          <w:tab w:val="left" w:pos="142"/>
          <w:tab w:val="left" w:pos="284"/>
        </w:tabs>
        <w:rPr>
          <w:rFonts w:ascii="Arial" w:hAnsi="Arial" w:cs="Arial"/>
          <w:b/>
          <w:color w:val="000000" w:themeColor="text1"/>
        </w:rPr>
      </w:pPr>
      <w:r w:rsidRPr="005045BF">
        <w:rPr>
          <w:rFonts w:ascii="Arial" w:hAnsi="Arial" w:cs="Arial"/>
          <w:b/>
          <w:color w:val="000000" w:themeColor="text1"/>
        </w:rPr>
        <w:t>11</w:t>
      </w:r>
      <w:r w:rsidR="003F456A" w:rsidRPr="005045BF">
        <w:rPr>
          <w:rFonts w:ascii="Arial" w:hAnsi="Arial" w:cs="Arial"/>
          <w:b/>
          <w:color w:val="000000" w:themeColor="text1"/>
        </w:rPr>
        <w:t>. RECOMENDACIONES GENERALES</w:t>
      </w:r>
    </w:p>
    <w:p w14:paraId="67F6B3DE" w14:textId="0790E48D" w:rsidR="003F456A" w:rsidRPr="005045BF" w:rsidRDefault="003F456A" w:rsidP="003F456A">
      <w:pPr>
        <w:pStyle w:val="Prrafodelista"/>
        <w:ind w:left="360"/>
        <w:contextualSpacing w:val="0"/>
        <w:rPr>
          <w:rFonts w:ascii="Arial" w:hAnsi="Arial" w:cs="Arial"/>
          <w:b/>
          <w:color w:val="000000" w:themeColor="text1"/>
        </w:rPr>
      </w:pPr>
    </w:p>
    <w:p w14:paraId="4FDBD431" w14:textId="03C33C0B" w:rsidR="00E2251A" w:rsidRDefault="00D40B84" w:rsidP="00D40B84">
      <w:pPr>
        <w:jc w:val="both"/>
        <w:rPr>
          <w:rFonts w:ascii="Arial" w:hAnsi="Arial" w:cs="Arial"/>
          <w:bCs/>
          <w:color w:val="000000" w:themeColor="text1"/>
          <w:sz w:val="22"/>
          <w:szCs w:val="22"/>
        </w:rPr>
      </w:pPr>
      <w:r w:rsidRPr="005045BF">
        <w:rPr>
          <w:rFonts w:ascii="Arial" w:hAnsi="Arial" w:cs="Arial"/>
          <w:bCs/>
          <w:color w:val="000000" w:themeColor="text1"/>
          <w:sz w:val="22"/>
          <w:szCs w:val="22"/>
        </w:rPr>
        <w:t xml:space="preserve">Continuar implementando medidas y controles que permitan optimizar el consumo por gastos generales en consideración con lo previsto en el marco normativo de austeridad, específicamente, en </w:t>
      </w:r>
      <w:r w:rsidR="00AF6FCB" w:rsidRPr="005045BF">
        <w:rPr>
          <w:rFonts w:ascii="Arial" w:hAnsi="Arial" w:cs="Arial"/>
          <w:bCs/>
          <w:color w:val="000000" w:themeColor="text1"/>
          <w:sz w:val="22"/>
          <w:szCs w:val="22"/>
        </w:rPr>
        <w:t>aquellos</w:t>
      </w:r>
      <w:r w:rsidR="00AF6FCB">
        <w:rPr>
          <w:rFonts w:ascii="Arial" w:hAnsi="Arial" w:cs="Arial"/>
          <w:bCs/>
          <w:color w:val="000000" w:themeColor="text1"/>
          <w:sz w:val="22"/>
          <w:szCs w:val="22"/>
        </w:rPr>
        <w:t xml:space="preserve"> conceptos</w:t>
      </w:r>
      <w:r w:rsidRPr="005045BF">
        <w:rPr>
          <w:rFonts w:ascii="Arial" w:hAnsi="Arial" w:cs="Arial"/>
          <w:bCs/>
          <w:color w:val="000000" w:themeColor="text1"/>
          <w:sz w:val="22"/>
          <w:szCs w:val="22"/>
        </w:rPr>
        <w:t xml:space="preserve"> en los </w:t>
      </w:r>
      <w:r w:rsidR="00AF6FCB">
        <w:rPr>
          <w:rFonts w:ascii="Arial" w:hAnsi="Arial" w:cs="Arial"/>
          <w:bCs/>
          <w:color w:val="000000" w:themeColor="text1"/>
          <w:sz w:val="22"/>
          <w:szCs w:val="22"/>
        </w:rPr>
        <w:t xml:space="preserve">cuales, como </w:t>
      </w:r>
      <w:r w:rsidRPr="005045BF">
        <w:rPr>
          <w:rFonts w:ascii="Arial" w:hAnsi="Arial" w:cs="Arial"/>
          <w:bCs/>
          <w:color w:val="000000" w:themeColor="text1"/>
          <w:sz w:val="22"/>
          <w:szCs w:val="22"/>
        </w:rPr>
        <w:t>resultado del análisis presentado</w:t>
      </w:r>
      <w:r w:rsidR="00AF6FCB">
        <w:rPr>
          <w:rFonts w:ascii="Arial" w:hAnsi="Arial" w:cs="Arial"/>
          <w:bCs/>
          <w:color w:val="000000" w:themeColor="text1"/>
          <w:sz w:val="22"/>
          <w:szCs w:val="22"/>
        </w:rPr>
        <w:t xml:space="preserve"> </w:t>
      </w:r>
      <w:r w:rsidRPr="005045BF">
        <w:rPr>
          <w:rFonts w:ascii="Arial" w:hAnsi="Arial" w:cs="Arial"/>
          <w:bCs/>
          <w:color w:val="000000" w:themeColor="text1"/>
          <w:sz w:val="22"/>
          <w:szCs w:val="22"/>
        </w:rPr>
        <w:t>se evidenci</w:t>
      </w:r>
      <w:r w:rsidR="00AF6FCB">
        <w:rPr>
          <w:rFonts w:ascii="Arial" w:hAnsi="Arial" w:cs="Arial"/>
          <w:bCs/>
          <w:color w:val="000000" w:themeColor="text1"/>
          <w:sz w:val="22"/>
          <w:szCs w:val="22"/>
        </w:rPr>
        <w:t>aron</w:t>
      </w:r>
      <w:r w:rsidRPr="005045BF">
        <w:rPr>
          <w:rFonts w:ascii="Arial" w:hAnsi="Arial" w:cs="Arial"/>
          <w:bCs/>
          <w:color w:val="000000" w:themeColor="text1"/>
          <w:sz w:val="22"/>
          <w:szCs w:val="22"/>
        </w:rPr>
        <w:t xml:space="preserve"> variaciones positivas</w:t>
      </w:r>
      <w:r w:rsidR="00E2251A">
        <w:rPr>
          <w:rFonts w:ascii="Arial" w:hAnsi="Arial" w:cs="Arial"/>
          <w:bCs/>
          <w:color w:val="000000" w:themeColor="text1"/>
          <w:sz w:val="22"/>
          <w:szCs w:val="22"/>
        </w:rPr>
        <w:t xml:space="preserve">. </w:t>
      </w:r>
    </w:p>
    <w:p w14:paraId="50EC2F11" w14:textId="77777777" w:rsidR="00E2251A" w:rsidRDefault="00E2251A" w:rsidP="00D40B84">
      <w:pPr>
        <w:jc w:val="both"/>
        <w:rPr>
          <w:rFonts w:ascii="Arial" w:hAnsi="Arial" w:cs="Arial"/>
          <w:bCs/>
          <w:color w:val="000000" w:themeColor="text1"/>
          <w:sz w:val="22"/>
          <w:szCs w:val="22"/>
        </w:rPr>
      </w:pPr>
    </w:p>
    <w:p w14:paraId="6C8D3634" w14:textId="3C10FBF8" w:rsidR="00AF6FCB" w:rsidRDefault="00E2251A" w:rsidP="00E2251A">
      <w:pPr>
        <w:jc w:val="both"/>
        <w:rPr>
          <w:rFonts w:ascii="Arial" w:hAnsi="Arial" w:cs="Arial"/>
          <w:bCs/>
          <w:color w:val="000000" w:themeColor="text1"/>
          <w:sz w:val="22"/>
          <w:szCs w:val="22"/>
        </w:rPr>
      </w:pPr>
      <w:r>
        <w:rPr>
          <w:rFonts w:ascii="Arial" w:hAnsi="Arial" w:cs="Arial"/>
          <w:bCs/>
          <w:color w:val="000000" w:themeColor="text1"/>
          <w:sz w:val="22"/>
          <w:szCs w:val="22"/>
        </w:rPr>
        <w:t xml:space="preserve">De igual forma, se recomendó a la Subdirección de Servicios adelantar </w:t>
      </w:r>
      <w:r w:rsidRPr="005045BF">
        <w:rPr>
          <w:rFonts w:ascii="Arial" w:hAnsi="Arial" w:cs="Arial"/>
          <w:color w:val="000000" w:themeColor="text1"/>
          <w:sz w:val="22"/>
          <w:szCs w:val="22"/>
        </w:rPr>
        <w:t>las gestiones pertinentes y las acciones a que haya lugar</w:t>
      </w:r>
      <w:r>
        <w:rPr>
          <w:rFonts w:ascii="Arial" w:hAnsi="Arial" w:cs="Arial"/>
          <w:bCs/>
          <w:color w:val="000000" w:themeColor="text1"/>
          <w:sz w:val="22"/>
          <w:szCs w:val="22"/>
        </w:rPr>
        <w:t xml:space="preserve">, referente a los </w:t>
      </w:r>
      <w:r w:rsidR="00D40B84" w:rsidRPr="005045BF">
        <w:rPr>
          <w:rFonts w:ascii="Arial" w:hAnsi="Arial" w:cs="Arial"/>
          <w:bCs/>
          <w:color w:val="000000" w:themeColor="text1"/>
          <w:sz w:val="22"/>
          <w:szCs w:val="22"/>
        </w:rPr>
        <w:t>cobros de servicios adicionales de las líneas telefónicas asignadas a Directivos</w:t>
      </w:r>
      <w:r>
        <w:rPr>
          <w:rFonts w:ascii="Arial" w:hAnsi="Arial" w:cs="Arial"/>
          <w:bCs/>
          <w:color w:val="000000" w:themeColor="text1"/>
          <w:sz w:val="22"/>
          <w:szCs w:val="22"/>
        </w:rPr>
        <w:t xml:space="preserve"> [</w:t>
      </w:r>
      <w:r w:rsidR="003B05D8">
        <w:rPr>
          <w:rFonts w:ascii="Arial" w:hAnsi="Arial" w:cs="Arial"/>
          <w:bCs/>
          <w:color w:val="000000" w:themeColor="text1"/>
          <w:sz w:val="22"/>
          <w:szCs w:val="22"/>
        </w:rPr>
        <w:t>n</w:t>
      </w:r>
      <w:r>
        <w:rPr>
          <w:rFonts w:ascii="Arial" w:hAnsi="Arial" w:cs="Arial"/>
          <w:bCs/>
          <w:color w:val="000000" w:themeColor="text1"/>
          <w:sz w:val="22"/>
          <w:szCs w:val="22"/>
        </w:rPr>
        <w:t>umeral 7.3]</w:t>
      </w:r>
      <w:r w:rsidR="00AF6FCB">
        <w:rPr>
          <w:rFonts w:ascii="Arial" w:hAnsi="Arial" w:cs="Arial"/>
          <w:bCs/>
          <w:color w:val="000000" w:themeColor="text1"/>
          <w:sz w:val="22"/>
          <w:szCs w:val="22"/>
        </w:rPr>
        <w:t>,</w:t>
      </w:r>
      <w:r w:rsidR="0046179F">
        <w:rPr>
          <w:rFonts w:ascii="Arial" w:hAnsi="Arial" w:cs="Arial"/>
          <w:bCs/>
          <w:color w:val="000000" w:themeColor="text1"/>
          <w:sz w:val="22"/>
          <w:szCs w:val="22"/>
        </w:rPr>
        <w:t xml:space="preserve"> </w:t>
      </w:r>
      <w:r w:rsidR="00AF6FCB">
        <w:rPr>
          <w:rFonts w:ascii="Arial" w:hAnsi="Arial" w:cs="Arial"/>
          <w:bCs/>
          <w:color w:val="000000" w:themeColor="text1"/>
          <w:sz w:val="22"/>
          <w:szCs w:val="22"/>
        </w:rPr>
        <w:t xml:space="preserve">los cuales </w:t>
      </w:r>
      <w:r w:rsidR="0046179F">
        <w:rPr>
          <w:rFonts w:ascii="Arial" w:hAnsi="Arial" w:cs="Arial"/>
          <w:bCs/>
          <w:color w:val="000000" w:themeColor="text1"/>
          <w:sz w:val="22"/>
          <w:szCs w:val="22"/>
        </w:rPr>
        <w:t>están pendientes de reintegro</w:t>
      </w:r>
      <w:r w:rsidR="00AF6FCB">
        <w:rPr>
          <w:rFonts w:ascii="Arial" w:hAnsi="Arial" w:cs="Arial"/>
          <w:bCs/>
          <w:color w:val="000000" w:themeColor="text1"/>
          <w:sz w:val="22"/>
          <w:szCs w:val="22"/>
        </w:rPr>
        <w:t>, así como, lo</w:t>
      </w:r>
      <w:r>
        <w:rPr>
          <w:rFonts w:ascii="Arial" w:hAnsi="Arial" w:cs="Arial"/>
          <w:bCs/>
          <w:color w:val="000000" w:themeColor="text1"/>
          <w:sz w:val="22"/>
          <w:szCs w:val="22"/>
        </w:rPr>
        <w:t xml:space="preserve"> relacionado con el procedimiento de</w:t>
      </w:r>
      <w:r w:rsidR="00AF6FCB">
        <w:rPr>
          <w:rFonts w:ascii="Arial" w:hAnsi="Arial" w:cs="Arial"/>
          <w:bCs/>
          <w:color w:val="000000" w:themeColor="text1"/>
          <w:sz w:val="22"/>
          <w:szCs w:val="22"/>
        </w:rPr>
        <w:t>l</w:t>
      </w:r>
      <w:r>
        <w:rPr>
          <w:rFonts w:ascii="Arial" w:hAnsi="Arial" w:cs="Arial"/>
          <w:bCs/>
          <w:color w:val="000000" w:themeColor="text1"/>
          <w:sz w:val="22"/>
          <w:szCs w:val="22"/>
        </w:rPr>
        <w:t xml:space="preserve"> cálculo de prorrateo de los servicios público [numeral </w:t>
      </w:r>
      <w:r w:rsidR="0046179F">
        <w:rPr>
          <w:rFonts w:ascii="Arial" w:hAnsi="Arial" w:cs="Arial"/>
          <w:bCs/>
          <w:color w:val="000000" w:themeColor="text1"/>
          <w:sz w:val="22"/>
          <w:szCs w:val="22"/>
        </w:rPr>
        <w:t>10</w:t>
      </w:r>
      <w:r>
        <w:rPr>
          <w:rFonts w:ascii="Arial" w:hAnsi="Arial" w:cs="Arial"/>
          <w:bCs/>
          <w:color w:val="000000" w:themeColor="text1"/>
          <w:sz w:val="22"/>
          <w:szCs w:val="22"/>
        </w:rPr>
        <w:t>.1]</w:t>
      </w:r>
      <w:r w:rsidR="00AF6FCB">
        <w:rPr>
          <w:rFonts w:ascii="Arial" w:hAnsi="Arial" w:cs="Arial"/>
          <w:bCs/>
          <w:color w:val="000000" w:themeColor="text1"/>
          <w:sz w:val="22"/>
          <w:szCs w:val="22"/>
        </w:rPr>
        <w:t>.</w:t>
      </w:r>
      <w:r w:rsidR="00D40B84" w:rsidRPr="005045BF">
        <w:rPr>
          <w:rFonts w:ascii="Arial" w:hAnsi="Arial" w:cs="Arial"/>
          <w:bCs/>
          <w:color w:val="000000" w:themeColor="text1"/>
          <w:sz w:val="22"/>
          <w:szCs w:val="22"/>
        </w:rPr>
        <w:t xml:space="preserve"> </w:t>
      </w:r>
    </w:p>
    <w:p w14:paraId="49503F93" w14:textId="77777777" w:rsidR="00AF6FCB" w:rsidRDefault="00AF6FCB" w:rsidP="00E2251A">
      <w:pPr>
        <w:jc w:val="both"/>
        <w:rPr>
          <w:rFonts w:ascii="Arial" w:hAnsi="Arial" w:cs="Arial"/>
          <w:bCs/>
          <w:color w:val="000000" w:themeColor="text1"/>
          <w:sz w:val="22"/>
          <w:szCs w:val="22"/>
        </w:rPr>
      </w:pPr>
    </w:p>
    <w:p w14:paraId="46997AB0" w14:textId="6A68BB84" w:rsidR="00E2251A" w:rsidRPr="003B05D8" w:rsidRDefault="00AF6FCB" w:rsidP="00E2251A">
      <w:pPr>
        <w:jc w:val="both"/>
        <w:rPr>
          <w:rFonts w:ascii="Arial" w:hAnsi="Arial" w:cs="Arial"/>
          <w:color w:val="000000" w:themeColor="text1"/>
          <w:sz w:val="22"/>
          <w:szCs w:val="22"/>
          <w:shd w:val="clear" w:color="auto" w:fill="FFFFFF"/>
        </w:rPr>
      </w:pPr>
      <w:r>
        <w:rPr>
          <w:rFonts w:ascii="Arial" w:hAnsi="Arial" w:cs="Arial"/>
          <w:bCs/>
          <w:color w:val="000000" w:themeColor="text1"/>
          <w:sz w:val="22"/>
          <w:szCs w:val="22"/>
        </w:rPr>
        <w:t>Es de mencionar que, l</w:t>
      </w:r>
      <w:r w:rsidR="003B05D8">
        <w:rPr>
          <w:rFonts w:ascii="Arial" w:hAnsi="Arial" w:cs="Arial"/>
          <w:bCs/>
          <w:color w:val="000000" w:themeColor="text1"/>
          <w:sz w:val="22"/>
          <w:szCs w:val="22"/>
        </w:rPr>
        <w:t>o</w:t>
      </w:r>
      <w:r>
        <w:rPr>
          <w:rFonts w:ascii="Arial" w:hAnsi="Arial" w:cs="Arial"/>
          <w:bCs/>
          <w:color w:val="000000" w:themeColor="text1"/>
          <w:sz w:val="22"/>
          <w:szCs w:val="22"/>
        </w:rPr>
        <w:t>s</w:t>
      </w:r>
      <w:r w:rsidR="003B05D8">
        <w:rPr>
          <w:rFonts w:ascii="Arial" w:hAnsi="Arial" w:cs="Arial"/>
          <w:bCs/>
          <w:color w:val="000000" w:themeColor="text1"/>
          <w:sz w:val="22"/>
          <w:szCs w:val="22"/>
        </w:rPr>
        <w:t xml:space="preserve"> temas antes mencionados</w:t>
      </w:r>
      <w:r>
        <w:rPr>
          <w:rFonts w:ascii="Arial" w:hAnsi="Arial" w:cs="Arial"/>
          <w:bCs/>
          <w:color w:val="000000" w:themeColor="text1"/>
          <w:sz w:val="22"/>
          <w:szCs w:val="22"/>
        </w:rPr>
        <w:t xml:space="preserve"> </w:t>
      </w:r>
      <w:r w:rsidR="003B05D8" w:rsidRPr="005045BF">
        <w:rPr>
          <w:rFonts w:ascii="Arial" w:hAnsi="Arial" w:cs="Arial"/>
          <w:color w:val="000000" w:themeColor="text1"/>
          <w:sz w:val="22"/>
          <w:szCs w:val="22"/>
        </w:rPr>
        <w:t>serán</w:t>
      </w:r>
      <w:r w:rsidR="00E2251A" w:rsidRPr="005045BF">
        <w:rPr>
          <w:rFonts w:ascii="Arial" w:hAnsi="Arial" w:cs="Arial"/>
          <w:color w:val="000000" w:themeColor="text1"/>
          <w:sz w:val="22"/>
          <w:szCs w:val="22"/>
        </w:rPr>
        <w:t xml:space="preserve"> </w:t>
      </w:r>
      <w:r w:rsidR="00E2251A" w:rsidRPr="005045BF">
        <w:rPr>
          <w:rFonts w:ascii="Arial" w:hAnsi="Arial" w:cs="Arial"/>
          <w:color w:val="000000"/>
          <w:sz w:val="22"/>
          <w:szCs w:val="22"/>
        </w:rPr>
        <w:t>objeto de verificación en el próximo seguimiento desarrollado por la Oficina de Control Interno.</w:t>
      </w:r>
    </w:p>
    <w:p w14:paraId="144F7072" w14:textId="77777777" w:rsidR="00E2251A" w:rsidRPr="005045BF" w:rsidRDefault="00E2251A" w:rsidP="00D40B84">
      <w:pPr>
        <w:jc w:val="both"/>
        <w:rPr>
          <w:rFonts w:ascii="Arial" w:hAnsi="Arial" w:cs="Arial"/>
          <w:color w:val="000000" w:themeColor="text1"/>
          <w:sz w:val="22"/>
          <w:szCs w:val="22"/>
        </w:rPr>
      </w:pPr>
    </w:p>
    <w:p w14:paraId="12588E15" w14:textId="525C9A84" w:rsidR="00D40B84" w:rsidRDefault="00D40B84" w:rsidP="00D40B84">
      <w:pPr>
        <w:ind w:left="284"/>
        <w:jc w:val="both"/>
        <w:rPr>
          <w:rFonts w:ascii="Arial" w:hAnsi="Arial" w:cs="Arial"/>
          <w:color w:val="000000" w:themeColor="text1"/>
          <w:sz w:val="22"/>
          <w:szCs w:val="22"/>
        </w:rPr>
      </w:pPr>
    </w:p>
    <w:p w14:paraId="5032AC21" w14:textId="3FFB502C" w:rsidR="001845F2" w:rsidRPr="00964399" w:rsidRDefault="00964399" w:rsidP="00964399">
      <w:pPr>
        <w:pStyle w:val="Prrafodelista"/>
        <w:numPr>
          <w:ilvl w:val="0"/>
          <w:numId w:val="49"/>
        </w:numPr>
        <w:tabs>
          <w:tab w:val="left" w:pos="426"/>
        </w:tabs>
        <w:rPr>
          <w:rFonts w:ascii="Arial" w:hAnsi="Arial" w:cs="Arial"/>
          <w:b/>
        </w:rPr>
      </w:pPr>
      <w:r>
        <w:rPr>
          <w:rFonts w:ascii="Arial" w:hAnsi="Arial" w:cs="Arial"/>
          <w:b/>
        </w:rPr>
        <w:lastRenderedPageBreak/>
        <w:t xml:space="preserve"> </w:t>
      </w:r>
      <w:r w:rsidR="001845F2" w:rsidRPr="00964399">
        <w:rPr>
          <w:rFonts w:ascii="Arial" w:hAnsi="Arial" w:cs="Arial"/>
          <w:b/>
        </w:rPr>
        <w:t>CONCLUSIONES</w:t>
      </w:r>
    </w:p>
    <w:p w14:paraId="2B054040" w14:textId="77777777" w:rsidR="00964399" w:rsidRPr="00964399" w:rsidRDefault="00964399" w:rsidP="00964399">
      <w:pPr>
        <w:pStyle w:val="Prrafodelista"/>
        <w:tabs>
          <w:tab w:val="left" w:pos="426"/>
        </w:tabs>
        <w:ind w:left="360"/>
        <w:rPr>
          <w:rFonts w:ascii="Arial" w:hAnsi="Arial" w:cs="Arial"/>
          <w:b/>
        </w:rPr>
      </w:pPr>
    </w:p>
    <w:p w14:paraId="2D814726" w14:textId="273F7D54" w:rsidR="007A24F9" w:rsidRDefault="007D74C3" w:rsidP="00964399">
      <w:pPr>
        <w:jc w:val="both"/>
        <w:rPr>
          <w:rFonts w:ascii="Arial" w:hAnsi="Arial" w:cs="Arial"/>
          <w:sz w:val="22"/>
          <w:szCs w:val="22"/>
        </w:rPr>
      </w:pPr>
      <w:r w:rsidRPr="005045BF">
        <w:rPr>
          <w:rFonts w:ascii="Arial" w:hAnsi="Arial" w:cs="Arial"/>
          <w:sz w:val="22"/>
          <w:szCs w:val="22"/>
        </w:rPr>
        <w:t xml:space="preserve">Con base en las variaciones establecidas para los conceptos objeto de análisis correspondientes al primer trimestre de 2020 en comparación con igual periodo del año 2019, se concluye que en términos generales el Ministerio de Hacienda y Crédito Público ha venido aplicando controles </w:t>
      </w:r>
      <w:r w:rsidR="00A13984" w:rsidRPr="005045BF">
        <w:rPr>
          <w:rFonts w:ascii="Arial" w:hAnsi="Arial" w:cs="Arial"/>
          <w:sz w:val="22"/>
          <w:szCs w:val="22"/>
        </w:rPr>
        <w:t>y medidas</w:t>
      </w:r>
      <w:r w:rsidRPr="005045BF">
        <w:rPr>
          <w:rFonts w:ascii="Arial" w:hAnsi="Arial" w:cs="Arial"/>
          <w:sz w:val="22"/>
          <w:szCs w:val="22"/>
        </w:rPr>
        <w:t xml:space="preserve"> de austeridad que han permitido lograr ahorros y disminuciones, </w:t>
      </w:r>
      <w:r w:rsidR="00A13984" w:rsidRPr="005045BF">
        <w:rPr>
          <w:rFonts w:ascii="Arial" w:hAnsi="Arial" w:cs="Arial"/>
          <w:sz w:val="22"/>
          <w:szCs w:val="22"/>
        </w:rPr>
        <w:t xml:space="preserve">cumpliendo de forma razonable </w:t>
      </w:r>
      <w:r w:rsidR="00446262" w:rsidRPr="005045BF">
        <w:rPr>
          <w:rFonts w:ascii="Arial" w:hAnsi="Arial" w:cs="Arial"/>
          <w:sz w:val="22"/>
          <w:szCs w:val="22"/>
        </w:rPr>
        <w:t xml:space="preserve">con </w:t>
      </w:r>
      <w:r w:rsidRPr="005045BF">
        <w:rPr>
          <w:rFonts w:ascii="Arial" w:hAnsi="Arial" w:cs="Arial"/>
          <w:sz w:val="22"/>
          <w:szCs w:val="22"/>
        </w:rPr>
        <w:t xml:space="preserve">las directrices y parámetros </w:t>
      </w:r>
      <w:r w:rsidR="00A13984" w:rsidRPr="005045BF">
        <w:rPr>
          <w:rFonts w:ascii="Arial" w:hAnsi="Arial" w:cs="Arial"/>
          <w:sz w:val="22"/>
          <w:szCs w:val="22"/>
        </w:rPr>
        <w:t xml:space="preserve">definidos en la Directiva Presidencial 09 de 2018. </w:t>
      </w:r>
    </w:p>
    <w:p w14:paraId="49B7D515" w14:textId="77777777" w:rsidR="00964399" w:rsidRDefault="00964399" w:rsidP="00964399">
      <w:pPr>
        <w:jc w:val="both"/>
        <w:rPr>
          <w:rFonts w:ascii="Arial" w:hAnsi="Arial" w:cs="Arial"/>
          <w:sz w:val="22"/>
          <w:szCs w:val="22"/>
        </w:rPr>
      </w:pPr>
    </w:p>
    <w:p w14:paraId="0B12E411" w14:textId="2C76711B" w:rsidR="007A24F9" w:rsidRDefault="003E7DC5" w:rsidP="00964399">
      <w:pPr>
        <w:pStyle w:val="Prrafodelista"/>
        <w:ind w:left="0"/>
        <w:contextualSpacing w:val="0"/>
        <w:rPr>
          <w:rFonts w:ascii="Arial" w:hAnsi="Arial" w:cs="Arial"/>
          <w:color w:val="000000" w:themeColor="text1"/>
          <w:sz w:val="22"/>
          <w:szCs w:val="22"/>
          <w:bdr w:val="none" w:sz="0" w:space="0" w:color="auto" w:frame="1"/>
        </w:rPr>
      </w:pPr>
      <w:r>
        <w:rPr>
          <w:rFonts w:ascii="Arial" w:hAnsi="Arial" w:cs="Arial"/>
          <w:color w:val="000000"/>
          <w:sz w:val="22"/>
          <w:szCs w:val="22"/>
        </w:rPr>
        <w:t xml:space="preserve">Así mismo, </w:t>
      </w:r>
      <w:r w:rsidR="007A24F9" w:rsidRPr="007A24F9">
        <w:rPr>
          <w:rFonts w:ascii="Arial" w:hAnsi="Arial" w:cs="Arial"/>
          <w:color w:val="000000"/>
          <w:sz w:val="22"/>
          <w:szCs w:val="22"/>
        </w:rPr>
        <w:t xml:space="preserve">se considera que </w:t>
      </w:r>
      <w:r w:rsidR="007A24F9" w:rsidRPr="007A24F9">
        <w:rPr>
          <w:rFonts w:ascii="Arial" w:hAnsi="Arial" w:cs="Arial"/>
          <w:color w:val="000000" w:themeColor="text1"/>
          <w:sz w:val="22"/>
          <w:szCs w:val="22"/>
        </w:rPr>
        <w:t xml:space="preserve">las medidas adoptadas por este Ministerio, en virtud de </w:t>
      </w:r>
      <w:r w:rsidR="007A24F9" w:rsidRPr="007A24F9">
        <w:rPr>
          <w:rFonts w:ascii="Arial" w:hAnsi="Arial" w:cs="Arial"/>
          <w:color w:val="000000" w:themeColor="text1"/>
          <w:sz w:val="22"/>
          <w:szCs w:val="22"/>
          <w:bdr w:val="none" w:sz="0" w:space="0" w:color="auto" w:frame="1"/>
        </w:rPr>
        <w:t xml:space="preserve">la Emergencia Económica, Social y Ecológica [Covid-19] decretada por el Gobierno Nacional, </w:t>
      </w:r>
      <w:r>
        <w:rPr>
          <w:rFonts w:ascii="Arial" w:hAnsi="Arial" w:cs="Arial"/>
          <w:color w:val="000000" w:themeColor="text1"/>
          <w:sz w:val="22"/>
          <w:szCs w:val="22"/>
          <w:bdr w:val="none" w:sz="0" w:space="0" w:color="auto" w:frame="1"/>
        </w:rPr>
        <w:t>tales como,</w:t>
      </w:r>
      <w:r w:rsidRPr="007A24F9">
        <w:rPr>
          <w:rFonts w:ascii="Arial" w:hAnsi="Arial" w:cs="Arial"/>
          <w:color w:val="000000" w:themeColor="text1"/>
          <w:sz w:val="22"/>
          <w:szCs w:val="22"/>
          <w:bdr w:val="none" w:sz="0" w:space="0" w:color="auto" w:frame="1"/>
        </w:rPr>
        <w:t xml:space="preserve"> el</w:t>
      </w:r>
      <w:r w:rsidR="007A24F9" w:rsidRPr="007A24F9">
        <w:rPr>
          <w:rFonts w:ascii="Arial" w:hAnsi="Arial" w:cs="Arial"/>
          <w:color w:val="000000" w:themeColor="text1"/>
          <w:sz w:val="22"/>
          <w:szCs w:val="22"/>
          <w:bdr w:val="none" w:sz="0" w:space="0" w:color="auto" w:frame="1"/>
        </w:rPr>
        <w:t xml:space="preserve"> aislamiento preventivo obligatorio a mediados del mes de marzo de 2020, fue un factor que influyó en las estadísticas </w:t>
      </w:r>
      <w:r>
        <w:rPr>
          <w:rFonts w:ascii="Arial" w:hAnsi="Arial" w:cs="Arial"/>
          <w:color w:val="000000" w:themeColor="text1"/>
          <w:sz w:val="22"/>
          <w:szCs w:val="22"/>
          <w:bdr w:val="none" w:sz="0" w:space="0" w:color="auto" w:frame="1"/>
        </w:rPr>
        <w:t xml:space="preserve">y variaciones de </w:t>
      </w:r>
      <w:r w:rsidR="0021405D">
        <w:rPr>
          <w:rFonts w:ascii="Arial" w:hAnsi="Arial" w:cs="Arial"/>
          <w:color w:val="000000" w:themeColor="text1"/>
          <w:sz w:val="22"/>
          <w:szCs w:val="22"/>
          <w:bdr w:val="none" w:sz="0" w:space="0" w:color="auto" w:frame="1"/>
        </w:rPr>
        <w:t xml:space="preserve">los </w:t>
      </w:r>
      <w:r>
        <w:rPr>
          <w:rFonts w:ascii="Arial" w:hAnsi="Arial" w:cs="Arial"/>
          <w:color w:val="000000" w:themeColor="text1"/>
          <w:sz w:val="22"/>
          <w:szCs w:val="22"/>
          <w:bdr w:val="none" w:sz="0" w:space="0" w:color="auto" w:frame="1"/>
        </w:rPr>
        <w:t xml:space="preserve">conceptos como horas extras, viáticos y pasajes aéreos, consumo de papel y energía, entre otros, </w:t>
      </w:r>
      <w:r w:rsidR="007A24F9" w:rsidRPr="007A24F9">
        <w:rPr>
          <w:rFonts w:ascii="Arial" w:hAnsi="Arial" w:cs="Arial"/>
          <w:color w:val="000000" w:themeColor="text1"/>
          <w:sz w:val="22"/>
          <w:szCs w:val="22"/>
          <w:bdr w:val="none" w:sz="0" w:space="0" w:color="auto" w:frame="1"/>
        </w:rPr>
        <w:t xml:space="preserve">permitiendo obtener </w:t>
      </w:r>
      <w:r>
        <w:rPr>
          <w:rFonts w:ascii="Arial" w:hAnsi="Arial" w:cs="Arial"/>
          <w:color w:val="000000" w:themeColor="text1"/>
          <w:sz w:val="22"/>
          <w:szCs w:val="22"/>
          <w:bdr w:val="none" w:sz="0" w:space="0" w:color="auto" w:frame="1"/>
        </w:rPr>
        <w:t>reducciones</w:t>
      </w:r>
      <w:r w:rsidR="0021405D">
        <w:rPr>
          <w:rFonts w:ascii="Arial" w:hAnsi="Arial" w:cs="Arial"/>
          <w:color w:val="000000" w:themeColor="text1"/>
          <w:sz w:val="22"/>
          <w:szCs w:val="22"/>
          <w:bdr w:val="none" w:sz="0" w:space="0" w:color="auto" w:frame="1"/>
        </w:rPr>
        <w:t xml:space="preserve"> en las variables del valor de los gastos, consumo o cantidades, según el caso. </w:t>
      </w:r>
    </w:p>
    <w:p w14:paraId="56DDD08E" w14:textId="77777777" w:rsidR="00964399" w:rsidRPr="007A24F9" w:rsidRDefault="00964399" w:rsidP="00964399">
      <w:pPr>
        <w:pStyle w:val="Prrafodelista"/>
        <w:ind w:left="0"/>
        <w:contextualSpacing w:val="0"/>
        <w:rPr>
          <w:rFonts w:ascii="Arial" w:hAnsi="Arial" w:cs="Arial"/>
          <w:b/>
          <w:color w:val="000000"/>
          <w:sz w:val="22"/>
          <w:szCs w:val="22"/>
          <w:highlight w:val="yellow"/>
        </w:rPr>
      </w:pPr>
    </w:p>
    <w:p w14:paraId="43024AAD" w14:textId="1696B6D3" w:rsidR="003E7848" w:rsidRDefault="001044BD" w:rsidP="00964399">
      <w:pPr>
        <w:jc w:val="both"/>
        <w:rPr>
          <w:rFonts w:ascii="Arial" w:hAnsi="Arial" w:cs="Arial"/>
          <w:sz w:val="22"/>
          <w:szCs w:val="22"/>
        </w:rPr>
      </w:pPr>
      <w:r w:rsidRPr="005045BF">
        <w:rPr>
          <w:rFonts w:ascii="Arial" w:hAnsi="Arial" w:cs="Arial"/>
          <w:sz w:val="22"/>
          <w:szCs w:val="22"/>
        </w:rPr>
        <w:t>A continuación, se presenta una sí</w:t>
      </w:r>
      <w:r w:rsidR="00A72014" w:rsidRPr="005045BF">
        <w:rPr>
          <w:rFonts w:ascii="Arial" w:hAnsi="Arial" w:cs="Arial"/>
          <w:sz w:val="22"/>
          <w:szCs w:val="22"/>
        </w:rPr>
        <w:t>ntesis por componente del gasto</w:t>
      </w:r>
      <w:r w:rsidR="008D0A29" w:rsidRPr="005045BF">
        <w:rPr>
          <w:rFonts w:ascii="Arial" w:hAnsi="Arial" w:cs="Arial"/>
          <w:sz w:val="22"/>
          <w:szCs w:val="22"/>
        </w:rPr>
        <w:t xml:space="preserve"> y consumo de los conceptos verificados,</w:t>
      </w:r>
      <w:r w:rsidR="005D7EC3" w:rsidRPr="005045BF">
        <w:rPr>
          <w:rFonts w:ascii="Arial" w:hAnsi="Arial" w:cs="Arial"/>
          <w:sz w:val="22"/>
          <w:szCs w:val="22"/>
        </w:rPr>
        <w:t xml:space="preserve"> así: </w:t>
      </w:r>
    </w:p>
    <w:p w14:paraId="49F79CC6" w14:textId="7D673CB0" w:rsidR="004B17C0" w:rsidRPr="005045BF" w:rsidRDefault="00A70DA4" w:rsidP="00533A64">
      <w:pPr>
        <w:spacing w:before="100" w:beforeAutospacing="1" w:after="100" w:afterAutospacing="1"/>
        <w:jc w:val="both"/>
        <w:rPr>
          <w:rFonts w:ascii="Arial" w:hAnsi="Arial" w:cs="Arial"/>
          <w:sz w:val="22"/>
          <w:szCs w:val="22"/>
        </w:rPr>
      </w:pPr>
      <w:r w:rsidRPr="005045BF">
        <w:rPr>
          <w:noProof/>
          <w:color w:val="000000" w:themeColor="text1"/>
          <w:highlight w:val="yellow"/>
          <w:lang w:eastAsia="en-US"/>
        </w:rPr>
        <mc:AlternateContent>
          <mc:Choice Requires="wps">
            <w:drawing>
              <wp:anchor distT="0" distB="0" distL="114300" distR="114300" simplePos="0" relativeHeight="251856896" behindDoc="0" locked="0" layoutInCell="1" allowOverlap="1" wp14:anchorId="4D418A25" wp14:editId="6544B87F">
                <wp:simplePos x="0" y="0"/>
                <wp:positionH relativeFrom="margin">
                  <wp:align>left</wp:align>
                </wp:positionH>
                <wp:positionV relativeFrom="paragraph">
                  <wp:posOffset>146744</wp:posOffset>
                </wp:positionV>
                <wp:extent cx="285750" cy="161925"/>
                <wp:effectExtent l="0" t="0" r="19050" b="28575"/>
                <wp:wrapNone/>
                <wp:docPr id="92" name="Triángulo isósceles 92"/>
                <wp:cNvGraphicFramePr/>
                <a:graphic xmlns:a="http://schemas.openxmlformats.org/drawingml/2006/main">
                  <a:graphicData uri="http://schemas.microsoft.com/office/word/2010/wordprocessingShape">
                    <wps:wsp>
                      <wps:cNvSpPr/>
                      <wps:spPr>
                        <a:xfrm>
                          <a:off x="0" y="0"/>
                          <a:ext cx="285750" cy="161925"/>
                        </a:xfrm>
                        <a:prstGeom prst="triangle">
                          <a:avLst/>
                        </a:prstGeom>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8485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92" o:spid="_x0000_s1026" type="#_x0000_t5" style="position:absolute;margin-left:0;margin-top:11.55pt;width:22.5pt;height:12.75pt;z-index:251856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" fillcolor="red" strokecolor="#243f60 [1604]" strokeweight="2pt">
                <w10:wrap anchorx="margin"/>
              </v:shape>
            </w:pict>
          </mc:Fallback>
        </mc:AlternateContent>
      </w:r>
      <w:r w:rsidR="004B17C0" w:rsidRPr="005045BF">
        <w:rPr>
          <w:rFonts w:ascii="Arial" w:hAnsi="Arial" w:cs="Arial"/>
          <w:sz w:val="22"/>
          <w:szCs w:val="22"/>
        </w:rPr>
        <w:t xml:space="preserve">       </w:t>
      </w:r>
      <w:r w:rsidR="004B17C0" w:rsidRPr="005045BF">
        <w:rPr>
          <w:rFonts w:ascii="Arial" w:hAnsi="Arial" w:cs="Arial"/>
          <w:sz w:val="22"/>
          <w:szCs w:val="22"/>
        </w:rPr>
        <w:tab/>
        <w:t xml:space="preserve">Aumentó </w:t>
      </w:r>
    </w:p>
    <w:p w14:paraId="3B462E2C" w14:textId="4AAC51CA" w:rsidR="00FA0E9D" w:rsidRPr="005045BF" w:rsidRDefault="00533A64" w:rsidP="004B17C0">
      <w:pPr>
        <w:rPr>
          <w:rFonts w:ascii="Arial" w:hAnsi="Arial" w:cs="Arial"/>
          <w:sz w:val="22"/>
          <w:szCs w:val="22"/>
        </w:rPr>
      </w:pPr>
      <w:r w:rsidRPr="005045BF">
        <w:rPr>
          <w:noProof/>
          <w:color w:val="000000" w:themeColor="text1"/>
          <w:lang w:eastAsia="en-US"/>
        </w:rPr>
        <mc:AlternateContent>
          <mc:Choice Requires="wps">
            <w:drawing>
              <wp:anchor distT="0" distB="0" distL="114300" distR="114300" simplePos="0" relativeHeight="251857920" behindDoc="0" locked="0" layoutInCell="1" allowOverlap="1" wp14:anchorId="2FFE6598" wp14:editId="052A4481">
                <wp:simplePos x="0" y="0"/>
                <wp:positionH relativeFrom="margin">
                  <wp:posOffset>19050</wp:posOffset>
                </wp:positionH>
                <wp:positionV relativeFrom="paragraph">
                  <wp:posOffset>9525</wp:posOffset>
                </wp:positionV>
                <wp:extent cx="285750" cy="142875"/>
                <wp:effectExtent l="0" t="0" r="19050" b="28575"/>
                <wp:wrapNone/>
                <wp:docPr id="96" name="Triángulo isósceles 96"/>
                <wp:cNvGraphicFramePr/>
                <a:graphic xmlns:a="http://schemas.openxmlformats.org/drawingml/2006/main">
                  <a:graphicData uri="http://schemas.microsoft.com/office/word/2010/wordprocessingShape">
                    <wps:wsp>
                      <wps:cNvSpPr/>
                      <wps:spPr>
                        <a:xfrm rot="10800000">
                          <a:off x="0" y="0"/>
                          <a:ext cx="285750" cy="142875"/>
                        </a:xfrm>
                        <a:prstGeom prst="triangle">
                          <a:avLst/>
                        </a:prstGeom>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9AED0" id="Triángulo isósceles 96" o:spid="_x0000_s1026" type="#_x0000_t5" style="position:absolute;margin-left:1.5pt;margin-top:.75pt;width:22.5pt;height:11.25pt;rotation:180;z-index:251857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" fillcolor="#00b050" strokecolor="#243f60 [1604]" strokeweight="2pt">
                <w10:wrap anchorx="margin"/>
              </v:shape>
            </w:pict>
          </mc:Fallback>
        </mc:AlternateContent>
      </w:r>
      <w:r w:rsidR="004B17C0" w:rsidRPr="005045BF">
        <w:t xml:space="preserve">            </w:t>
      </w:r>
      <w:r w:rsidR="004B17C0" w:rsidRPr="005045BF">
        <w:rPr>
          <w:rFonts w:ascii="Arial" w:hAnsi="Arial" w:cs="Arial"/>
          <w:sz w:val="22"/>
          <w:szCs w:val="22"/>
        </w:rPr>
        <w:t xml:space="preserve">Disminuyó </w:t>
      </w:r>
    </w:p>
    <w:p w14:paraId="18AEDB8E" w14:textId="4FCA96B6" w:rsidR="00533A64" w:rsidRPr="005045BF" w:rsidRDefault="00533A64" w:rsidP="004B17C0">
      <w:pPr>
        <w:rPr>
          <w:rFonts w:ascii="Arial" w:hAnsi="Arial" w:cs="Arial"/>
          <w:sz w:val="20"/>
          <w:szCs w:val="20"/>
        </w:rPr>
      </w:pPr>
    </w:p>
    <w:p w14:paraId="1D7F1F70" w14:textId="77777777" w:rsidR="00533A64" w:rsidRPr="005045BF" w:rsidRDefault="00533A64" w:rsidP="004B17C0">
      <w:pPr>
        <w:rPr>
          <w:rFonts w:ascii="Arial" w:hAnsi="Arial" w:cs="Arial"/>
          <w:sz w:val="20"/>
          <w:szCs w:val="20"/>
        </w:rPr>
      </w:pPr>
    </w:p>
    <w:p w14:paraId="787E12B6" w14:textId="75A42407" w:rsidR="00D750D0" w:rsidRPr="005045BF" w:rsidRDefault="0070513A" w:rsidP="0045629B">
      <w:pPr>
        <w:pStyle w:val="Prrafodelista"/>
        <w:numPr>
          <w:ilvl w:val="0"/>
          <w:numId w:val="11"/>
        </w:numPr>
        <w:rPr>
          <w:rFonts w:ascii="Arial" w:hAnsi="Arial" w:cs="Arial"/>
          <w:b/>
          <w:sz w:val="22"/>
          <w:szCs w:val="22"/>
        </w:rPr>
      </w:pPr>
      <w:r w:rsidRPr="005045BF">
        <w:rPr>
          <w:rFonts w:ascii="Arial" w:hAnsi="Arial" w:cs="Arial"/>
          <w:b/>
          <w:sz w:val="22"/>
          <w:szCs w:val="22"/>
        </w:rPr>
        <w:t>MODIFICACIÓN DE LAS PLANTAS DE PERSONAL, ESTRUCTURAS ADMINISTRATIVAS Y GASTOS DE PERSONAL</w:t>
      </w:r>
    </w:p>
    <w:p w14:paraId="52F7B279" w14:textId="5288649F" w:rsidR="00783500" w:rsidRPr="005045BF" w:rsidRDefault="00783500" w:rsidP="00783500">
      <w:pPr>
        <w:rPr>
          <w:rFonts w:ascii="Arial" w:hAnsi="Arial" w:cs="Arial"/>
          <w:b/>
          <w:sz w:val="22"/>
          <w:szCs w:val="22"/>
          <w:highlight w:val="yellow"/>
        </w:rPr>
      </w:pPr>
    </w:p>
    <w:tbl>
      <w:tblPr>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4A0" w:firstRow="1" w:lastRow="0" w:firstColumn="1" w:lastColumn="0" w:noHBand="0" w:noVBand="1"/>
      </w:tblPr>
      <w:tblGrid>
        <w:gridCol w:w="1129"/>
        <w:gridCol w:w="1249"/>
        <w:gridCol w:w="2053"/>
        <w:gridCol w:w="1252"/>
        <w:gridCol w:w="1655"/>
        <w:gridCol w:w="1531"/>
        <w:gridCol w:w="765"/>
      </w:tblGrid>
      <w:tr w:rsidR="00AE3B84" w:rsidRPr="005045BF" w14:paraId="43DF3999" w14:textId="77777777" w:rsidTr="00BA19F9">
        <w:trPr>
          <w:trHeight w:val="750"/>
        </w:trPr>
        <w:tc>
          <w:tcPr>
            <w:tcW w:w="1129" w:type="dxa"/>
            <w:shd w:val="clear" w:color="auto" w:fill="4F81BD" w:themeFill="accent1"/>
            <w:vAlign w:val="center"/>
            <w:hideMark/>
          </w:tcPr>
          <w:p w14:paraId="37A39550" w14:textId="672A5571"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Numeral Informe</w:t>
            </w:r>
          </w:p>
        </w:tc>
        <w:tc>
          <w:tcPr>
            <w:tcW w:w="1249" w:type="dxa"/>
            <w:shd w:val="clear" w:color="auto" w:fill="4F81BD" w:themeFill="accent1"/>
            <w:vAlign w:val="center"/>
            <w:hideMark/>
          </w:tcPr>
          <w:p w14:paraId="19A3DE94"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Ítem</w:t>
            </w:r>
          </w:p>
        </w:tc>
        <w:tc>
          <w:tcPr>
            <w:tcW w:w="2053" w:type="dxa"/>
            <w:shd w:val="clear" w:color="auto" w:fill="4F81BD" w:themeFill="accent1"/>
            <w:vAlign w:val="center"/>
            <w:hideMark/>
          </w:tcPr>
          <w:p w14:paraId="3E9E964D"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252" w:type="dxa"/>
            <w:shd w:val="clear" w:color="auto" w:fill="4F81BD" w:themeFill="accent1"/>
            <w:vAlign w:val="center"/>
            <w:hideMark/>
          </w:tcPr>
          <w:p w14:paraId="64F8ED33"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 xml:space="preserve">Periodo Comparado </w:t>
            </w:r>
          </w:p>
        </w:tc>
        <w:tc>
          <w:tcPr>
            <w:tcW w:w="1655" w:type="dxa"/>
            <w:shd w:val="clear" w:color="auto" w:fill="4F81BD" w:themeFill="accent1"/>
            <w:vAlign w:val="center"/>
            <w:hideMark/>
          </w:tcPr>
          <w:p w14:paraId="3CB0A694"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 xml:space="preserve">Variación </w:t>
            </w:r>
          </w:p>
        </w:tc>
        <w:tc>
          <w:tcPr>
            <w:tcW w:w="1531" w:type="dxa"/>
            <w:shd w:val="clear" w:color="auto" w:fill="4F81BD" w:themeFill="accent1"/>
            <w:vAlign w:val="center"/>
            <w:hideMark/>
          </w:tcPr>
          <w:p w14:paraId="5FF34891"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Valor / Cantidad</w:t>
            </w:r>
          </w:p>
        </w:tc>
        <w:tc>
          <w:tcPr>
            <w:tcW w:w="765" w:type="dxa"/>
            <w:shd w:val="clear" w:color="auto" w:fill="4F81BD" w:themeFill="accent1"/>
            <w:vAlign w:val="center"/>
            <w:hideMark/>
          </w:tcPr>
          <w:p w14:paraId="1333C37C"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w:t>
            </w:r>
          </w:p>
        </w:tc>
      </w:tr>
      <w:tr w:rsidR="00AE3B84" w:rsidRPr="005045BF" w14:paraId="2DD7E937" w14:textId="77777777" w:rsidTr="00BA19F9">
        <w:trPr>
          <w:trHeight w:val="658"/>
        </w:trPr>
        <w:tc>
          <w:tcPr>
            <w:tcW w:w="1129" w:type="dxa"/>
            <w:vMerge w:val="restart"/>
            <w:shd w:val="clear" w:color="000000" w:fill="4F81BD"/>
            <w:vAlign w:val="center"/>
            <w:hideMark/>
          </w:tcPr>
          <w:p w14:paraId="65B17C58"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2.1</w:t>
            </w:r>
          </w:p>
        </w:tc>
        <w:tc>
          <w:tcPr>
            <w:tcW w:w="1249" w:type="dxa"/>
            <w:vMerge w:val="restart"/>
            <w:shd w:val="clear" w:color="000000" w:fill="B8CCE4"/>
            <w:textDirection w:val="btLr"/>
            <w:vAlign w:val="center"/>
            <w:hideMark/>
          </w:tcPr>
          <w:p w14:paraId="64FC2D09"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Planta de Personal </w:t>
            </w:r>
          </w:p>
        </w:tc>
        <w:tc>
          <w:tcPr>
            <w:tcW w:w="2053" w:type="dxa"/>
            <w:shd w:val="clear" w:color="auto" w:fill="DBE5F1" w:themeFill="accent1" w:themeFillTint="33"/>
            <w:vAlign w:val="center"/>
            <w:hideMark/>
          </w:tcPr>
          <w:p w14:paraId="39588FC8"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52" w:type="dxa"/>
            <w:vMerge w:val="restart"/>
            <w:shd w:val="clear" w:color="auto" w:fill="B8CCE4" w:themeFill="accent1" w:themeFillTint="66"/>
            <w:vAlign w:val="center"/>
            <w:hideMark/>
          </w:tcPr>
          <w:p w14:paraId="1590B982"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655" w:type="dxa"/>
            <w:shd w:val="clear" w:color="auto" w:fill="DBE5F1" w:themeFill="accent1" w:themeFillTint="33"/>
            <w:vAlign w:val="center"/>
            <w:hideMark/>
          </w:tcPr>
          <w:p w14:paraId="6C297F80" w14:textId="04B1D99F"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48064" behindDoc="0" locked="0" layoutInCell="1" allowOverlap="1" wp14:anchorId="20AEC7A5" wp14:editId="721058C3">
                      <wp:simplePos x="0" y="0"/>
                      <wp:positionH relativeFrom="column">
                        <wp:posOffset>312420</wp:posOffset>
                      </wp:positionH>
                      <wp:positionV relativeFrom="paragraph">
                        <wp:posOffset>-12065</wp:posOffset>
                      </wp:positionV>
                      <wp:extent cx="342900" cy="200025"/>
                      <wp:effectExtent l="0" t="0" r="19050" b="28575"/>
                      <wp:wrapNone/>
                      <wp:docPr id="56" name="Triángulo isósceles 56">
                        <a:extLst xmlns:a="http://schemas.openxmlformats.org/drawingml/2006/main">
                          <a:ext uri="{FF2B5EF4-FFF2-40B4-BE49-F238E27FC236}">
                            <a16:creationId xmlns:a16="http://schemas.microsoft.com/office/drawing/2014/main" id="{1259637D-974E-45D2-BF78-5452522F5D39}"/>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C2235A" id="Triángulo isósceles 56" o:spid="_x0000_s1026" type="#_x0000_t5" style="position:absolute;margin-left:24.6pt;margin-top:-.95pt;width:27pt;height:15.75pt;z-index:25224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" fillcolor="red" strokecolor="#376092" strokeweight="2pt"/>
                  </w:pict>
                </mc:Fallback>
              </mc:AlternateContent>
            </w:r>
          </w:p>
        </w:tc>
        <w:tc>
          <w:tcPr>
            <w:tcW w:w="1531" w:type="dxa"/>
            <w:shd w:val="clear" w:color="auto" w:fill="B8CCE4" w:themeFill="accent1" w:themeFillTint="66"/>
            <w:vAlign w:val="center"/>
            <w:hideMark/>
          </w:tcPr>
          <w:p w14:paraId="0F0D3216"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$1.275.706.305</w:t>
            </w:r>
          </w:p>
        </w:tc>
        <w:tc>
          <w:tcPr>
            <w:tcW w:w="765" w:type="dxa"/>
            <w:shd w:val="clear" w:color="auto" w:fill="DBE5F1" w:themeFill="accent1" w:themeFillTint="33"/>
            <w:vAlign w:val="center"/>
            <w:hideMark/>
          </w:tcPr>
          <w:p w14:paraId="08472EB7"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9%</w:t>
            </w:r>
          </w:p>
        </w:tc>
      </w:tr>
      <w:tr w:rsidR="00AE3B84" w:rsidRPr="005045BF" w14:paraId="61BEBD9F" w14:textId="77777777" w:rsidTr="00BA19F9">
        <w:trPr>
          <w:trHeight w:val="515"/>
        </w:trPr>
        <w:tc>
          <w:tcPr>
            <w:tcW w:w="1129" w:type="dxa"/>
            <w:vMerge/>
            <w:vAlign w:val="center"/>
            <w:hideMark/>
          </w:tcPr>
          <w:p w14:paraId="4F1AA870" w14:textId="77777777" w:rsidR="00AE3B84" w:rsidRPr="005045BF" w:rsidRDefault="00AE3B84" w:rsidP="00AE3B84">
            <w:pPr>
              <w:rPr>
                <w:rFonts w:ascii="Arial" w:hAnsi="Arial" w:cs="Arial"/>
                <w:b/>
                <w:bCs/>
                <w:color w:val="FFFFFF"/>
                <w:sz w:val="20"/>
                <w:szCs w:val="20"/>
              </w:rPr>
            </w:pPr>
          </w:p>
        </w:tc>
        <w:tc>
          <w:tcPr>
            <w:tcW w:w="1249" w:type="dxa"/>
            <w:vMerge/>
            <w:vAlign w:val="center"/>
            <w:hideMark/>
          </w:tcPr>
          <w:p w14:paraId="4CBCB923" w14:textId="77777777" w:rsidR="00AE3B84" w:rsidRPr="005045BF" w:rsidRDefault="00AE3B84" w:rsidP="00AE3B84">
            <w:pPr>
              <w:rPr>
                <w:rFonts w:ascii="Arial" w:hAnsi="Arial" w:cs="Arial"/>
                <w:b/>
                <w:bCs/>
                <w:color w:val="0F243E" w:themeColor="text2" w:themeShade="80"/>
                <w:sz w:val="20"/>
                <w:szCs w:val="20"/>
              </w:rPr>
            </w:pPr>
          </w:p>
        </w:tc>
        <w:tc>
          <w:tcPr>
            <w:tcW w:w="2053" w:type="dxa"/>
            <w:shd w:val="clear" w:color="auto" w:fill="DBE5F1" w:themeFill="accent1" w:themeFillTint="33"/>
            <w:vAlign w:val="center"/>
            <w:hideMark/>
          </w:tcPr>
          <w:p w14:paraId="7F17557E"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cantidad</w:t>
            </w:r>
          </w:p>
        </w:tc>
        <w:tc>
          <w:tcPr>
            <w:tcW w:w="1252" w:type="dxa"/>
            <w:vMerge/>
            <w:shd w:val="clear" w:color="auto" w:fill="B8CCE4" w:themeFill="accent1" w:themeFillTint="66"/>
            <w:vAlign w:val="center"/>
            <w:hideMark/>
          </w:tcPr>
          <w:p w14:paraId="3D37C48D" w14:textId="77777777" w:rsidR="00AE3B84" w:rsidRPr="005045BF" w:rsidRDefault="00AE3B84" w:rsidP="00AE3B84">
            <w:pPr>
              <w:rPr>
                <w:rFonts w:ascii="Arial" w:hAnsi="Arial" w:cs="Arial"/>
                <w:color w:val="0F243E" w:themeColor="text2" w:themeShade="80"/>
                <w:sz w:val="20"/>
                <w:szCs w:val="20"/>
              </w:rPr>
            </w:pPr>
          </w:p>
        </w:tc>
        <w:tc>
          <w:tcPr>
            <w:tcW w:w="1655" w:type="dxa"/>
            <w:shd w:val="clear" w:color="auto" w:fill="DBE5F1" w:themeFill="accent1" w:themeFillTint="33"/>
            <w:vAlign w:val="center"/>
            <w:hideMark/>
          </w:tcPr>
          <w:p w14:paraId="1F7C1FC7" w14:textId="1A0C3E90" w:rsidR="00AE3B84" w:rsidRPr="005045BF" w:rsidRDefault="00AE3B84" w:rsidP="00AE3B84">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44992" behindDoc="0" locked="0" layoutInCell="1" allowOverlap="1" wp14:anchorId="6C2DD3B0" wp14:editId="3396D8E4">
                      <wp:simplePos x="0" y="0"/>
                      <wp:positionH relativeFrom="column">
                        <wp:posOffset>327025</wp:posOffset>
                      </wp:positionH>
                      <wp:positionV relativeFrom="paragraph">
                        <wp:posOffset>-6350</wp:posOffset>
                      </wp:positionV>
                      <wp:extent cx="342900" cy="200025"/>
                      <wp:effectExtent l="0" t="0" r="19050" b="28575"/>
                      <wp:wrapNone/>
                      <wp:docPr id="55" name="Triángulo isósceles 55">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D06ED2" id="Triángulo isósceles 55" o:spid="_x0000_s1026" type="#_x0000_t5" style="position:absolute;margin-left:25.75pt;margin-top:-.5pt;width:27pt;height:15.75pt;z-index:25224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" fillcolor="red" strokecolor="#376092" strokeweight="2pt"/>
                  </w:pict>
                </mc:Fallback>
              </mc:AlternateContent>
            </w:r>
          </w:p>
        </w:tc>
        <w:tc>
          <w:tcPr>
            <w:tcW w:w="1531" w:type="dxa"/>
            <w:shd w:val="clear" w:color="auto" w:fill="B8CCE4" w:themeFill="accent1" w:themeFillTint="66"/>
            <w:vAlign w:val="center"/>
            <w:hideMark/>
          </w:tcPr>
          <w:p w14:paraId="77DBE4DD" w14:textId="3F40A5C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17 f</w:t>
            </w:r>
            <w:r w:rsidR="00DA10CC" w:rsidRPr="005045BF">
              <w:rPr>
                <w:rFonts w:ascii="Arial" w:hAnsi="Arial" w:cs="Arial"/>
                <w:b/>
                <w:bCs/>
                <w:color w:val="0F243E" w:themeColor="text2" w:themeShade="80"/>
                <w:sz w:val="20"/>
                <w:szCs w:val="20"/>
              </w:rPr>
              <w:t>un</w:t>
            </w:r>
            <w:r w:rsidRPr="005045BF">
              <w:rPr>
                <w:rFonts w:ascii="Arial" w:hAnsi="Arial" w:cs="Arial"/>
                <w:b/>
                <w:bCs/>
                <w:color w:val="0F243E" w:themeColor="text2" w:themeShade="80"/>
                <w:sz w:val="20"/>
                <w:szCs w:val="20"/>
              </w:rPr>
              <w:t>cionarios</w:t>
            </w:r>
          </w:p>
        </w:tc>
        <w:tc>
          <w:tcPr>
            <w:tcW w:w="765" w:type="dxa"/>
            <w:shd w:val="clear" w:color="auto" w:fill="DBE5F1" w:themeFill="accent1" w:themeFillTint="33"/>
            <w:vAlign w:val="center"/>
            <w:hideMark/>
          </w:tcPr>
          <w:p w14:paraId="49E7EEBE"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w:t>
            </w:r>
          </w:p>
        </w:tc>
      </w:tr>
      <w:tr w:rsidR="00AE3B84" w:rsidRPr="005045BF" w14:paraId="00EF0405" w14:textId="77777777" w:rsidTr="00457594">
        <w:trPr>
          <w:trHeight w:val="604"/>
        </w:trPr>
        <w:tc>
          <w:tcPr>
            <w:tcW w:w="1129" w:type="dxa"/>
            <w:vMerge w:val="restart"/>
            <w:shd w:val="clear" w:color="000000" w:fill="4F81BD"/>
            <w:vAlign w:val="center"/>
            <w:hideMark/>
          </w:tcPr>
          <w:p w14:paraId="6D7D6B5A"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2.2</w:t>
            </w:r>
          </w:p>
        </w:tc>
        <w:tc>
          <w:tcPr>
            <w:tcW w:w="1249" w:type="dxa"/>
            <w:vMerge w:val="restart"/>
            <w:shd w:val="clear" w:color="000000" w:fill="B8CCE4"/>
            <w:textDirection w:val="btLr"/>
            <w:vAlign w:val="center"/>
            <w:hideMark/>
          </w:tcPr>
          <w:p w14:paraId="7F8C5FCA"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Horas Extras</w:t>
            </w:r>
          </w:p>
        </w:tc>
        <w:tc>
          <w:tcPr>
            <w:tcW w:w="2053" w:type="dxa"/>
            <w:shd w:val="clear" w:color="auto" w:fill="DBE5F1" w:themeFill="accent1" w:themeFillTint="33"/>
            <w:vAlign w:val="center"/>
            <w:hideMark/>
          </w:tcPr>
          <w:p w14:paraId="4743D194"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52" w:type="dxa"/>
            <w:vMerge w:val="restart"/>
            <w:shd w:val="clear" w:color="auto" w:fill="B8CCE4" w:themeFill="accent1" w:themeFillTint="66"/>
            <w:vAlign w:val="center"/>
            <w:hideMark/>
          </w:tcPr>
          <w:p w14:paraId="0FCBE4B9"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655" w:type="dxa"/>
            <w:shd w:val="clear" w:color="auto" w:fill="DBE5F1" w:themeFill="accent1" w:themeFillTint="33"/>
            <w:vAlign w:val="center"/>
            <w:hideMark/>
          </w:tcPr>
          <w:p w14:paraId="1C124B66" w14:textId="77702341" w:rsidR="00AE3B84" w:rsidRPr="005045BF" w:rsidRDefault="00AE3B84" w:rsidP="00AE3B84">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46016" behindDoc="0" locked="0" layoutInCell="1" allowOverlap="1" wp14:anchorId="351F0378" wp14:editId="02164509">
                      <wp:simplePos x="0" y="0"/>
                      <wp:positionH relativeFrom="column">
                        <wp:posOffset>340995</wp:posOffset>
                      </wp:positionH>
                      <wp:positionV relativeFrom="paragraph">
                        <wp:posOffset>35560</wp:posOffset>
                      </wp:positionV>
                      <wp:extent cx="342900" cy="209550"/>
                      <wp:effectExtent l="0" t="0" r="19050" b="19050"/>
                      <wp:wrapNone/>
                      <wp:docPr id="54" name="Triángulo isósceles 54">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7BA3BF" id="Triángulo isósceles 54" o:spid="_x0000_s1026" type="#_x0000_t5" style="position:absolute;margin-left:26.85pt;margin-top:2.8pt;width:27pt;height:16.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" fillcolor="red" strokecolor="#376092" strokeweight="2pt"/>
                  </w:pict>
                </mc:Fallback>
              </mc:AlternateContent>
            </w:r>
          </w:p>
        </w:tc>
        <w:tc>
          <w:tcPr>
            <w:tcW w:w="1531" w:type="dxa"/>
            <w:shd w:val="clear" w:color="auto" w:fill="B8CCE4" w:themeFill="accent1" w:themeFillTint="66"/>
            <w:vAlign w:val="center"/>
            <w:hideMark/>
          </w:tcPr>
          <w:p w14:paraId="04E358C2"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$2.537.967</w:t>
            </w:r>
          </w:p>
        </w:tc>
        <w:tc>
          <w:tcPr>
            <w:tcW w:w="765" w:type="dxa"/>
            <w:shd w:val="clear" w:color="auto" w:fill="DBE5F1" w:themeFill="accent1" w:themeFillTint="33"/>
            <w:vAlign w:val="center"/>
            <w:hideMark/>
          </w:tcPr>
          <w:p w14:paraId="20D0AFA5"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w:t>
            </w:r>
          </w:p>
        </w:tc>
      </w:tr>
      <w:tr w:rsidR="00AE3B84" w:rsidRPr="005045BF" w14:paraId="2E3CE884" w14:textId="77777777" w:rsidTr="00BA19F9">
        <w:trPr>
          <w:trHeight w:val="551"/>
        </w:trPr>
        <w:tc>
          <w:tcPr>
            <w:tcW w:w="1129" w:type="dxa"/>
            <w:vMerge/>
            <w:vAlign w:val="center"/>
            <w:hideMark/>
          </w:tcPr>
          <w:p w14:paraId="6C79D455" w14:textId="77777777" w:rsidR="00AE3B84" w:rsidRPr="005045BF" w:rsidRDefault="00AE3B84" w:rsidP="00AE3B84">
            <w:pPr>
              <w:rPr>
                <w:rFonts w:ascii="Arial" w:hAnsi="Arial" w:cs="Arial"/>
                <w:b/>
                <w:bCs/>
                <w:color w:val="FFFFFF"/>
                <w:sz w:val="20"/>
                <w:szCs w:val="20"/>
              </w:rPr>
            </w:pPr>
          </w:p>
        </w:tc>
        <w:tc>
          <w:tcPr>
            <w:tcW w:w="1249" w:type="dxa"/>
            <w:vMerge/>
            <w:vAlign w:val="center"/>
            <w:hideMark/>
          </w:tcPr>
          <w:p w14:paraId="18D3BAA4" w14:textId="77777777" w:rsidR="00AE3B84" w:rsidRPr="005045BF" w:rsidRDefault="00AE3B84" w:rsidP="00AE3B84">
            <w:pPr>
              <w:rPr>
                <w:rFonts w:ascii="Arial" w:hAnsi="Arial" w:cs="Arial"/>
                <w:b/>
                <w:bCs/>
                <w:color w:val="0F243E" w:themeColor="text2" w:themeShade="80"/>
                <w:sz w:val="20"/>
                <w:szCs w:val="20"/>
              </w:rPr>
            </w:pPr>
          </w:p>
        </w:tc>
        <w:tc>
          <w:tcPr>
            <w:tcW w:w="2053" w:type="dxa"/>
            <w:shd w:val="clear" w:color="auto" w:fill="DBE5F1" w:themeFill="accent1" w:themeFillTint="33"/>
            <w:vAlign w:val="center"/>
            <w:hideMark/>
          </w:tcPr>
          <w:p w14:paraId="0DABEB0A"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Cantidad</w:t>
            </w:r>
          </w:p>
        </w:tc>
        <w:tc>
          <w:tcPr>
            <w:tcW w:w="1252" w:type="dxa"/>
            <w:vMerge/>
            <w:shd w:val="clear" w:color="auto" w:fill="B8CCE4" w:themeFill="accent1" w:themeFillTint="66"/>
            <w:vAlign w:val="center"/>
            <w:hideMark/>
          </w:tcPr>
          <w:p w14:paraId="1764A0B9" w14:textId="77777777" w:rsidR="00AE3B84" w:rsidRPr="005045BF" w:rsidRDefault="00AE3B84" w:rsidP="00AE3B84">
            <w:pPr>
              <w:rPr>
                <w:rFonts w:ascii="Arial" w:hAnsi="Arial" w:cs="Arial"/>
                <w:color w:val="0F243E" w:themeColor="text2" w:themeShade="80"/>
                <w:sz w:val="20"/>
                <w:szCs w:val="20"/>
              </w:rPr>
            </w:pPr>
          </w:p>
        </w:tc>
        <w:tc>
          <w:tcPr>
            <w:tcW w:w="1655" w:type="dxa"/>
            <w:shd w:val="clear" w:color="auto" w:fill="DBE5F1" w:themeFill="accent1" w:themeFillTint="33"/>
            <w:vAlign w:val="center"/>
            <w:hideMark/>
          </w:tcPr>
          <w:p w14:paraId="0A7694A1" w14:textId="220FA0D4"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49088" behindDoc="0" locked="0" layoutInCell="1" allowOverlap="1" wp14:anchorId="01D4E83E" wp14:editId="0C3A127B">
                      <wp:simplePos x="0" y="0"/>
                      <wp:positionH relativeFrom="column">
                        <wp:posOffset>340995</wp:posOffset>
                      </wp:positionH>
                      <wp:positionV relativeFrom="paragraph">
                        <wp:posOffset>50800</wp:posOffset>
                      </wp:positionV>
                      <wp:extent cx="342900" cy="209550"/>
                      <wp:effectExtent l="0" t="0" r="19050" b="19050"/>
                      <wp:wrapNone/>
                      <wp:docPr id="49" name="Triángulo isósceles 49">
                        <a:extLst xmlns:a="http://schemas.openxmlformats.org/drawingml/2006/main">
                          <a:ext uri="{FF2B5EF4-FFF2-40B4-BE49-F238E27FC236}">
                            <a16:creationId xmlns:a16="http://schemas.microsoft.com/office/drawing/2014/main" id="{DF8C45A6-3E90-4398-BCF0-A184DAD73781}"/>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AD5AEB8" id="Triángulo isósceles 49" o:spid="_x0000_s1026" type="#_x0000_t5" style="position:absolute;margin-left:26.85pt;margin-top:4pt;width:27pt;height:16.5pt;rotation:180;z-index:25224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" fillcolor="#00b050" strokecolor="#376092" strokeweight="2pt"/>
                  </w:pict>
                </mc:Fallback>
              </mc:AlternateContent>
            </w:r>
          </w:p>
        </w:tc>
        <w:tc>
          <w:tcPr>
            <w:tcW w:w="1531" w:type="dxa"/>
            <w:shd w:val="clear" w:color="auto" w:fill="B8CCE4" w:themeFill="accent1" w:themeFillTint="66"/>
            <w:vAlign w:val="center"/>
            <w:hideMark/>
          </w:tcPr>
          <w:p w14:paraId="0230998B"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(549) Horas</w:t>
            </w:r>
          </w:p>
        </w:tc>
        <w:tc>
          <w:tcPr>
            <w:tcW w:w="765" w:type="dxa"/>
            <w:shd w:val="clear" w:color="auto" w:fill="DBE5F1" w:themeFill="accent1" w:themeFillTint="33"/>
            <w:vAlign w:val="center"/>
            <w:hideMark/>
          </w:tcPr>
          <w:p w14:paraId="1D7F0DB0" w14:textId="7D1D218F"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r w:rsidR="00AE3B84" w:rsidRPr="005045BF" w14:paraId="31E20393" w14:textId="77777777" w:rsidTr="00457594">
        <w:trPr>
          <w:trHeight w:val="637"/>
        </w:trPr>
        <w:tc>
          <w:tcPr>
            <w:tcW w:w="1129" w:type="dxa"/>
            <w:vMerge w:val="restart"/>
            <w:shd w:val="clear" w:color="000000" w:fill="4F81BD"/>
            <w:vAlign w:val="center"/>
            <w:hideMark/>
          </w:tcPr>
          <w:p w14:paraId="71B0D6AF" w14:textId="77777777" w:rsidR="00AE3B84" w:rsidRPr="005045BF" w:rsidRDefault="00AE3B84" w:rsidP="00AE3B84">
            <w:pPr>
              <w:jc w:val="center"/>
              <w:rPr>
                <w:rFonts w:ascii="Arial" w:hAnsi="Arial" w:cs="Arial"/>
                <w:b/>
                <w:bCs/>
                <w:color w:val="FFFFFF"/>
                <w:sz w:val="20"/>
                <w:szCs w:val="20"/>
              </w:rPr>
            </w:pPr>
            <w:r w:rsidRPr="005045BF">
              <w:rPr>
                <w:rFonts w:ascii="Arial" w:hAnsi="Arial" w:cs="Arial"/>
                <w:b/>
                <w:bCs/>
                <w:color w:val="FFFFFF"/>
                <w:sz w:val="20"/>
                <w:szCs w:val="20"/>
              </w:rPr>
              <w:t>2.3</w:t>
            </w:r>
          </w:p>
        </w:tc>
        <w:tc>
          <w:tcPr>
            <w:tcW w:w="1249" w:type="dxa"/>
            <w:vMerge w:val="restart"/>
            <w:shd w:val="clear" w:color="000000" w:fill="B8CCE4"/>
            <w:noWrap/>
            <w:textDirection w:val="btLr"/>
            <w:vAlign w:val="center"/>
            <w:hideMark/>
          </w:tcPr>
          <w:p w14:paraId="2828E366" w14:textId="79D7C94D"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 xml:space="preserve">Contratación </w:t>
            </w:r>
            <w:r w:rsidR="00A64FD4" w:rsidRPr="005045BF">
              <w:rPr>
                <w:rFonts w:ascii="Arial" w:hAnsi="Arial" w:cs="Arial"/>
                <w:b/>
                <w:bCs/>
                <w:color w:val="0F243E" w:themeColor="text2" w:themeShade="80"/>
                <w:sz w:val="20"/>
                <w:szCs w:val="20"/>
              </w:rPr>
              <w:t>Servicios Profesionales y Apoyo a la Gestión</w:t>
            </w:r>
          </w:p>
        </w:tc>
        <w:tc>
          <w:tcPr>
            <w:tcW w:w="2053" w:type="dxa"/>
            <w:shd w:val="clear" w:color="auto" w:fill="DBE5F1" w:themeFill="accent1" w:themeFillTint="33"/>
            <w:vAlign w:val="center"/>
            <w:hideMark/>
          </w:tcPr>
          <w:p w14:paraId="43A88237"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Valor del Gasto Contratos Suscritos </w:t>
            </w:r>
          </w:p>
        </w:tc>
        <w:tc>
          <w:tcPr>
            <w:tcW w:w="1252" w:type="dxa"/>
            <w:vMerge w:val="restart"/>
            <w:shd w:val="clear" w:color="auto" w:fill="B8CCE4" w:themeFill="accent1" w:themeFillTint="66"/>
            <w:vAlign w:val="center"/>
            <w:hideMark/>
          </w:tcPr>
          <w:p w14:paraId="329860BB"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655" w:type="dxa"/>
            <w:shd w:val="clear" w:color="auto" w:fill="DBE5F1" w:themeFill="accent1" w:themeFillTint="33"/>
            <w:vAlign w:val="center"/>
            <w:hideMark/>
          </w:tcPr>
          <w:p w14:paraId="1AC3BD3A" w14:textId="195F5FAB" w:rsidR="00AE3B84" w:rsidRPr="005045BF" w:rsidRDefault="00AE3B84" w:rsidP="00AE3B84">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47040" behindDoc="0" locked="0" layoutInCell="1" allowOverlap="1" wp14:anchorId="5FDE373D" wp14:editId="36AAE337">
                      <wp:simplePos x="0" y="0"/>
                      <wp:positionH relativeFrom="column">
                        <wp:posOffset>348615</wp:posOffset>
                      </wp:positionH>
                      <wp:positionV relativeFrom="paragraph">
                        <wp:posOffset>27305</wp:posOffset>
                      </wp:positionV>
                      <wp:extent cx="342900" cy="200025"/>
                      <wp:effectExtent l="0" t="0" r="19050" b="28575"/>
                      <wp:wrapNone/>
                      <wp:docPr id="47" name="Triángulo isósceles 47">
                        <a:extLst xmlns:a="http://schemas.openxmlformats.org/drawingml/2006/main">
                          <a:ext uri="{FF2B5EF4-FFF2-40B4-BE49-F238E27FC236}">
                            <a16:creationId xmlns:a16="http://schemas.microsoft.com/office/drawing/2014/main" id="{00000000-0008-0000-0000-00000E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349628" id="Triángulo isósceles 47" o:spid="_x0000_s1026" type="#_x0000_t5" style="position:absolute;margin-left:27.45pt;margin-top:2.15pt;width:27pt;height:15.75pt;rotation:180;z-index:25224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" fillcolor="#00b050" strokecolor="#376092" strokeweight="2pt"/>
                  </w:pict>
                </mc:Fallback>
              </mc:AlternateContent>
            </w:r>
          </w:p>
        </w:tc>
        <w:tc>
          <w:tcPr>
            <w:tcW w:w="1531" w:type="dxa"/>
            <w:shd w:val="clear" w:color="auto" w:fill="B8CCE4" w:themeFill="accent1" w:themeFillTint="66"/>
            <w:vAlign w:val="center"/>
            <w:hideMark/>
          </w:tcPr>
          <w:p w14:paraId="623F24FF" w14:textId="143D9041"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($210.113.882)</w:t>
            </w:r>
          </w:p>
        </w:tc>
        <w:tc>
          <w:tcPr>
            <w:tcW w:w="765" w:type="dxa"/>
            <w:shd w:val="clear" w:color="auto" w:fill="DBE5F1" w:themeFill="accent1" w:themeFillTint="33"/>
            <w:vAlign w:val="center"/>
            <w:hideMark/>
          </w:tcPr>
          <w:p w14:paraId="2B7B3D0E" w14:textId="01620F24"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w:t>
            </w:r>
          </w:p>
        </w:tc>
      </w:tr>
      <w:tr w:rsidR="00AE3B84" w:rsidRPr="005045BF" w14:paraId="0F43902F" w14:textId="77777777" w:rsidTr="00BA19F9">
        <w:trPr>
          <w:trHeight w:val="644"/>
        </w:trPr>
        <w:tc>
          <w:tcPr>
            <w:tcW w:w="1129" w:type="dxa"/>
            <w:vMerge/>
            <w:vAlign w:val="center"/>
            <w:hideMark/>
          </w:tcPr>
          <w:p w14:paraId="46AFEECD" w14:textId="77777777" w:rsidR="00AE3B84" w:rsidRPr="005045BF" w:rsidRDefault="00AE3B84" w:rsidP="00AE3B84">
            <w:pPr>
              <w:rPr>
                <w:rFonts w:ascii="Arial" w:hAnsi="Arial" w:cs="Arial"/>
                <w:b/>
                <w:bCs/>
                <w:color w:val="FFFFFF"/>
                <w:sz w:val="20"/>
                <w:szCs w:val="20"/>
              </w:rPr>
            </w:pPr>
          </w:p>
        </w:tc>
        <w:tc>
          <w:tcPr>
            <w:tcW w:w="1249" w:type="dxa"/>
            <w:vMerge/>
            <w:vAlign w:val="center"/>
            <w:hideMark/>
          </w:tcPr>
          <w:p w14:paraId="6669047D" w14:textId="77777777" w:rsidR="00AE3B84" w:rsidRPr="005045BF" w:rsidRDefault="00AE3B84" w:rsidP="00AE3B84">
            <w:pPr>
              <w:rPr>
                <w:rFonts w:ascii="Arial" w:hAnsi="Arial" w:cs="Arial"/>
                <w:b/>
                <w:bCs/>
                <w:color w:val="0F243E" w:themeColor="text2" w:themeShade="80"/>
                <w:sz w:val="20"/>
                <w:szCs w:val="20"/>
              </w:rPr>
            </w:pPr>
          </w:p>
        </w:tc>
        <w:tc>
          <w:tcPr>
            <w:tcW w:w="2053" w:type="dxa"/>
            <w:shd w:val="clear" w:color="auto" w:fill="DBE5F1" w:themeFill="accent1" w:themeFillTint="33"/>
            <w:vAlign w:val="center"/>
            <w:hideMark/>
          </w:tcPr>
          <w:p w14:paraId="65DE1D54"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Cantidad de Contratos Suscritos</w:t>
            </w:r>
          </w:p>
        </w:tc>
        <w:tc>
          <w:tcPr>
            <w:tcW w:w="1252" w:type="dxa"/>
            <w:vMerge/>
            <w:shd w:val="clear" w:color="auto" w:fill="B8CCE4" w:themeFill="accent1" w:themeFillTint="66"/>
            <w:vAlign w:val="center"/>
            <w:hideMark/>
          </w:tcPr>
          <w:p w14:paraId="15180B44" w14:textId="77777777" w:rsidR="00AE3B84" w:rsidRPr="005045BF" w:rsidRDefault="00AE3B84" w:rsidP="00AE3B84">
            <w:pPr>
              <w:rPr>
                <w:rFonts w:ascii="Arial" w:hAnsi="Arial" w:cs="Arial"/>
                <w:color w:val="0F243E" w:themeColor="text2" w:themeShade="80"/>
                <w:sz w:val="20"/>
                <w:szCs w:val="20"/>
              </w:rPr>
            </w:pPr>
          </w:p>
        </w:tc>
        <w:tc>
          <w:tcPr>
            <w:tcW w:w="1655" w:type="dxa"/>
            <w:shd w:val="clear" w:color="auto" w:fill="DBE5F1" w:themeFill="accent1" w:themeFillTint="33"/>
            <w:vAlign w:val="center"/>
            <w:hideMark/>
          </w:tcPr>
          <w:p w14:paraId="5674EAD2" w14:textId="6824D4C5"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50112" behindDoc="0" locked="0" layoutInCell="1" allowOverlap="1" wp14:anchorId="6AF9F926" wp14:editId="54DB96B0">
                      <wp:simplePos x="0" y="0"/>
                      <wp:positionH relativeFrom="column">
                        <wp:posOffset>340995</wp:posOffset>
                      </wp:positionH>
                      <wp:positionV relativeFrom="paragraph">
                        <wp:posOffset>77470</wp:posOffset>
                      </wp:positionV>
                      <wp:extent cx="342900" cy="200025"/>
                      <wp:effectExtent l="0" t="0" r="19050" b="28575"/>
                      <wp:wrapNone/>
                      <wp:docPr id="46" name="Triángulo isósceles 46">
                        <a:extLst xmlns:a="http://schemas.openxmlformats.org/drawingml/2006/main">
                          <a:ext uri="{FF2B5EF4-FFF2-40B4-BE49-F238E27FC236}">
                            <a16:creationId xmlns:a16="http://schemas.microsoft.com/office/drawing/2014/main" id="{5FE81EA5-3C2D-4555-AFFE-AC87B70DADA8}"/>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438D90" id="Triángulo isósceles 46" o:spid="_x0000_s1026" type="#_x0000_t5" style="position:absolute;margin-left:26.85pt;margin-top:6.1pt;width:27pt;height:15.75pt;rotation:180;z-index:25225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" fillcolor="#00b050" strokecolor="#376092" strokeweight="2pt"/>
                  </w:pict>
                </mc:Fallback>
              </mc:AlternateContent>
            </w:r>
          </w:p>
        </w:tc>
        <w:tc>
          <w:tcPr>
            <w:tcW w:w="1531" w:type="dxa"/>
            <w:shd w:val="clear" w:color="auto" w:fill="B8CCE4" w:themeFill="accent1" w:themeFillTint="66"/>
            <w:vAlign w:val="center"/>
            <w:hideMark/>
          </w:tcPr>
          <w:p w14:paraId="5E616031"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(4) Contratos</w:t>
            </w:r>
          </w:p>
        </w:tc>
        <w:tc>
          <w:tcPr>
            <w:tcW w:w="765" w:type="dxa"/>
            <w:shd w:val="clear" w:color="auto" w:fill="DBE5F1" w:themeFill="accent1" w:themeFillTint="33"/>
            <w:vAlign w:val="center"/>
            <w:hideMark/>
          </w:tcPr>
          <w:p w14:paraId="58B412D6" w14:textId="6D0080D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r w:rsidR="00AE3B84" w:rsidRPr="005045BF" w14:paraId="274D1970" w14:textId="77777777" w:rsidTr="00BA19F9">
        <w:trPr>
          <w:trHeight w:val="810"/>
        </w:trPr>
        <w:tc>
          <w:tcPr>
            <w:tcW w:w="1129" w:type="dxa"/>
            <w:vMerge/>
            <w:vAlign w:val="center"/>
            <w:hideMark/>
          </w:tcPr>
          <w:p w14:paraId="2DFF18E4" w14:textId="77777777" w:rsidR="00AE3B84" w:rsidRPr="005045BF" w:rsidRDefault="00AE3B84" w:rsidP="00AE3B84">
            <w:pPr>
              <w:rPr>
                <w:rFonts w:ascii="Arial" w:hAnsi="Arial" w:cs="Arial"/>
                <w:b/>
                <w:bCs/>
                <w:color w:val="FFFFFF"/>
                <w:sz w:val="20"/>
                <w:szCs w:val="20"/>
              </w:rPr>
            </w:pPr>
          </w:p>
        </w:tc>
        <w:tc>
          <w:tcPr>
            <w:tcW w:w="1249" w:type="dxa"/>
            <w:vMerge/>
            <w:vAlign w:val="center"/>
            <w:hideMark/>
          </w:tcPr>
          <w:p w14:paraId="2E6AB70D" w14:textId="77777777" w:rsidR="00AE3B84" w:rsidRPr="005045BF" w:rsidRDefault="00AE3B84" w:rsidP="00AE3B84">
            <w:pPr>
              <w:rPr>
                <w:rFonts w:ascii="Arial" w:hAnsi="Arial" w:cs="Arial"/>
                <w:b/>
                <w:bCs/>
                <w:color w:val="0F243E" w:themeColor="text2" w:themeShade="80"/>
                <w:sz w:val="20"/>
                <w:szCs w:val="20"/>
              </w:rPr>
            </w:pPr>
          </w:p>
        </w:tc>
        <w:tc>
          <w:tcPr>
            <w:tcW w:w="2053" w:type="dxa"/>
            <w:shd w:val="clear" w:color="auto" w:fill="DBE5F1" w:themeFill="accent1" w:themeFillTint="33"/>
            <w:vAlign w:val="center"/>
            <w:hideMark/>
          </w:tcPr>
          <w:p w14:paraId="4EFD277E"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 Obligaciones</w:t>
            </w:r>
          </w:p>
        </w:tc>
        <w:tc>
          <w:tcPr>
            <w:tcW w:w="1252" w:type="dxa"/>
            <w:vMerge/>
            <w:shd w:val="clear" w:color="auto" w:fill="B8CCE4" w:themeFill="accent1" w:themeFillTint="66"/>
            <w:vAlign w:val="center"/>
            <w:hideMark/>
          </w:tcPr>
          <w:p w14:paraId="60E0E856" w14:textId="77777777" w:rsidR="00AE3B84" w:rsidRPr="005045BF" w:rsidRDefault="00AE3B84" w:rsidP="00AE3B84">
            <w:pPr>
              <w:rPr>
                <w:rFonts w:ascii="Arial" w:hAnsi="Arial" w:cs="Arial"/>
                <w:color w:val="0F243E" w:themeColor="text2" w:themeShade="80"/>
                <w:sz w:val="20"/>
                <w:szCs w:val="20"/>
              </w:rPr>
            </w:pPr>
          </w:p>
        </w:tc>
        <w:tc>
          <w:tcPr>
            <w:tcW w:w="1655" w:type="dxa"/>
            <w:shd w:val="clear" w:color="auto" w:fill="DBE5F1" w:themeFill="accent1" w:themeFillTint="33"/>
            <w:vAlign w:val="center"/>
            <w:hideMark/>
          </w:tcPr>
          <w:p w14:paraId="2F3E03BC" w14:textId="241C9878" w:rsidR="00AE3B84" w:rsidRPr="005045BF" w:rsidRDefault="00AE3B84" w:rsidP="00AE3B84">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52160" behindDoc="0" locked="0" layoutInCell="1" allowOverlap="1" wp14:anchorId="12D81D6B" wp14:editId="25C17FE6">
                      <wp:simplePos x="0" y="0"/>
                      <wp:positionH relativeFrom="column">
                        <wp:posOffset>332740</wp:posOffset>
                      </wp:positionH>
                      <wp:positionV relativeFrom="paragraph">
                        <wp:posOffset>-29210</wp:posOffset>
                      </wp:positionV>
                      <wp:extent cx="342900" cy="209550"/>
                      <wp:effectExtent l="0" t="0" r="19050" b="19050"/>
                      <wp:wrapNone/>
                      <wp:docPr id="45" name="Triángulo isósceles 45">
                        <a:extLst xmlns:a="http://schemas.openxmlformats.org/drawingml/2006/main">
                          <a:ext uri="{FF2B5EF4-FFF2-40B4-BE49-F238E27FC236}">
                            <a16:creationId xmlns:a16="http://schemas.microsoft.com/office/drawing/2014/main" id="{E9821C39-5DA8-479D-8D29-0BC1254DE68F}"/>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62E230" id="Triángulo isósceles 45" o:spid="_x0000_s1026" type="#_x0000_t5" style="position:absolute;margin-left:26.2pt;margin-top:-2.3pt;width:27pt;height:16.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" fillcolor="red" strokecolor="#376092" strokeweight="2pt"/>
                  </w:pict>
                </mc:Fallback>
              </mc:AlternateContent>
            </w:r>
          </w:p>
        </w:tc>
        <w:tc>
          <w:tcPr>
            <w:tcW w:w="1531" w:type="dxa"/>
            <w:shd w:val="clear" w:color="auto" w:fill="B8CCE4" w:themeFill="accent1" w:themeFillTint="66"/>
            <w:vAlign w:val="center"/>
            <w:hideMark/>
          </w:tcPr>
          <w:p w14:paraId="79220AA0"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$53.380.466</w:t>
            </w:r>
          </w:p>
        </w:tc>
        <w:tc>
          <w:tcPr>
            <w:tcW w:w="765" w:type="dxa"/>
            <w:shd w:val="clear" w:color="auto" w:fill="DBE5F1" w:themeFill="accent1" w:themeFillTint="33"/>
            <w:vAlign w:val="center"/>
            <w:hideMark/>
          </w:tcPr>
          <w:p w14:paraId="29FE9955" w14:textId="77777777"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4%</w:t>
            </w:r>
          </w:p>
        </w:tc>
      </w:tr>
      <w:tr w:rsidR="00AE3B84" w:rsidRPr="005045BF" w14:paraId="04E37C7A" w14:textId="77777777" w:rsidTr="00BA19F9">
        <w:trPr>
          <w:trHeight w:val="885"/>
        </w:trPr>
        <w:tc>
          <w:tcPr>
            <w:tcW w:w="1129" w:type="dxa"/>
            <w:vMerge/>
            <w:vAlign w:val="center"/>
            <w:hideMark/>
          </w:tcPr>
          <w:p w14:paraId="53D5A312" w14:textId="77777777" w:rsidR="00AE3B84" w:rsidRPr="005045BF" w:rsidRDefault="00AE3B84" w:rsidP="00AE3B84">
            <w:pPr>
              <w:rPr>
                <w:rFonts w:ascii="Arial" w:hAnsi="Arial" w:cs="Arial"/>
                <w:b/>
                <w:bCs/>
                <w:color w:val="FFFFFF"/>
                <w:sz w:val="20"/>
                <w:szCs w:val="20"/>
              </w:rPr>
            </w:pPr>
          </w:p>
        </w:tc>
        <w:tc>
          <w:tcPr>
            <w:tcW w:w="1249" w:type="dxa"/>
            <w:vMerge/>
            <w:vAlign w:val="center"/>
            <w:hideMark/>
          </w:tcPr>
          <w:p w14:paraId="45DDCB05" w14:textId="77777777" w:rsidR="00AE3B84" w:rsidRPr="005045BF" w:rsidRDefault="00AE3B84" w:rsidP="00AE3B84">
            <w:pPr>
              <w:rPr>
                <w:rFonts w:ascii="Arial" w:hAnsi="Arial" w:cs="Arial"/>
                <w:b/>
                <w:bCs/>
                <w:color w:val="0F243E" w:themeColor="text2" w:themeShade="80"/>
                <w:sz w:val="20"/>
                <w:szCs w:val="20"/>
              </w:rPr>
            </w:pPr>
          </w:p>
        </w:tc>
        <w:tc>
          <w:tcPr>
            <w:tcW w:w="2053" w:type="dxa"/>
            <w:shd w:val="clear" w:color="auto" w:fill="DBE5F1" w:themeFill="accent1" w:themeFillTint="33"/>
            <w:vAlign w:val="center"/>
            <w:hideMark/>
          </w:tcPr>
          <w:p w14:paraId="68C264B7" w14:textId="77777777"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Contratos Vigentes </w:t>
            </w:r>
          </w:p>
        </w:tc>
        <w:tc>
          <w:tcPr>
            <w:tcW w:w="1252" w:type="dxa"/>
            <w:vMerge/>
            <w:shd w:val="clear" w:color="auto" w:fill="B8CCE4" w:themeFill="accent1" w:themeFillTint="66"/>
            <w:vAlign w:val="center"/>
            <w:hideMark/>
          </w:tcPr>
          <w:p w14:paraId="049EC1E3" w14:textId="77777777" w:rsidR="00AE3B84" w:rsidRPr="005045BF" w:rsidRDefault="00AE3B84" w:rsidP="00AE3B84">
            <w:pPr>
              <w:rPr>
                <w:rFonts w:ascii="Arial" w:hAnsi="Arial" w:cs="Arial"/>
                <w:color w:val="0F243E" w:themeColor="text2" w:themeShade="80"/>
                <w:sz w:val="20"/>
                <w:szCs w:val="20"/>
              </w:rPr>
            </w:pPr>
          </w:p>
        </w:tc>
        <w:tc>
          <w:tcPr>
            <w:tcW w:w="1655" w:type="dxa"/>
            <w:shd w:val="clear" w:color="auto" w:fill="DBE5F1" w:themeFill="accent1" w:themeFillTint="33"/>
            <w:vAlign w:val="center"/>
            <w:hideMark/>
          </w:tcPr>
          <w:p w14:paraId="5980C92D" w14:textId="72CB0E2D" w:rsidR="00AE3B84" w:rsidRPr="005045BF" w:rsidRDefault="00AE3B84" w:rsidP="00AE3B84">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51136" behindDoc="0" locked="0" layoutInCell="1" allowOverlap="1" wp14:anchorId="07ED5A08" wp14:editId="333C37FB">
                      <wp:simplePos x="0" y="0"/>
                      <wp:positionH relativeFrom="column">
                        <wp:posOffset>348615</wp:posOffset>
                      </wp:positionH>
                      <wp:positionV relativeFrom="paragraph">
                        <wp:posOffset>114300</wp:posOffset>
                      </wp:positionV>
                      <wp:extent cx="342900" cy="219075"/>
                      <wp:effectExtent l="0" t="0" r="19050" b="28575"/>
                      <wp:wrapNone/>
                      <wp:docPr id="44" name="Triángulo isósceles 44">
                        <a:extLst xmlns:a="http://schemas.openxmlformats.org/drawingml/2006/main">
                          <a:ext uri="{FF2B5EF4-FFF2-40B4-BE49-F238E27FC236}">
                            <a16:creationId xmlns:a16="http://schemas.microsoft.com/office/drawing/2014/main" id="{D925097A-F465-4514-B0D1-00CC7885FB5F}"/>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6B8D02" id="Triángulo isósceles 44" o:spid="_x0000_s1026" type="#_x0000_t5" style="position:absolute;margin-left:27.45pt;margin-top:9pt;width:27pt;height:17.25pt;rotation:180;z-index:25225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" fillcolor="#00b050" strokecolor="#376092" strokeweight="2pt"/>
                  </w:pict>
                </mc:Fallback>
              </mc:AlternateContent>
            </w:r>
          </w:p>
        </w:tc>
        <w:tc>
          <w:tcPr>
            <w:tcW w:w="1531" w:type="dxa"/>
            <w:shd w:val="clear" w:color="auto" w:fill="B8CCE4" w:themeFill="accent1" w:themeFillTint="66"/>
            <w:vAlign w:val="center"/>
            <w:hideMark/>
          </w:tcPr>
          <w:p w14:paraId="3CB2A787" w14:textId="2588AABE"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DA10CC" w:rsidRPr="005045BF">
              <w:rPr>
                <w:rFonts w:ascii="Arial" w:hAnsi="Arial" w:cs="Arial"/>
                <w:b/>
                <w:bCs/>
                <w:color w:val="0F243E" w:themeColor="text2" w:themeShade="80"/>
                <w:sz w:val="20"/>
                <w:szCs w:val="20"/>
              </w:rPr>
              <w:t>2)</w:t>
            </w:r>
            <w:r w:rsidRPr="005045BF">
              <w:rPr>
                <w:rFonts w:ascii="Arial" w:hAnsi="Arial" w:cs="Arial"/>
                <w:b/>
                <w:bCs/>
                <w:color w:val="0F243E" w:themeColor="text2" w:themeShade="80"/>
                <w:sz w:val="20"/>
                <w:szCs w:val="20"/>
              </w:rPr>
              <w:t xml:space="preserve"> Contratos </w:t>
            </w:r>
          </w:p>
        </w:tc>
        <w:tc>
          <w:tcPr>
            <w:tcW w:w="765" w:type="dxa"/>
            <w:shd w:val="clear" w:color="auto" w:fill="DBE5F1" w:themeFill="accent1" w:themeFillTint="33"/>
            <w:vAlign w:val="center"/>
            <w:hideMark/>
          </w:tcPr>
          <w:p w14:paraId="2CD1BA44" w14:textId="3349E9D3" w:rsidR="00AE3B84" w:rsidRPr="005045BF" w:rsidRDefault="00AE3B84" w:rsidP="00AE3B84">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w:t>
            </w:r>
          </w:p>
        </w:tc>
      </w:tr>
    </w:tbl>
    <w:p w14:paraId="2CAB11D3" w14:textId="5F008153" w:rsidR="001A1DE0" w:rsidRPr="005045BF" w:rsidRDefault="001A1DE0" w:rsidP="001A1DE0">
      <w:pPr>
        <w:spacing w:after="200" w:line="276" w:lineRule="auto"/>
        <w:rPr>
          <w:rFonts w:ascii="Arial" w:hAnsi="Arial" w:cs="Arial"/>
          <w:b/>
          <w:sz w:val="22"/>
          <w:szCs w:val="22"/>
          <w:highlight w:val="yellow"/>
        </w:rPr>
      </w:pPr>
    </w:p>
    <w:p w14:paraId="457AD6F7" w14:textId="39E1F61A" w:rsidR="0048030E" w:rsidRPr="005045BF" w:rsidRDefault="0070513A" w:rsidP="001A1DE0">
      <w:pPr>
        <w:pStyle w:val="Prrafodelista"/>
        <w:numPr>
          <w:ilvl w:val="0"/>
          <w:numId w:val="11"/>
        </w:numPr>
        <w:spacing w:after="200" w:line="276" w:lineRule="auto"/>
        <w:rPr>
          <w:rFonts w:ascii="Arial" w:hAnsi="Arial" w:cs="Arial"/>
          <w:b/>
          <w:color w:val="000000" w:themeColor="text1"/>
          <w:sz w:val="22"/>
          <w:szCs w:val="22"/>
        </w:rPr>
      </w:pPr>
      <w:r w:rsidRPr="005045BF">
        <w:rPr>
          <w:rFonts w:ascii="Arial" w:hAnsi="Arial" w:cs="Arial"/>
          <w:b/>
          <w:color w:val="000000" w:themeColor="text1"/>
          <w:sz w:val="22"/>
          <w:szCs w:val="22"/>
        </w:rPr>
        <w:lastRenderedPageBreak/>
        <w:t>GASTOS DE PASAJES Y VIÁTICOS</w:t>
      </w:r>
    </w:p>
    <w:tbl>
      <w:tblPr>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4A0" w:firstRow="1" w:lastRow="0" w:firstColumn="1" w:lastColumn="0" w:noHBand="0" w:noVBand="1"/>
      </w:tblPr>
      <w:tblGrid>
        <w:gridCol w:w="1125"/>
        <w:gridCol w:w="1280"/>
        <w:gridCol w:w="1985"/>
        <w:gridCol w:w="1280"/>
        <w:gridCol w:w="1701"/>
        <w:gridCol w:w="1560"/>
        <w:gridCol w:w="708"/>
      </w:tblGrid>
      <w:tr w:rsidR="005B573B" w:rsidRPr="005045BF" w14:paraId="1DDBA58E" w14:textId="77777777" w:rsidTr="00B211D2">
        <w:trPr>
          <w:trHeight w:val="780"/>
          <w:tblHeader/>
        </w:trPr>
        <w:tc>
          <w:tcPr>
            <w:tcW w:w="1125" w:type="dxa"/>
            <w:shd w:val="clear" w:color="000000" w:fill="4F81BD"/>
            <w:vAlign w:val="center"/>
            <w:hideMark/>
          </w:tcPr>
          <w:p w14:paraId="52B0FD25" w14:textId="5075DE2F" w:rsidR="00BF6AE0" w:rsidRPr="005045BF" w:rsidRDefault="00EC17E8" w:rsidP="00533A64">
            <w:pPr>
              <w:widowControl w:val="0"/>
              <w:jc w:val="center"/>
              <w:rPr>
                <w:rFonts w:ascii="Arial" w:hAnsi="Arial" w:cs="Arial"/>
                <w:b/>
                <w:bCs/>
                <w:color w:val="FFFFFF"/>
                <w:sz w:val="20"/>
                <w:szCs w:val="20"/>
              </w:rPr>
            </w:pPr>
            <w:r w:rsidRPr="005045BF">
              <w:rPr>
                <w:rFonts w:ascii="Arial" w:hAnsi="Arial" w:cs="Arial"/>
                <w:b/>
                <w:color w:val="000000" w:themeColor="text1"/>
                <w:sz w:val="22"/>
                <w:szCs w:val="22"/>
                <w:highlight w:val="yellow"/>
              </w:rPr>
              <w:br w:type="page"/>
            </w:r>
            <w:r w:rsidR="00BF6AE0" w:rsidRPr="005045BF">
              <w:rPr>
                <w:rFonts w:ascii="Arial" w:hAnsi="Arial" w:cs="Arial"/>
                <w:b/>
                <w:bCs/>
                <w:color w:val="FFFFFF"/>
                <w:sz w:val="20"/>
                <w:szCs w:val="20"/>
              </w:rPr>
              <w:t>Numeral Informe</w:t>
            </w:r>
          </w:p>
        </w:tc>
        <w:tc>
          <w:tcPr>
            <w:tcW w:w="1280" w:type="dxa"/>
            <w:shd w:val="clear" w:color="000000" w:fill="4F81BD"/>
            <w:vAlign w:val="center"/>
            <w:hideMark/>
          </w:tcPr>
          <w:p w14:paraId="6AEC4A88"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Ítem</w:t>
            </w:r>
          </w:p>
        </w:tc>
        <w:tc>
          <w:tcPr>
            <w:tcW w:w="1985" w:type="dxa"/>
            <w:shd w:val="clear" w:color="000000" w:fill="4F81BD"/>
            <w:vAlign w:val="center"/>
            <w:hideMark/>
          </w:tcPr>
          <w:p w14:paraId="05F4384C"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280" w:type="dxa"/>
            <w:shd w:val="clear" w:color="000000" w:fill="4F81BD"/>
            <w:vAlign w:val="center"/>
            <w:hideMark/>
          </w:tcPr>
          <w:p w14:paraId="05207CE0"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 xml:space="preserve">Periodo Comparado </w:t>
            </w:r>
          </w:p>
        </w:tc>
        <w:tc>
          <w:tcPr>
            <w:tcW w:w="1701" w:type="dxa"/>
            <w:shd w:val="clear" w:color="000000" w:fill="4F81BD"/>
            <w:vAlign w:val="center"/>
            <w:hideMark/>
          </w:tcPr>
          <w:p w14:paraId="4A6358DE"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 xml:space="preserve">Variación </w:t>
            </w:r>
          </w:p>
        </w:tc>
        <w:tc>
          <w:tcPr>
            <w:tcW w:w="1560" w:type="dxa"/>
            <w:shd w:val="clear" w:color="000000" w:fill="4F81BD"/>
            <w:vAlign w:val="center"/>
            <w:hideMark/>
          </w:tcPr>
          <w:p w14:paraId="60551F07"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Valor / Cantidad</w:t>
            </w:r>
          </w:p>
        </w:tc>
        <w:tc>
          <w:tcPr>
            <w:tcW w:w="708" w:type="dxa"/>
            <w:shd w:val="clear" w:color="000000" w:fill="4F81BD"/>
            <w:vAlign w:val="center"/>
            <w:hideMark/>
          </w:tcPr>
          <w:p w14:paraId="3C943C57" w14:textId="77777777" w:rsidR="00BF6AE0" w:rsidRPr="005045BF" w:rsidRDefault="00BF6AE0"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w:t>
            </w:r>
          </w:p>
        </w:tc>
      </w:tr>
      <w:tr w:rsidR="005B573B" w:rsidRPr="005045BF" w14:paraId="4DF7CDCE" w14:textId="77777777" w:rsidTr="00533A64">
        <w:trPr>
          <w:trHeight w:val="813"/>
        </w:trPr>
        <w:tc>
          <w:tcPr>
            <w:tcW w:w="1125" w:type="dxa"/>
            <w:vMerge w:val="restart"/>
            <w:shd w:val="clear" w:color="000000" w:fill="4F81BD"/>
            <w:vAlign w:val="center"/>
            <w:hideMark/>
          </w:tcPr>
          <w:p w14:paraId="0E6B0B29" w14:textId="77777777" w:rsidR="00EC17E8" w:rsidRPr="005045BF" w:rsidRDefault="00EC17E8" w:rsidP="00533A64">
            <w:pPr>
              <w:widowControl w:val="0"/>
              <w:jc w:val="center"/>
              <w:rPr>
                <w:rFonts w:ascii="Arial" w:hAnsi="Arial" w:cs="Arial"/>
                <w:b/>
                <w:bCs/>
                <w:color w:val="FFFFFF"/>
                <w:sz w:val="20"/>
                <w:szCs w:val="20"/>
              </w:rPr>
            </w:pPr>
            <w:r w:rsidRPr="005045BF">
              <w:rPr>
                <w:rFonts w:ascii="Arial" w:hAnsi="Arial" w:cs="Arial"/>
                <w:b/>
                <w:bCs/>
                <w:color w:val="FFFFFF"/>
                <w:sz w:val="20"/>
                <w:szCs w:val="20"/>
              </w:rPr>
              <w:t>3</w:t>
            </w:r>
          </w:p>
        </w:tc>
        <w:tc>
          <w:tcPr>
            <w:tcW w:w="1280" w:type="dxa"/>
            <w:vMerge w:val="restart"/>
            <w:shd w:val="clear" w:color="000000" w:fill="B8CCE4"/>
            <w:textDirection w:val="btLr"/>
            <w:vAlign w:val="center"/>
            <w:hideMark/>
          </w:tcPr>
          <w:p w14:paraId="3B97DDD1" w14:textId="77777777" w:rsidR="00EC17E8" w:rsidRPr="005045BF" w:rsidRDefault="00EC17E8" w:rsidP="00533A64">
            <w:pPr>
              <w:widowControl w:val="0"/>
              <w:ind w:left="113" w:right="113"/>
              <w:jc w:val="center"/>
              <w:rPr>
                <w:rFonts w:ascii="Arial" w:hAnsi="Arial" w:cs="Arial"/>
                <w:b/>
                <w:bCs/>
                <w:color w:val="0F243E"/>
                <w:sz w:val="20"/>
                <w:szCs w:val="20"/>
              </w:rPr>
            </w:pPr>
            <w:r w:rsidRPr="005045BF">
              <w:rPr>
                <w:rFonts w:ascii="Arial" w:hAnsi="Arial" w:cs="Arial"/>
                <w:b/>
                <w:bCs/>
                <w:color w:val="0F243E" w:themeColor="text2" w:themeShade="80"/>
                <w:sz w:val="20"/>
                <w:szCs w:val="20"/>
              </w:rPr>
              <w:t>Gastos de Pasajes y Viáticos</w:t>
            </w:r>
          </w:p>
        </w:tc>
        <w:tc>
          <w:tcPr>
            <w:tcW w:w="1985" w:type="dxa"/>
            <w:shd w:val="clear" w:color="auto" w:fill="DBE5F1" w:themeFill="accent1" w:themeFillTint="33"/>
            <w:vAlign w:val="center"/>
            <w:hideMark/>
          </w:tcPr>
          <w:p w14:paraId="4C255E10" w14:textId="651FE238" w:rsidR="00EC17E8" w:rsidRPr="005045BF" w:rsidRDefault="00EC17E8" w:rsidP="00533A64">
            <w:pPr>
              <w:widowControl w:val="0"/>
              <w:jc w:val="center"/>
              <w:rPr>
                <w:rFonts w:ascii="Arial" w:hAnsi="Arial" w:cs="Arial"/>
                <w:color w:val="0F243E"/>
                <w:sz w:val="20"/>
                <w:szCs w:val="20"/>
              </w:rPr>
            </w:pPr>
            <w:r w:rsidRPr="005045BF">
              <w:rPr>
                <w:rFonts w:ascii="Arial" w:hAnsi="Arial" w:cs="Arial"/>
                <w:color w:val="0F243E"/>
                <w:sz w:val="20"/>
                <w:szCs w:val="20"/>
              </w:rPr>
              <w:t>Valor del Gasto Pasaje Aéreos</w:t>
            </w:r>
          </w:p>
        </w:tc>
        <w:tc>
          <w:tcPr>
            <w:tcW w:w="1280" w:type="dxa"/>
            <w:shd w:val="clear" w:color="auto" w:fill="B8CCE4" w:themeFill="accent1" w:themeFillTint="66"/>
            <w:vAlign w:val="center"/>
            <w:hideMark/>
          </w:tcPr>
          <w:p w14:paraId="50965C0F" w14:textId="77777777" w:rsidR="00EC17E8" w:rsidRPr="005045BF" w:rsidRDefault="00EC17E8" w:rsidP="00533A64">
            <w:pPr>
              <w:widowControl w:val="0"/>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shd w:val="clear" w:color="auto" w:fill="DBE5F1" w:themeFill="accent1" w:themeFillTint="33"/>
            <w:vAlign w:val="center"/>
            <w:hideMark/>
          </w:tcPr>
          <w:p w14:paraId="335699E5" w14:textId="18D3AE58" w:rsidR="00EC17E8" w:rsidRPr="005045BF" w:rsidRDefault="00EC17E8" w:rsidP="00533A64">
            <w:pPr>
              <w:widowControl w:val="0"/>
              <w:rPr>
                <w:rFonts w:ascii="Arial" w:hAnsi="Arial" w:cs="Arial"/>
                <w:color w:val="0F243E"/>
                <w:sz w:val="20"/>
                <w:szCs w:val="20"/>
              </w:rPr>
            </w:pPr>
            <w:r w:rsidRPr="005045BF">
              <w:rPr>
                <w:rFonts w:ascii="Arial" w:hAnsi="Arial" w:cs="Arial"/>
                <w:noProof/>
                <w:color w:val="0F243E"/>
                <w:sz w:val="20"/>
                <w:szCs w:val="20"/>
              </w:rPr>
              <mc:AlternateContent>
                <mc:Choice Requires="wps">
                  <w:drawing>
                    <wp:anchor distT="0" distB="0" distL="114300" distR="114300" simplePos="0" relativeHeight="252260352" behindDoc="0" locked="0" layoutInCell="1" allowOverlap="1" wp14:anchorId="6DBFC1D7" wp14:editId="3F601CEE">
                      <wp:simplePos x="0" y="0"/>
                      <wp:positionH relativeFrom="column">
                        <wp:posOffset>329565</wp:posOffset>
                      </wp:positionH>
                      <wp:positionV relativeFrom="paragraph">
                        <wp:posOffset>102870</wp:posOffset>
                      </wp:positionV>
                      <wp:extent cx="342900" cy="209550"/>
                      <wp:effectExtent l="0" t="0" r="19050" b="19050"/>
                      <wp:wrapNone/>
                      <wp:docPr id="65" name="Triángulo isósceles 65">
                        <a:extLst xmlns:a="http://schemas.openxmlformats.org/drawingml/2006/main">
                          <a:ext uri="{FF2B5EF4-FFF2-40B4-BE49-F238E27FC236}">
                            <a16:creationId xmlns:a16="http://schemas.microsoft.com/office/drawing/2014/main" id="{00000000-0008-0000-0100-000007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647D3A" id="Triángulo isósceles 65" o:spid="_x0000_s1026" type="#_x0000_t5" style="position:absolute;margin-left:25.95pt;margin-top:8.1pt;width:27pt;height:16.5pt;rotation:180;z-index:25226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" fillcolor="#00b050" strokecolor="#376092" strokeweight="2pt"/>
                  </w:pict>
                </mc:Fallback>
              </mc:AlternateContent>
            </w:r>
          </w:p>
        </w:tc>
        <w:tc>
          <w:tcPr>
            <w:tcW w:w="1560" w:type="dxa"/>
            <w:shd w:val="clear" w:color="auto" w:fill="B8CCE4" w:themeFill="accent1" w:themeFillTint="66"/>
            <w:vAlign w:val="center"/>
            <w:hideMark/>
          </w:tcPr>
          <w:p w14:paraId="1C5AB5FE" w14:textId="4DBC3EFF" w:rsidR="00EC17E8" w:rsidRPr="005045BF" w:rsidRDefault="00EC17E8" w:rsidP="00533A64">
            <w:pPr>
              <w:widowControl w:val="0"/>
              <w:jc w:val="center"/>
              <w:rPr>
                <w:rFonts w:ascii="Arial" w:hAnsi="Arial" w:cs="Arial"/>
                <w:b/>
                <w:bCs/>
                <w:color w:val="0F243E"/>
                <w:sz w:val="20"/>
                <w:szCs w:val="20"/>
              </w:rPr>
            </w:pPr>
            <w:r w:rsidRPr="005045BF">
              <w:rPr>
                <w:rFonts w:ascii="Arial" w:hAnsi="Arial" w:cs="Arial"/>
                <w:b/>
                <w:bCs/>
                <w:color w:val="0F243E" w:themeColor="text2" w:themeShade="80"/>
                <w:sz w:val="20"/>
                <w:szCs w:val="20"/>
              </w:rPr>
              <w:t>($25.711.735)</w:t>
            </w:r>
          </w:p>
        </w:tc>
        <w:tc>
          <w:tcPr>
            <w:tcW w:w="708" w:type="dxa"/>
            <w:shd w:val="clear" w:color="auto" w:fill="DBE5F1" w:themeFill="accent1" w:themeFillTint="33"/>
            <w:vAlign w:val="center"/>
            <w:hideMark/>
          </w:tcPr>
          <w:p w14:paraId="5F0495E8" w14:textId="425EE2F1" w:rsidR="00EC17E8" w:rsidRPr="005045BF" w:rsidRDefault="00EC17E8" w:rsidP="00533A64">
            <w:pPr>
              <w:widowControl w:val="0"/>
              <w:jc w:val="center"/>
              <w:rPr>
                <w:rFonts w:ascii="Arial" w:hAnsi="Arial" w:cs="Arial"/>
                <w:b/>
                <w:bCs/>
                <w:color w:val="0F243E"/>
                <w:sz w:val="20"/>
                <w:szCs w:val="20"/>
              </w:rPr>
            </w:pPr>
            <w:r w:rsidRPr="005045BF">
              <w:rPr>
                <w:rFonts w:ascii="Arial" w:hAnsi="Arial" w:cs="Arial"/>
                <w:b/>
                <w:bCs/>
                <w:color w:val="0F243E"/>
                <w:sz w:val="20"/>
                <w:szCs w:val="20"/>
              </w:rPr>
              <w:t>(16%)</w:t>
            </w:r>
          </w:p>
        </w:tc>
      </w:tr>
      <w:tr w:rsidR="005B573B" w:rsidRPr="005045BF" w14:paraId="5A030F4B" w14:textId="77777777" w:rsidTr="00533A64">
        <w:trPr>
          <w:trHeight w:val="838"/>
        </w:trPr>
        <w:tc>
          <w:tcPr>
            <w:tcW w:w="1125" w:type="dxa"/>
            <w:vMerge/>
            <w:vAlign w:val="center"/>
            <w:hideMark/>
          </w:tcPr>
          <w:p w14:paraId="369F4096" w14:textId="77777777" w:rsidR="00EC17E8" w:rsidRPr="005045BF" w:rsidRDefault="00EC17E8" w:rsidP="00533A64">
            <w:pPr>
              <w:widowControl w:val="0"/>
              <w:rPr>
                <w:rFonts w:ascii="Arial" w:hAnsi="Arial" w:cs="Arial"/>
                <w:b/>
                <w:bCs/>
                <w:color w:val="FFFFFF"/>
                <w:sz w:val="20"/>
                <w:szCs w:val="20"/>
              </w:rPr>
            </w:pPr>
          </w:p>
        </w:tc>
        <w:tc>
          <w:tcPr>
            <w:tcW w:w="1280" w:type="dxa"/>
            <w:vMerge/>
            <w:shd w:val="clear" w:color="000000" w:fill="B8CCE4"/>
            <w:vAlign w:val="center"/>
            <w:hideMark/>
          </w:tcPr>
          <w:p w14:paraId="167D91C9" w14:textId="77777777" w:rsidR="00EC17E8" w:rsidRPr="005045BF" w:rsidRDefault="00EC17E8" w:rsidP="00533A64">
            <w:pPr>
              <w:widowControl w:val="0"/>
              <w:rPr>
                <w:rFonts w:ascii="Arial" w:hAnsi="Arial" w:cs="Arial"/>
                <w:b/>
                <w:bCs/>
                <w:color w:val="0F243E"/>
                <w:sz w:val="20"/>
                <w:szCs w:val="20"/>
              </w:rPr>
            </w:pPr>
          </w:p>
        </w:tc>
        <w:tc>
          <w:tcPr>
            <w:tcW w:w="1985" w:type="dxa"/>
            <w:shd w:val="clear" w:color="auto" w:fill="DBE5F1" w:themeFill="accent1" w:themeFillTint="33"/>
            <w:vAlign w:val="center"/>
            <w:hideMark/>
          </w:tcPr>
          <w:p w14:paraId="6A4E96F2" w14:textId="29C77362" w:rsidR="00EC17E8" w:rsidRPr="005045BF" w:rsidRDefault="00EC17E8" w:rsidP="00533A64">
            <w:pPr>
              <w:widowControl w:val="0"/>
              <w:jc w:val="center"/>
              <w:rPr>
                <w:rFonts w:ascii="Arial" w:hAnsi="Arial" w:cs="Arial"/>
                <w:color w:val="0F243E"/>
                <w:sz w:val="20"/>
                <w:szCs w:val="20"/>
              </w:rPr>
            </w:pPr>
            <w:r w:rsidRPr="005045BF">
              <w:rPr>
                <w:rFonts w:ascii="Arial" w:hAnsi="Arial" w:cs="Arial"/>
                <w:color w:val="0F243E"/>
                <w:sz w:val="20"/>
                <w:szCs w:val="20"/>
              </w:rPr>
              <w:t>Cantidad de Pasajes Aéreos</w:t>
            </w:r>
          </w:p>
        </w:tc>
        <w:tc>
          <w:tcPr>
            <w:tcW w:w="1280" w:type="dxa"/>
            <w:shd w:val="clear" w:color="auto" w:fill="B8CCE4" w:themeFill="accent1" w:themeFillTint="66"/>
            <w:vAlign w:val="center"/>
            <w:hideMark/>
          </w:tcPr>
          <w:p w14:paraId="6401B454" w14:textId="77777777" w:rsidR="00EC17E8" w:rsidRPr="005045BF" w:rsidRDefault="00EC17E8" w:rsidP="00533A64">
            <w:pPr>
              <w:widowControl w:val="0"/>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shd w:val="clear" w:color="auto" w:fill="DBE5F1" w:themeFill="accent1" w:themeFillTint="33"/>
            <w:vAlign w:val="center"/>
            <w:hideMark/>
          </w:tcPr>
          <w:p w14:paraId="306FE25E" w14:textId="79B2722D" w:rsidR="00EC17E8" w:rsidRPr="005045BF" w:rsidRDefault="00EC17E8" w:rsidP="00533A64">
            <w:pPr>
              <w:widowControl w:val="0"/>
              <w:rPr>
                <w:rFonts w:ascii="Arial" w:hAnsi="Arial" w:cs="Arial"/>
                <w:color w:val="0F243E"/>
                <w:sz w:val="20"/>
                <w:szCs w:val="20"/>
              </w:rPr>
            </w:pPr>
            <w:r w:rsidRPr="005045BF">
              <w:rPr>
                <w:rFonts w:ascii="Arial" w:hAnsi="Arial" w:cs="Arial"/>
                <w:noProof/>
                <w:color w:val="0F243E"/>
                <w:sz w:val="20"/>
                <w:szCs w:val="20"/>
              </w:rPr>
              <mc:AlternateContent>
                <mc:Choice Requires="wps">
                  <w:drawing>
                    <wp:anchor distT="0" distB="0" distL="114300" distR="114300" simplePos="0" relativeHeight="252261376" behindDoc="0" locked="0" layoutInCell="1" allowOverlap="1" wp14:anchorId="707C5754" wp14:editId="1F826129">
                      <wp:simplePos x="0" y="0"/>
                      <wp:positionH relativeFrom="column">
                        <wp:posOffset>345440</wp:posOffset>
                      </wp:positionH>
                      <wp:positionV relativeFrom="paragraph">
                        <wp:posOffset>-21590</wp:posOffset>
                      </wp:positionV>
                      <wp:extent cx="342900" cy="209550"/>
                      <wp:effectExtent l="0" t="0" r="19050" b="19050"/>
                      <wp:wrapNone/>
                      <wp:docPr id="64" name="Triángulo isósceles 64">
                        <a:extLst xmlns:a="http://schemas.openxmlformats.org/drawingml/2006/main">
                          <a:ext uri="{FF2B5EF4-FFF2-40B4-BE49-F238E27FC236}">
                            <a16:creationId xmlns:a16="http://schemas.microsoft.com/office/drawing/2014/main" id="{00000000-0008-0000-0100-000009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8BA2457" id="Triángulo isósceles 64" o:spid="_x0000_s1026" type="#_x0000_t5" style="position:absolute;margin-left:27.2pt;margin-top:-1.7pt;width:27pt;height:16.5pt;rotation:180;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" fillcolor="#00b050" strokecolor="#376092" strokeweight="2pt"/>
                  </w:pict>
                </mc:Fallback>
              </mc:AlternateContent>
            </w:r>
          </w:p>
        </w:tc>
        <w:tc>
          <w:tcPr>
            <w:tcW w:w="1560" w:type="dxa"/>
            <w:shd w:val="clear" w:color="auto" w:fill="B8CCE4" w:themeFill="accent1" w:themeFillTint="66"/>
            <w:vAlign w:val="center"/>
            <w:hideMark/>
          </w:tcPr>
          <w:p w14:paraId="4F4C008C" w14:textId="60C780D5" w:rsidR="00EC17E8" w:rsidRPr="005045BF" w:rsidRDefault="00EC17E8" w:rsidP="00533A64">
            <w:pPr>
              <w:widowControl w:val="0"/>
              <w:jc w:val="center"/>
              <w:rPr>
                <w:rFonts w:ascii="Arial" w:hAnsi="Arial" w:cs="Arial"/>
                <w:b/>
                <w:bCs/>
                <w:color w:val="0F243E"/>
                <w:sz w:val="20"/>
                <w:szCs w:val="20"/>
              </w:rPr>
            </w:pPr>
            <w:r w:rsidRPr="005045BF">
              <w:rPr>
                <w:rFonts w:ascii="Arial" w:hAnsi="Arial" w:cs="Arial"/>
                <w:b/>
                <w:bCs/>
                <w:color w:val="0F243E"/>
                <w:sz w:val="20"/>
                <w:szCs w:val="20"/>
              </w:rPr>
              <w:t>(26) pasajes aéreos</w:t>
            </w:r>
          </w:p>
        </w:tc>
        <w:tc>
          <w:tcPr>
            <w:tcW w:w="708" w:type="dxa"/>
            <w:shd w:val="clear" w:color="auto" w:fill="DBE5F1" w:themeFill="accent1" w:themeFillTint="33"/>
            <w:vAlign w:val="center"/>
            <w:hideMark/>
          </w:tcPr>
          <w:p w14:paraId="31BDD0E1" w14:textId="3CFBC257" w:rsidR="00EC17E8" w:rsidRPr="005045BF" w:rsidRDefault="007D74C3" w:rsidP="00533A64">
            <w:pPr>
              <w:widowControl w:val="0"/>
              <w:jc w:val="center"/>
              <w:rPr>
                <w:rFonts w:ascii="Arial" w:hAnsi="Arial" w:cs="Arial"/>
                <w:b/>
                <w:bCs/>
                <w:color w:val="0F243E"/>
                <w:sz w:val="20"/>
                <w:szCs w:val="20"/>
              </w:rPr>
            </w:pPr>
            <w:r w:rsidRPr="005045BF">
              <w:rPr>
                <w:rFonts w:ascii="Arial" w:hAnsi="Arial" w:cs="Arial"/>
                <w:b/>
                <w:bCs/>
                <w:color w:val="0F243E"/>
                <w:sz w:val="20"/>
                <w:szCs w:val="20"/>
              </w:rPr>
              <w:t>(</w:t>
            </w:r>
            <w:r w:rsidR="00EC17E8" w:rsidRPr="005045BF">
              <w:rPr>
                <w:rFonts w:ascii="Arial" w:hAnsi="Arial" w:cs="Arial"/>
                <w:b/>
                <w:bCs/>
                <w:color w:val="0F243E"/>
                <w:sz w:val="20"/>
                <w:szCs w:val="20"/>
              </w:rPr>
              <w:t>12%</w:t>
            </w:r>
            <w:r w:rsidRPr="005045BF">
              <w:rPr>
                <w:rFonts w:ascii="Arial" w:hAnsi="Arial" w:cs="Arial"/>
                <w:b/>
                <w:bCs/>
                <w:color w:val="0F243E"/>
                <w:sz w:val="20"/>
                <w:szCs w:val="20"/>
              </w:rPr>
              <w:t>)</w:t>
            </w:r>
          </w:p>
        </w:tc>
      </w:tr>
      <w:tr w:rsidR="00240D1A" w:rsidRPr="005045BF" w14:paraId="4CB1B844" w14:textId="77777777" w:rsidTr="00533A64">
        <w:trPr>
          <w:trHeight w:val="850"/>
        </w:trPr>
        <w:tc>
          <w:tcPr>
            <w:tcW w:w="1125" w:type="dxa"/>
            <w:vMerge/>
            <w:vAlign w:val="center"/>
            <w:hideMark/>
          </w:tcPr>
          <w:p w14:paraId="426E9BFE" w14:textId="77777777" w:rsidR="005B573B" w:rsidRPr="005045BF" w:rsidRDefault="005B573B" w:rsidP="00533A64">
            <w:pPr>
              <w:widowControl w:val="0"/>
              <w:rPr>
                <w:rFonts w:ascii="Arial" w:hAnsi="Arial" w:cs="Arial"/>
                <w:b/>
                <w:bCs/>
                <w:color w:val="FFFFFF"/>
                <w:sz w:val="20"/>
                <w:szCs w:val="20"/>
              </w:rPr>
            </w:pPr>
          </w:p>
        </w:tc>
        <w:tc>
          <w:tcPr>
            <w:tcW w:w="1280" w:type="dxa"/>
            <w:vMerge w:val="restart"/>
            <w:shd w:val="clear" w:color="000000" w:fill="B8CCE4"/>
            <w:textDirection w:val="btLr"/>
            <w:vAlign w:val="center"/>
            <w:hideMark/>
          </w:tcPr>
          <w:p w14:paraId="286340C2" w14:textId="2E5752B0" w:rsidR="005B573B" w:rsidRPr="005045BF" w:rsidRDefault="005B573B" w:rsidP="00533A64">
            <w:pPr>
              <w:widowControl w:val="0"/>
              <w:ind w:left="113" w:right="113"/>
              <w:jc w:val="center"/>
              <w:rPr>
                <w:rFonts w:ascii="Arial" w:hAnsi="Arial" w:cs="Arial"/>
                <w:b/>
                <w:bCs/>
                <w:color w:val="0F243E"/>
                <w:sz w:val="20"/>
                <w:szCs w:val="20"/>
              </w:rPr>
            </w:pPr>
            <w:r w:rsidRPr="005045BF">
              <w:rPr>
                <w:rFonts w:ascii="Arial" w:hAnsi="Arial" w:cs="Arial"/>
                <w:b/>
                <w:bCs/>
                <w:color w:val="0F243E"/>
                <w:sz w:val="20"/>
                <w:szCs w:val="20"/>
              </w:rPr>
              <w:t>Gastos de Pasajes y Viáticos</w:t>
            </w:r>
          </w:p>
        </w:tc>
        <w:tc>
          <w:tcPr>
            <w:tcW w:w="1985" w:type="dxa"/>
            <w:shd w:val="clear" w:color="auto" w:fill="DBE5F1" w:themeFill="accent1" w:themeFillTint="33"/>
            <w:vAlign w:val="center"/>
            <w:hideMark/>
          </w:tcPr>
          <w:p w14:paraId="02B81205"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Valor del Gasto Viáticos</w:t>
            </w:r>
          </w:p>
        </w:tc>
        <w:tc>
          <w:tcPr>
            <w:tcW w:w="1280" w:type="dxa"/>
            <w:shd w:val="clear" w:color="auto" w:fill="B8CCE4" w:themeFill="accent1" w:themeFillTint="66"/>
            <w:vAlign w:val="center"/>
            <w:hideMark/>
          </w:tcPr>
          <w:p w14:paraId="6A97FE7D"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shd w:val="clear" w:color="auto" w:fill="DBE5F1" w:themeFill="accent1" w:themeFillTint="33"/>
            <w:vAlign w:val="center"/>
            <w:hideMark/>
          </w:tcPr>
          <w:p w14:paraId="640AF5D9" w14:textId="6D8A5701" w:rsidR="005B573B" w:rsidRPr="005045BF" w:rsidRDefault="005B573B" w:rsidP="00533A64">
            <w:pPr>
              <w:widowControl w:val="0"/>
              <w:rPr>
                <w:rFonts w:ascii="Arial" w:hAnsi="Arial" w:cs="Arial"/>
                <w:color w:val="0F243E"/>
                <w:sz w:val="20"/>
                <w:szCs w:val="20"/>
              </w:rPr>
            </w:pPr>
            <w:r w:rsidRPr="005045BF">
              <w:rPr>
                <w:rFonts w:ascii="Arial" w:hAnsi="Arial" w:cs="Arial"/>
                <w:noProof/>
                <w:color w:val="0F243E"/>
                <w:sz w:val="20"/>
                <w:szCs w:val="20"/>
              </w:rPr>
              <mc:AlternateContent>
                <mc:Choice Requires="wps">
                  <w:drawing>
                    <wp:anchor distT="0" distB="0" distL="114300" distR="114300" simplePos="0" relativeHeight="252263424" behindDoc="0" locked="0" layoutInCell="1" allowOverlap="1" wp14:anchorId="6D2F316A" wp14:editId="330B00B2">
                      <wp:simplePos x="0" y="0"/>
                      <wp:positionH relativeFrom="column">
                        <wp:posOffset>345440</wp:posOffset>
                      </wp:positionH>
                      <wp:positionV relativeFrom="paragraph">
                        <wp:posOffset>-1905</wp:posOffset>
                      </wp:positionV>
                      <wp:extent cx="342900" cy="209550"/>
                      <wp:effectExtent l="0" t="0" r="19050" b="19050"/>
                      <wp:wrapNone/>
                      <wp:docPr id="63" name="Triángulo isósceles 63">
                        <a:extLst xmlns:a="http://schemas.openxmlformats.org/drawingml/2006/main">
                          <a:ext uri="{FF2B5EF4-FFF2-40B4-BE49-F238E27FC236}">
                            <a16:creationId xmlns:a16="http://schemas.microsoft.com/office/drawing/2014/main" id="{00000000-0008-0000-0100-000006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FA44FF" id="Triángulo isósceles 63" o:spid="_x0000_s1026" type="#_x0000_t5" style="position:absolute;margin-left:27.2pt;margin-top:-.15pt;width:27pt;height:16.5pt;rotation:180;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" fillcolor="#00b050" strokecolor="#376092" strokeweight="2pt"/>
                  </w:pict>
                </mc:Fallback>
              </mc:AlternateContent>
            </w:r>
          </w:p>
        </w:tc>
        <w:tc>
          <w:tcPr>
            <w:tcW w:w="1560" w:type="dxa"/>
            <w:shd w:val="clear" w:color="auto" w:fill="B8CCE4" w:themeFill="accent1" w:themeFillTint="66"/>
            <w:vAlign w:val="center"/>
            <w:hideMark/>
          </w:tcPr>
          <w:p w14:paraId="13868104" w14:textId="62DD4ABE"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($30.159.567)</w:t>
            </w:r>
          </w:p>
        </w:tc>
        <w:tc>
          <w:tcPr>
            <w:tcW w:w="708" w:type="dxa"/>
            <w:shd w:val="clear" w:color="auto" w:fill="DBE5F1" w:themeFill="accent1" w:themeFillTint="33"/>
            <w:vAlign w:val="center"/>
            <w:hideMark/>
          </w:tcPr>
          <w:p w14:paraId="2A10419C" w14:textId="1116F628"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(23%)</w:t>
            </w:r>
          </w:p>
        </w:tc>
      </w:tr>
      <w:tr w:rsidR="00240D1A" w:rsidRPr="005045BF" w14:paraId="4038EE02" w14:textId="77777777" w:rsidTr="00533A64">
        <w:trPr>
          <w:trHeight w:val="706"/>
        </w:trPr>
        <w:tc>
          <w:tcPr>
            <w:tcW w:w="1125" w:type="dxa"/>
            <w:vMerge/>
            <w:vAlign w:val="center"/>
            <w:hideMark/>
          </w:tcPr>
          <w:p w14:paraId="58F6E430" w14:textId="77777777" w:rsidR="005B573B" w:rsidRPr="005045BF" w:rsidRDefault="005B573B" w:rsidP="00533A64">
            <w:pPr>
              <w:widowControl w:val="0"/>
              <w:rPr>
                <w:rFonts w:ascii="Arial" w:hAnsi="Arial" w:cs="Arial"/>
                <w:b/>
                <w:bCs/>
                <w:color w:val="FFFFFF"/>
                <w:sz w:val="20"/>
                <w:szCs w:val="20"/>
              </w:rPr>
            </w:pPr>
          </w:p>
        </w:tc>
        <w:tc>
          <w:tcPr>
            <w:tcW w:w="1280" w:type="dxa"/>
            <w:vMerge/>
            <w:shd w:val="clear" w:color="000000" w:fill="B8CCE4"/>
            <w:vAlign w:val="center"/>
            <w:hideMark/>
          </w:tcPr>
          <w:p w14:paraId="129CFD53" w14:textId="34F17662" w:rsidR="005B573B" w:rsidRPr="005045BF" w:rsidRDefault="005B573B" w:rsidP="00533A64">
            <w:pPr>
              <w:widowControl w:val="0"/>
              <w:rPr>
                <w:rFonts w:ascii="Arial" w:hAnsi="Arial" w:cs="Arial"/>
                <w:b/>
                <w:bCs/>
                <w:color w:val="0F243E"/>
                <w:sz w:val="20"/>
                <w:szCs w:val="20"/>
              </w:rPr>
            </w:pPr>
          </w:p>
        </w:tc>
        <w:tc>
          <w:tcPr>
            <w:tcW w:w="1985" w:type="dxa"/>
            <w:shd w:val="clear" w:color="auto" w:fill="DBE5F1" w:themeFill="accent1" w:themeFillTint="33"/>
            <w:vAlign w:val="center"/>
            <w:hideMark/>
          </w:tcPr>
          <w:p w14:paraId="2BAF249B"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Cantidad de Viáticos</w:t>
            </w:r>
          </w:p>
        </w:tc>
        <w:tc>
          <w:tcPr>
            <w:tcW w:w="1280" w:type="dxa"/>
            <w:shd w:val="clear" w:color="auto" w:fill="B8CCE4" w:themeFill="accent1" w:themeFillTint="66"/>
            <w:vAlign w:val="center"/>
            <w:hideMark/>
          </w:tcPr>
          <w:p w14:paraId="791C24C6"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shd w:val="clear" w:color="auto" w:fill="DBE5F1" w:themeFill="accent1" w:themeFillTint="33"/>
            <w:vAlign w:val="center"/>
            <w:hideMark/>
          </w:tcPr>
          <w:p w14:paraId="47BBB14C" w14:textId="0BC61945" w:rsidR="005B573B" w:rsidRPr="005045BF" w:rsidRDefault="005B573B" w:rsidP="00533A64">
            <w:pPr>
              <w:widowControl w:val="0"/>
              <w:jc w:val="center"/>
              <w:rPr>
                <w:rFonts w:ascii="Arial" w:hAnsi="Arial" w:cs="Arial"/>
                <w:color w:val="0F243E"/>
                <w:sz w:val="20"/>
                <w:szCs w:val="20"/>
              </w:rPr>
            </w:pPr>
            <w:r w:rsidRPr="005045BF">
              <w:rPr>
                <w:rFonts w:ascii="Arial" w:hAnsi="Arial" w:cs="Arial"/>
                <w:noProof/>
                <w:color w:val="0F243E"/>
                <w:sz w:val="20"/>
                <w:szCs w:val="20"/>
              </w:rPr>
              <mc:AlternateContent>
                <mc:Choice Requires="wps">
                  <w:drawing>
                    <wp:anchor distT="0" distB="0" distL="114300" distR="114300" simplePos="0" relativeHeight="252264448" behindDoc="0" locked="0" layoutInCell="1" allowOverlap="1" wp14:anchorId="4687B21C" wp14:editId="4AD89E34">
                      <wp:simplePos x="0" y="0"/>
                      <wp:positionH relativeFrom="column">
                        <wp:posOffset>374015</wp:posOffset>
                      </wp:positionH>
                      <wp:positionV relativeFrom="paragraph">
                        <wp:posOffset>13335</wp:posOffset>
                      </wp:positionV>
                      <wp:extent cx="342900" cy="200025"/>
                      <wp:effectExtent l="0" t="0" r="19050" b="28575"/>
                      <wp:wrapNone/>
                      <wp:docPr id="62" name="Triángulo isósceles 62">
                        <a:extLst xmlns:a="http://schemas.openxmlformats.org/drawingml/2006/main">
                          <a:ext uri="{FF2B5EF4-FFF2-40B4-BE49-F238E27FC236}">
                            <a16:creationId xmlns:a16="http://schemas.microsoft.com/office/drawing/2014/main" id="{3AF11290-B20C-4793-911B-0D4D164E8C8A}"/>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6AA9DEC" id="Triángulo isósceles 62" o:spid="_x0000_s1026" type="#_x0000_t5" style="position:absolute;margin-left:29.45pt;margin-top:1.05pt;width:27pt;height:15.75pt;rotation:180;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" fillcolor="#00b050" strokecolor="#376092" strokeweight="2pt"/>
                  </w:pict>
                </mc:Fallback>
              </mc:AlternateContent>
            </w:r>
          </w:p>
        </w:tc>
        <w:tc>
          <w:tcPr>
            <w:tcW w:w="1560" w:type="dxa"/>
            <w:shd w:val="clear" w:color="auto" w:fill="B8CCE4" w:themeFill="accent1" w:themeFillTint="66"/>
            <w:vAlign w:val="center"/>
            <w:hideMark/>
          </w:tcPr>
          <w:p w14:paraId="068D83B5" w14:textId="77777777"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(32) Viáticos</w:t>
            </w:r>
          </w:p>
        </w:tc>
        <w:tc>
          <w:tcPr>
            <w:tcW w:w="708" w:type="dxa"/>
            <w:shd w:val="clear" w:color="auto" w:fill="DBE5F1" w:themeFill="accent1" w:themeFillTint="33"/>
            <w:vAlign w:val="center"/>
            <w:hideMark/>
          </w:tcPr>
          <w:p w14:paraId="7E027B16" w14:textId="41911EC4"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(11%)</w:t>
            </w:r>
          </w:p>
        </w:tc>
      </w:tr>
      <w:tr w:rsidR="00240D1A" w:rsidRPr="005045BF" w14:paraId="53669F60" w14:textId="77777777" w:rsidTr="00563FA7">
        <w:trPr>
          <w:trHeight w:val="870"/>
        </w:trPr>
        <w:tc>
          <w:tcPr>
            <w:tcW w:w="1125" w:type="dxa"/>
            <w:vMerge/>
            <w:vAlign w:val="center"/>
            <w:hideMark/>
          </w:tcPr>
          <w:p w14:paraId="630F95AC" w14:textId="77777777" w:rsidR="005B573B" w:rsidRPr="005045BF" w:rsidRDefault="005B573B" w:rsidP="00533A64">
            <w:pPr>
              <w:widowControl w:val="0"/>
              <w:rPr>
                <w:rFonts w:ascii="Arial" w:hAnsi="Arial" w:cs="Arial"/>
                <w:b/>
                <w:bCs/>
                <w:color w:val="FFFFFF"/>
                <w:sz w:val="20"/>
                <w:szCs w:val="20"/>
              </w:rPr>
            </w:pPr>
          </w:p>
        </w:tc>
        <w:tc>
          <w:tcPr>
            <w:tcW w:w="1280" w:type="dxa"/>
            <w:vMerge/>
            <w:shd w:val="clear" w:color="000000" w:fill="B8CCE4"/>
            <w:vAlign w:val="center"/>
            <w:hideMark/>
          </w:tcPr>
          <w:p w14:paraId="67EDC43E" w14:textId="77777777" w:rsidR="005B573B" w:rsidRPr="005045BF" w:rsidRDefault="005B573B" w:rsidP="00533A64">
            <w:pPr>
              <w:widowControl w:val="0"/>
              <w:rPr>
                <w:rFonts w:ascii="Arial" w:hAnsi="Arial" w:cs="Arial"/>
                <w:b/>
                <w:bCs/>
                <w:color w:val="0F243E"/>
                <w:sz w:val="20"/>
                <w:szCs w:val="20"/>
              </w:rPr>
            </w:pPr>
          </w:p>
        </w:tc>
        <w:tc>
          <w:tcPr>
            <w:tcW w:w="1985" w:type="dxa"/>
            <w:shd w:val="clear" w:color="auto" w:fill="DBE5F1" w:themeFill="accent1" w:themeFillTint="33"/>
            <w:vAlign w:val="center"/>
            <w:hideMark/>
          </w:tcPr>
          <w:p w14:paraId="278E79C8"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Valor del Gasto Viáticos y Pasajes</w:t>
            </w:r>
          </w:p>
        </w:tc>
        <w:tc>
          <w:tcPr>
            <w:tcW w:w="1280" w:type="dxa"/>
            <w:shd w:val="clear" w:color="auto" w:fill="B8CCE4" w:themeFill="accent1" w:themeFillTint="66"/>
            <w:vAlign w:val="center"/>
            <w:hideMark/>
          </w:tcPr>
          <w:p w14:paraId="1FE2BFC8" w14:textId="77777777" w:rsidR="005B573B" w:rsidRPr="005045BF" w:rsidRDefault="005B573B" w:rsidP="00533A64">
            <w:pPr>
              <w:widowControl w:val="0"/>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shd w:val="clear" w:color="auto" w:fill="DBE5F1" w:themeFill="accent1" w:themeFillTint="33"/>
            <w:vAlign w:val="center"/>
            <w:hideMark/>
          </w:tcPr>
          <w:p w14:paraId="58E41221" w14:textId="36C0AE2E" w:rsidR="005B573B" w:rsidRPr="005045BF" w:rsidRDefault="005B573B" w:rsidP="00533A64">
            <w:pPr>
              <w:widowControl w:val="0"/>
              <w:rPr>
                <w:rFonts w:ascii="Arial" w:hAnsi="Arial" w:cs="Arial"/>
                <w:color w:val="0F243E"/>
                <w:sz w:val="20"/>
                <w:szCs w:val="20"/>
              </w:rPr>
            </w:pPr>
            <w:r w:rsidRPr="005045BF">
              <w:rPr>
                <w:rFonts w:ascii="Arial" w:hAnsi="Arial" w:cs="Arial"/>
                <w:noProof/>
                <w:color w:val="0F243E"/>
                <w:sz w:val="20"/>
                <w:szCs w:val="20"/>
              </w:rPr>
              <mc:AlternateContent>
                <mc:Choice Requires="wps">
                  <w:drawing>
                    <wp:anchor distT="0" distB="0" distL="114300" distR="114300" simplePos="0" relativeHeight="252265472" behindDoc="0" locked="0" layoutInCell="1" allowOverlap="1" wp14:anchorId="5EC8A6B9" wp14:editId="119F9C64">
                      <wp:simplePos x="0" y="0"/>
                      <wp:positionH relativeFrom="column">
                        <wp:posOffset>390525</wp:posOffset>
                      </wp:positionH>
                      <wp:positionV relativeFrom="paragraph">
                        <wp:posOffset>-2540</wp:posOffset>
                      </wp:positionV>
                      <wp:extent cx="342900" cy="219075"/>
                      <wp:effectExtent l="0" t="0" r="19050" b="28575"/>
                      <wp:wrapNone/>
                      <wp:docPr id="61" name="Triángulo isósceles 61">
                        <a:extLst xmlns:a="http://schemas.openxmlformats.org/drawingml/2006/main">
                          <a:ext uri="{FF2B5EF4-FFF2-40B4-BE49-F238E27FC236}">
                            <a16:creationId xmlns:a16="http://schemas.microsoft.com/office/drawing/2014/main" id="{BD816501-107D-40B8-865A-1A9BCE93657C}"/>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3230979" id="Triángulo isósceles 61" o:spid="_x0000_s1026" type="#_x0000_t5" style="position:absolute;margin-left:30.75pt;margin-top:-.2pt;width:27pt;height:17.25pt;rotation:180;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" fillcolor="#00b050" strokecolor="#376092" strokeweight="2pt"/>
                  </w:pict>
                </mc:Fallback>
              </mc:AlternateContent>
            </w:r>
          </w:p>
        </w:tc>
        <w:tc>
          <w:tcPr>
            <w:tcW w:w="1560" w:type="dxa"/>
            <w:shd w:val="clear" w:color="auto" w:fill="B8CCE4" w:themeFill="accent1" w:themeFillTint="66"/>
            <w:vAlign w:val="center"/>
            <w:hideMark/>
          </w:tcPr>
          <w:p w14:paraId="409857DA" w14:textId="25123A39"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($55.871.302)</w:t>
            </w:r>
          </w:p>
        </w:tc>
        <w:tc>
          <w:tcPr>
            <w:tcW w:w="708" w:type="dxa"/>
            <w:shd w:val="clear" w:color="auto" w:fill="DBE5F1" w:themeFill="accent1" w:themeFillTint="33"/>
            <w:vAlign w:val="center"/>
            <w:hideMark/>
          </w:tcPr>
          <w:p w14:paraId="2F6F1432" w14:textId="09FDB836" w:rsidR="005B573B" w:rsidRPr="005045BF" w:rsidRDefault="005B573B" w:rsidP="00533A64">
            <w:pPr>
              <w:widowControl w:val="0"/>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(19%)</w:t>
            </w:r>
          </w:p>
        </w:tc>
      </w:tr>
    </w:tbl>
    <w:p w14:paraId="107EFA41" w14:textId="6638FABF" w:rsidR="00BF6AE0" w:rsidRPr="005045BF" w:rsidRDefault="00BF6AE0" w:rsidP="0048030E">
      <w:pPr>
        <w:spacing w:line="264" w:lineRule="auto"/>
        <w:rPr>
          <w:rFonts w:ascii="Arial" w:hAnsi="Arial" w:cs="Arial"/>
          <w:b/>
          <w:sz w:val="22"/>
          <w:szCs w:val="22"/>
        </w:rPr>
      </w:pPr>
    </w:p>
    <w:p w14:paraId="32F85CC3" w14:textId="77777777" w:rsidR="00533A64" w:rsidRPr="005045BF" w:rsidRDefault="00533A64" w:rsidP="0048030E">
      <w:pPr>
        <w:spacing w:line="264" w:lineRule="auto"/>
        <w:rPr>
          <w:rFonts w:ascii="Arial" w:hAnsi="Arial" w:cs="Arial"/>
          <w:b/>
          <w:sz w:val="22"/>
          <w:szCs w:val="22"/>
        </w:rPr>
      </w:pPr>
    </w:p>
    <w:p w14:paraId="69EBD198" w14:textId="77777777" w:rsidR="00304B4F" w:rsidRPr="005045BF" w:rsidRDefault="0070513A" w:rsidP="0045629B">
      <w:pPr>
        <w:pStyle w:val="Prrafodelista"/>
        <w:numPr>
          <w:ilvl w:val="0"/>
          <w:numId w:val="11"/>
        </w:numPr>
        <w:spacing w:line="264" w:lineRule="auto"/>
        <w:jc w:val="left"/>
        <w:rPr>
          <w:rFonts w:ascii="Arial" w:hAnsi="Arial" w:cs="Arial"/>
          <w:b/>
          <w:sz w:val="22"/>
          <w:szCs w:val="22"/>
        </w:rPr>
      </w:pPr>
      <w:r w:rsidRPr="005045BF">
        <w:rPr>
          <w:rFonts w:ascii="Arial" w:hAnsi="Arial" w:cs="Arial"/>
          <w:b/>
          <w:sz w:val="22"/>
          <w:szCs w:val="22"/>
        </w:rPr>
        <w:t>VEHÍCULOS OFICIALES</w:t>
      </w:r>
    </w:p>
    <w:p w14:paraId="16D49D45" w14:textId="31925795" w:rsidR="00E531A8" w:rsidRPr="005045BF" w:rsidRDefault="00E531A8" w:rsidP="0048030E">
      <w:pPr>
        <w:spacing w:line="264" w:lineRule="auto"/>
        <w:rPr>
          <w:rFonts w:ascii="Arial" w:hAnsi="Arial" w:cs="Arial"/>
          <w:b/>
          <w:sz w:val="22"/>
          <w:szCs w:val="22"/>
          <w:highlight w:val="yellow"/>
        </w:rPr>
      </w:pPr>
    </w:p>
    <w:tbl>
      <w:tblPr>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CellMar>
          <w:left w:w="70" w:type="dxa"/>
          <w:right w:w="70" w:type="dxa"/>
        </w:tblCellMar>
        <w:tblLook w:val="04A0" w:firstRow="1" w:lastRow="0" w:firstColumn="1" w:lastColumn="0" w:noHBand="0" w:noVBand="1"/>
      </w:tblPr>
      <w:tblGrid>
        <w:gridCol w:w="1129"/>
        <w:gridCol w:w="1276"/>
        <w:gridCol w:w="1985"/>
        <w:gridCol w:w="1275"/>
        <w:gridCol w:w="1701"/>
        <w:gridCol w:w="1560"/>
        <w:gridCol w:w="708"/>
      </w:tblGrid>
      <w:tr w:rsidR="004A384D" w:rsidRPr="005045BF" w14:paraId="4DE59860" w14:textId="77777777" w:rsidTr="004A384D">
        <w:trPr>
          <w:trHeight w:val="510"/>
        </w:trPr>
        <w:tc>
          <w:tcPr>
            <w:tcW w:w="1129" w:type="dxa"/>
            <w:shd w:val="clear" w:color="000000" w:fill="4F81BD"/>
            <w:vAlign w:val="center"/>
            <w:hideMark/>
          </w:tcPr>
          <w:p w14:paraId="0719238C"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Numeral Informe</w:t>
            </w:r>
          </w:p>
        </w:tc>
        <w:tc>
          <w:tcPr>
            <w:tcW w:w="1276" w:type="dxa"/>
            <w:shd w:val="clear" w:color="000000" w:fill="4F81BD"/>
            <w:vAlign w:val="center"/>
            <w:hideMark/>
          </w:tcPr>
          <w:p w14:paraId="6A756A81"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Ítem</w:t>
            </w:r>
          </w:p>
        </w:tc>
        <w:tc>
          <w:tcPr>
            <w:tcW w:w="1985" w:type="dxa"/>
            <w:shd w:val="clear" w:color="000000" w:fill="4F81BD"/>
            <w:vAlign w:val="center"/>
            <w:hideMark/>
          </w:tcPr>
          <w:p w14:paraId="3583BCFE"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275" w:type="dxa"/>
            <w:shd w:val="clear" w:color="000000" w:fill="4F81BD"/>
            <w:vAlign w:val="center"/>
            <w:hideMark/>
          </w:tcPr>
          <w:p w14:paraId="19F625DB"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 xml:space="preserve">Periodo Comparado </w:t>
            </w:r>
          </w:p>
        </w:tc>
        <w:tc>
          <w:tcPr>
            <w:tcW w:w="1701" w:type="dxa"/>
            <w:shd w:val="clear" w:color="000000" w:fill="4F81BD"/>
            <w:vAlign w:val="center"/>
            <w:hideMark/>
          </w:tcPr>
          <w:p w14:paraId="13170446"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 xml:space="preserve">Variación </w:t>
            </w:r>
          </w:p>
        </w:tc>
        <w:tc>
          <w:tcPr>
            <w:tcW w:w="1560" w:type="dxa"/>
            <w:shd w:val="clear" w:color="000000" w:fill="4F81BD"/>
            <w:vAlign w:val="center"/>
            <w:hideMark/>
          </w:tcPr>
          <w:p w14:paraId="750BB05E"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Valor / Cantidad</w:t>
            </w:r>
          </w:p>
        </w:tc>
        <w:tc>
          <w:tcPr>
            <w:tcW w:w="708" w:type="dxa"/>
            <w:shd w:val="clear" w:color="000000" w:fill="4F81BD"/>
            <w:vAlign w:val="center"/>
            <w:hideMark/>
          </w:tcPr>
          <w:p w14:paraId="5C79F62A"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w:t>
            </w:r>
          </w:p>
        </w:tc>
      </w:tr>
      <w:tr w:rsidR="004A384D" w:rsidRPr="005045BF" w14:paraId="7C2580A2" w14:textId="77777777" w:rsidTr="00533A64">
        <w:trPr>
          <w:trHeight w:val="1136"/>
        </w:trPr>
        <w:tc>
          <w:tcPr>
            <w:tcW w:w="1129" w:type="dxa"/>
            <w:shd w:val="clear" w:color="000000" w:fill="4F81BD"/>
            <w:vAlign w:val="center"/>
            <w:hideMark/>
          </w:tcPr>
          <w:p w14:paraId="7C138306" w14:textId="77777777" w:rsidR="004A384D" w:rsidRPr="005045BF" w:rsidRDefault="004A384D" w:rsidP="003D1EAE">
            <w:pPr>
              <w:jc w:val="center"/>
              <w:rPr>
                <w:rFonts w:ascii="Arial" w:hAnsi="Arial" w:cs="Arial"/>
                <w:b/>
                <w:bCs/>
                <w:color w:val="FFFFFF"/>
                <w:sz w:val="20"/>
                <w:szCs w:val="20"/>
              </w:rPr>
            </w:pPr>
            <w:r w:rsidRPr="005045BF">
              <w:rPr>
                <w:rFonts w:ascii="Arial" w:hAnsi="Arial" w:cs="Arial"/>
                <w:b/>
                <w:bCs/>
                <w:color w:val="FFFFFF"/>
                <w:sz w:val="20"/>
                <w:szCs w:val="20"/>
              </w:rPr>
              <w:t>5</w:t>
            </w:r>
          </w:p>
        </w:tc>
        <w:tc>
          <w:tcPr>
            <w:tcW w:w="1276" w:type="dxa"/>
            <w:shd w:val="clear" w:color="000000" w:fill="B8CCE4"/>
            <w:textDirection w:val="btLr"/>
            <w:vAlign w:val="center"/>
            <w:hideMark/>
          </w:tcPr>
          <w:p w14:paraId="13966974"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Esquema de Seguridad</w:t>
            </w:r>
          </w:p>
        </w:tc>
        <w:tc>
          <w:tcPr>
            <w:tcW w:w="1985" w:type="dxa"/>
            <w:shd w:val="clear" w:color="auto" w:fill="DBE5F1" w:themeFill="accent1" w:themeFillTint="33"/>
            <w:vAlign w:val="center"/>
            <w:hideMark/>
          </w:tcPr>
          <w:p w14:paraId="0C584CC1" w14:textId="77777777" w:rsidR="004A384D" w:rsidRPr="005045BF" w:rsidRDefault="004A384D" w:rsidP="003D1EAE">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75" w:type="dxa"/>
            <w:shd w:val="clear" w:color="auto" w:fill="B8CCE4" w:themeFill="accent1" w:themeFillTint="66"/>
            <w:vAlign w:val="center"/>
            <w:hideMark/>
          </w:tcPr>
          <w:p w14:paraId="328531C6"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701" w:type="dxa"/>
            <w:shd w:val="clear" w:color="auto" w:fill="DBE5F1" w:themeFill="accent1" w:themeFillTint="33"/>
            <w:vAlign w:val="center"/>
            <w:hideMark/>
          </w:tcPr>
          <w:p w14:paraId="3AD35278" w14:textId="5EF6999B"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noProof/>
                <w:color w:val="0F243E" w:themeColor="text2" w:themeShade="80"/>
                <w:sz w:val="20"/>
                <w:szCs w:val="20"/>
              </w:rPr>
              <mc:AlternateContent>
                <mc:Choice Requires="wps">
                  <w:drawing>
                    <wp:anchor distT="0" distB="0" distL="114300" distR="114300" simplePos="0" relativeHeight="252271616" behindDoc="0" locked="0" layoutInCell="1" allowOverlap="1" wp14:anchorId="02BD3392" wp14:editId="64A4275F">
                      <wp:simplePos x="0" y="0"/>
                      <wp:positionH relativeFrom="column">
                        <wp:posOffset>352425</wp:posOffset>
                      </wp:positionH>
                      <wp:positionV relativeFrom="paragraph">
                        <wp:posOffset>7620</wp:posOffset>
                      </wp:positionV>
                      <wp:extent cx="342900" cy="209550"/>
                      <wp:effectExtent l="0" t="0" r="19050" b="19050"/>
                      <wp:wrapNone/>
                      <wp:docPr id="70" name="Triángulo isósceles 70">
                        <a:extLst xmlns:a="http://schemas.openxmlformats.org/drawingml/2006/main">
                          <a:ext uri="{FF2B5EF4-FFF2-40B4-BE49-F238E27FC236}">
                            <a16:creationId xmlns:a16="http://schemas.microsoft.com/office/drawing/2014/main" id="{12278096-7A99-4E06-A64C-383DD10C1097}"/>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8B9ADCD" id="Triángulo isósceles 70" o:spid="_x0000_s1026" type="#_x0000_t5" style="position:absolute;margin-left:27.75pt;margin-top:.6pt;width:27pt;height:16.5pt;z-index:25227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" fillcolor="red" strokecolor="#376092" strokeweight="2pt"/>
                  </w:pict>
                </mc:Fallback>
              </mc:AlternateContent>
            </w:r>
          </w:p>
        </w:tc>
        <w:tc>
          <w:tcPr>
            <w:tcW w:w="1560" w:type="dxa"/>
            <w:shd w:val="clear" w:color="auto" w:fill="B8CCE4" w:themeFill="accent1" w:themeFillTint="66"/>
            <w:vAlign w:val="center"/>
            <w:hideMark/>
          </w:tcPr>
          <w:p w14:paraId="580FA1C1"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$28.609.387</w:t>
            </w:r>
          </w:p>
        </w:tc>
        <w:tc>
          <w:tcPr>
            <w:tcW w:w="708" w:type="dxa"/>
            <w:shd w:val="clear" w:color="auto" w:fill="DBE5F1" w:themeFill="accent1" w:themeFillTint="33"/>
            <w:vAlign w:val="center"/>
            <w:hideMark/>
          </w:tcPr>
          <w:p w14:paraId="6ABD52FC"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22%</w:t>
            </w:r>
          </w:p>
        </w:tc>
      </w:tr>
      <w:tr w:rsidR="004A384D" w:rsidRPr="005045BF" w14:paraId="0C997395" w14:textId="77777777" w:rsidTr="00533A64">
        <w:trPr>
          <w:trHeight w:val="1549"/>
        </w:trPr>
        <w:tc>
          <w:tcPr>
            <w:tcW w:w="1129" w:type="dxa"/>
            <w:shd w:val="clear" w:color="000000" w:fill="4F81BD"/>
            <w:vAlign w:val="center"/>
            <w:hideMark/>
          </w:tcPr>
          <w:p w14:paraId="45C4C70E" w14:textId="77777777" w:rsidR="004A384D" w:rsidRPr="005045BF" w:rsidRDefault="004A384D" w:rsidP="003D1EAE">
            <w:pPr>
              <w:jc w:val="center"/>
              <w:rPr>
                <w:rFonts w:ascii="Arial" w:hAnsi="Arial" w:cs="Arial"/>
                <w:b/>
                <w:bCs/>
                <w:color w:val="FFFFFF"/>
                <w:sz w:val="20"/>
                <w:szCs w:val="20"/>
              </w:rPr>
            </w:pPr>
            <w:r w:rsidRPr="005045BF">
              <w:rPr>
                <w:rFonts w:ascii="Arial" w:hAnsi="Arial" w:cs="Arial"/>
                <w:b/>
                <w:bCs/>
                <w:color w:val="FFFFFF"/>
                <w:sz w:val="20"/>
                <w:szCs w:val="20"/>
              </w:rPr>
              <w:t>5.1</w:t>
            </w:r>
          </w:p>
        </w:tc>
        <w:tc>
          <w:tcPr>
            <w:tcW w:w="1276" w:type="dxa"/>
            <w:shd w:val="clear" w:color="000000" w:fill="B8CCE4"/>
            <w:textDirection w:val="btLr"/>
            <w:vAlign w:val="center"/>
            <w:hideMark/>
          </w:tcPr>
          <w:p w14:paraId="291535D6"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Mantenimiento Parque Automotor</w:t>
            </w:r>
          </w:p>
        </w:tc>
        <w:tc>
          <w:tcPr>
            <w:tcW w:w="1985" w:type="dxa"/>
            <w:shd w:val="clear" w:color="auto" w:fill="DBE5F1" w:themeFill="accent1" w:themeFillTint="33"/>
            <w:vAlign w:val="center"/>
            <w:hideMark/>
          </w:tcPr>
          <w:p w14:paraId="2DBF0CBD" w14:textId="77777777" w:rsidR="004A384D" w:rsidRPr="005045BF" w:rsidRDefault="004A384D" w:rsidP="003D1EAE">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75" w:type="dxa"/>
            <w:shd w:val="clear" w:color="auto" w:fill="B8CCE4" w:themeFill="accent1" w:themeFillTint="66"/>
            <w:vAlign w:val="center"/>
            <w:hideMark/>
          </w:tcPr>
          <w:p w14:paraId="155878C4"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701" w:type="dxa"/>
            <w:shd w:val="clear" w:color="auto" w:fill="DBE5F1" w:themeFill="accent1" w:themeFillTint="33"/>
            <w:vAlign w:val="center"/>
            <w:hideMark/>
          </w:tcPr>
          <w:p w14:paraId="7E1DC354" w14:textId="01D39967" w:rsidR="004A384D" w:rsidRPr="005045BF" w:rsidRDefault="004A384D" w:rsidP="004A384D">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67520" behindDoc="0" locked="0" layoutInCell="1" allowOverlap="1" wp14:anchorId="2F701DB0" wp14:editId="520006E7">
                      <wp:simplePos x="0" y="0"/>
                      <wp:positionH relativeFrom="column">
                        <wp:posOffset>336550</wp:posOffset>
                      </wp:positionH>
                      <wp:positionV relativeFrom="paragraph">
                        <wp:posOffset>-26035</wp:posOffset>
                      </wp:positionV>
                      <wp:extent cx="342900" cy="200025"/>
                      <wp:effectExtent l="0" t="0" r="19050" b="28575"/>
                      <wp:wrapNone/>
                      <wp:docPr id="69" name="Triángulo isósceles 69">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D7F8B10" id="Triángulo isósceles 69" o:spid="_x0000_s1026" type="#_x0000_t5" style="position:absolute;margin-left:26.5pt;margin-top:-2.05pt;width:27pt;height:15.7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" fillcolor="red" strokecolor="#376092" strokeweight="2pt"/>
                  </w:pict>
                </mc:Fallback>
              </mc:AlternateContent>
            </w:r>
          </w:p>
        </w:tc>
        <w:tc>
          <w:tcPr>
            <w:tcW w:w="1560" w:type="dxa"/>
            <w:shd w:val="clear" w:color="auto" w:fill="B8CCE4" w:themeFill="accent1" w:themeFillTint="66"/>
            <w:vAlign w:val="center"/>
            <w:hideMark/>
          </w:tcPr>
          <w:p w14:paraId="56DB5C55"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$62.300</w:t>
            </w:r>
          </w:p>
        </w:tc>
        <w:tc>
          <w:tcPr>
            <w:tcW w:w="708" w:type="dxa"/>
            <w:shd w:val="clear" w:color="auto" w:fill="DBE5F1" w:themeFill="accent1" w:themeFillTint="33"/>
            <w:vAlign w:val="center"/>
            <w:hideMark/>
          </w:tcPr>
          <w:p w14:paraId="38721B98"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w:t>
            </w:r>
          </w:p>
        </w:tc>
      </w:tr>
      <w:tr w:rsidR="004A384D" w:rsidRPr="005045BF" w14:paraId="105C165C" w14:textId="77777777" w:rsidTr="00533A64">
        <w:trPr>
          <w:trHeight w:val="848"/>
        </w:trPr>
        <w:tc>
          <w:tcPr>
            <w:tcW w:w="1129" w:type="dxa"/>
            <w:vMerge w:val="restart"/>
            <w:shd w:val="clear" w:color="000000" w:fill="4F81BD"/>
            <w:vAlign w:val="center"/>
            <w:hideMark/>
          </w:tcPr>
          <w:p w14:paraId="75F3DB0A" w14:textId="77777777" w:rsidR="004A384D" w:rsidRPr="005045BF" w:rsidRDefault="004A384D" w:rsidP="003D1EAE">
            <w:pPr>
              <w:jc w:val="center"/>
              <w:rPr>
                <w:rFonts w:ascii="Arial" w:hAnsi="Arial" w:cs="Arial"/>
                <w:b/>
                <w:bCs/>
                <w:color w:val="FFFFFF"/>
                <w:sz w:val="20"/>
                <w:szCs w:val="20"/>
              </w:rPr>
            </w:pPr>
            <w:r w:rsidRPr="005045BF">
              <w:rPr>
                <w:rFonts w:ascii="Arial" w:hAnsi="Arial" w:cs="Arial"/>
                <w:b/>
                <w:bCs/>
                <w:color w:val="FFFFFF"/>
                <w:sz w:val="20"/>
                <w:szCs w:val="20"/>
              </w:rPr>
              <w:t>5.2</w:t>
            </w:r>
          </w:p>
        </w:tc>
        <w:tc>
          <w:tcPr>
            <w:tcW w:w="1276" w:type="dxa"/>
            <w:vMerge w:val="restart"/>
            <w:shd w:val="clear" w:color="000000" w:fill="B8CCE4"/>
            <w:textDirection w:val="btLr"/>
            <w:vAlign w:val="center"/>
            <w:hideMark/>
          </w:tcPr>
          <w:p w14:paraId="27270C84"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Combustible</w:t>
            </w:r>
          </w:p>
        </w:tc>
        <w:tc>
          <w:tcPr>
            <w:tcW w:w="1985" w:type="dxa"/>
            <w:shd w:val="clear" w:color="auto" w:fill="DBE5F1" w:themeFill="accent1" w:themeFillTint="33"/>
            <w:vAlign w:val="center"/>
            <w:hideMark/>
          </w:tcPr>
          <w:p w14:paraId="2017DD6D"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75" w:type="dxa"/>
            <w:shd w:val="clear" w:color="auto" w:fill="B8CCE4" w:themeFill="accent1" w:themeFillTint="66"/>
            <w:vAlign w:val="center"/>
            <w:hideMark/>
          </w:tcPr>
          <w:p w14:paraId="4E965E49"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701" w:type="dxa"/>
            <w:shd w:val="clear" w:color="auto" w:fill="DBE5F1" w:themeFill="accent1" w:themeFillTint="33"/>
            <w:vAlign w:val="center"/>
            <w:hideMark/>
          </w:tcPr>
          <w:p w14:paraId="79ABFF7E" w14:textId="1F543795"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68544" behindDoc="0" locked="0" layoutInCell="1" allowOverlap="1" wp14:anchorId="7B2FC4E0" wp14:editId="552766E1">
                      <wp:simplePos x="0" y="0"/>
                      <wp:positionH relativeFrom="column">
                        <wp:posOffset>311150</wp:posOffset>
                      </wp:positionH>
                      <wp:positionV relativeFrom="paragraph">
                        <wp:posOffset>-27305</wp:posOffset>
                      </wp:positionV>
                      <wp:extent cx="342900" cy="209550"/>
                      <wp:effectExtent l="0" t="0" r="19050" b="19050"/>
                      <wp:wrapNone/>
                      <wp:docPr id="68" name="Triángulo isósceles 68">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7243B0D" id="Triángulo isósceles 68" o:spid="_x0000_s1026" type="#_x0000_t5" style="position:absolute;margin-left:24.5pt;margin-top:-2.15pt;width:27pt;height:16.5pt;rotation:180;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" fillcolor="#00b050" strokecolor="#376092" strokeweight="2pt"/>
                  </w:pict>
                </mc:Fallback>
              </mc:AlternateContent>
            </w:r>
          </w:p>
        </w:tc>
        <w:tc>
          <w:tcPr>
            <w:tcW w:w="1560" w:type="dxa"/>
            <w:shd w:val="clear" w:color="auto" w:fill="B8CCE4" w:themeFill="accent1" w:themeFillTint="66"/>
            <w:vAlign w:val="center"/>
            <w:hideMark/>
          </w:tcPr>
          <w:p w14:paraId="567570F8" w14:textId="7F0B828F" w:rsidR="004A384D" w:rsidRPr="005045BF" w:rsidRDefault="00B8307A"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384D" w:rsidRPr="005045BF">
              <w:rPr>
                <w:rFonts w:ascii="Arial" w:hAnsi="Arial" w:cs="Arial"/>
                <w:b/>
                <w:bCs/>
                <w:color w:val="0F243E" w:themeColor="text2" w:themeShade="80"/>
                <w:sz w:val="20"/>
                <w:szCs w:val="20"/>
              </w:rPr>
              <w:t>$2.253.740</w:t>
            </w:r>
            <w:r w:rsidRPr="005045BF">
              <w:rPr>
                <w:rFonts w:ascii="Arial" w:hAnsi="Arial" w:cs="Arial"/>
                <w:b/>
                <w:bCs/>
                <w:color w:val="0F243E" w:themeColor="text2" w:themeShade="80"/>
                <w:sz w:val="20"/>
                <w:szCs w:val="20"/>
              </w:rPr>
              <w:t>)</w:t>
            </w:r>
          </w:p>
        </w:tc>
        <w:tc>
          <w:tcPr>
            <w:tcW w:w="708" w:type="dxa"/>
            <w:shd w:val="clear" w:color="auto" w:fill="DBE5F1" w:themeFill="accent1" w:themeFillTint="33"/>
            <w:vAlign w:val="center"/>
            <w:hideMark/>
          </w:tcPr>
          <w:p w14:paraId="727BBF05" w14:textId="74C847C0" w:rsidR="004A384D" w:rsidRPr="005045BF" w:rsidRDefault="00B8307A"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384D" w:rsidRPr="005045BF">
              <w:rPr>
                <w:rFonts w:ascii="Arial" w:hAnsi="Arial" w:cs="Arial"/>
                <w:b/>
                <w:bCs/>
                <w:color w:val="0F243E" w:themeColor="text2" w:themeShade="80"/>
                <w:sz w:val="20"/>
                <w:szCs w:val="20"/>
              </w:rPr>
              <w:t>7%</w:t>
            </w:r>
            <w:r w:rsidRPr="005045BF">
              <w:rPr>
                <w:rFonts w:ascii="Arial" w:hAnsi="Arial" w:cs="Arial"/>
                <w:b/>
                <w:bCs/>
                <w:color w:val="0F243E" w:themeColor="text2" w:themeShade="80"/>
                <w:sz w:val="20"/>
                <w:szCs w:val="20"/>
              </w:rPr>
              <w:t>)</w:t>
            </w:r>
          </w:p>
        </w:tc>
      </w:tr>
      <w:tr w:rsidR="004A384D" w:rsidRPr="005045BF" w14:paraId="3E11B415" w14:textId="77777777" w:rsidTr="00533A64">
        <w:trPr>
          <w:trHeight w:val="972"/>
        </w:trPr>
        <w:tc>
          <w:tcPr>
            <w:tcW w:w="1129" w:type="dxa"/>
            <w:vMerge/>
            <w:vAlign w:val="center"/>
            <w:hideMark/>
          </w:tcPr>
          <w:p w14:paraId="37D27E7F" w14:textId="77777777" w:rsidR="004A384D" w:rsidRPr="005045BF" w:rsidRDefault="004A384D" w:rsidP="004A384D">
            <w:pPr>
              <w:rPr>
                <w:rFonts w:ascii="Arial" w:hAnsi="Arial" w:cs="Arial"/>
                <w:b/>
                <w:bCs/>
                <w:color w:val="FFFFFF"/>
                <w:sz w:val="20"/>
                <w:szCs w:val="20"/>
              </w:rPr>
            </w:pPr>
          </w:p>
        </w:tc>
        <w:tc>
          <w:tcPr>
            <w:tcW w:w="1276" w:type="dxa"/>
            <w:vMerge/>
            <w:vAlign w:val="center"/>
            <w:hideMark/>
          </w:tcPr>
          <w:p w14:paraId="214B9505" w14:textId="77777777" w:rsidR="004A384D" w:rsidRPr="005045BF" w:rsidRDefault="004A384D" w:rsidP="004A384D">
            <w:pPr>
              <w:rPr>
                <w:rFonts w:ascii="Arial" w:hAnsi="Arial" w:cs="Arial"/>
                <w:b/>
                <w:bCs/>
                <w:color w:val="0F243E" w:themeColor="text2" w:themeShade="80"/>
                <w:sz w:val="20"/>
                <w:szCs w:val="20"/>
              </w:rPr>
            </w:pPr>
          </w:p>
        </w:tc>
        <w:tc>
          <w:tcPr>
            <w:tcW w:w="1985" w:type="dxa"/>
            <w:shd w:val="clear" w:color="auto" w:fill="DBE5F1" w:themeFill="accent1" w:themeFillTint="33"/>
            <w:vAlign w:val="center"/>
            <w:hideMark/>
          </w:tcPr>
          <w:p w14:paraId="6BA0B436"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Cantidad en Galones</w:t>
            </w:r>
          </w:p>
        </w:tc>
        <w:tc>
          <w:tcPr>
            <w:tcW w:w="1275" w:type="dxa"/>
            <w:shd w:val="clear" w:color="auto" w:fill="B8CCE4" w:themeFill="accent1" w:themeFillTint="66"/>
            <w:vAlign w:val="center"/>
            <w:hideMark/>
          </w:tcPr>
          <w:p w14:paraId="0F2E5BD4"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701" w:type="dxa"/>
            <w:shd w:val="clear" w:color="auto" w:fill="DBE5F1" w:themeFill="accent1" w:themeFillTint="33"/>
            <w:vAlign w:val="center"/>
            <w:hideMark/>
          </w:tcPr>
          <w:p w14:paraId="00859030" w14:textId="646F040C"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69568" behindDoc="0" locked="0" layoutInCell="1" allowOverlap="1" wp14:anchorId="72A0B158" wp14:editId="1F168D7B">
                      <wp:simplePos x="0" y="0"/>
                      <wp:positionH relativeFrom="column">
                        <wp:posOffset>320675</wp:posOffset>
                      </wp:positionH>
                      <wp:positionV relativeFrom="paragraph">
                        <wp:posOffset>5080</wp:posOffset>
                      </wp:positionV>
                      <wp:extent cx="342900" cy="200025"/>
                      <wp:effectExtent l="0" t="0" r="19050" b="28575"/>
                      <wp:wrapNone/>
                      <wp:docPr id="67" name="Triángulo isósceles 67">
                        <a:extLst xmlns:a="http://schemas.openxmlformats.org/drawingml/2006/main">
                          <a:ext uri="{FF2B5EF4-FFF2-40B4-BE49-F238E27FC236}">
                            <a16:creationId xmlns:a16="http://schemas.microsoft.com/office/drawing/2014/main" id="{00000000-0008-0000-0200-000007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54ECC2" id="Triángulo isósceles 67" o:spid="_x0000_s1026" type="#_x0000_t5" style="position:absolute;margin-left:25.25pt;margin-top:.4pt;width:27pt;height:15.75pt;rotation:180;z-index:25226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" fillcolor="#00b050" strokecolor="#376092" strokeweight="2pt"/>
                  </w:pict>
                </mc:Fallback>
              </mc:AlternateContent>
            </w:r>
          </w:p>
        </w:tc>
        <w:tc>
          <w:tcPr>
            <w:tcW w:w="1560" w:type="dxa"/>
            <w:shd w:val="clear" w:color="auto" w:fill="B8CCE4" w:themeFill="accent1" w:themeFillTint="66"/>
            <w:vAlign w:val="center"/>
            <w:hideMark/>
          </w:tcPr>
          <w:p w14:paraId="1EF92F72" w14:textId="77777777" w:rsidR="004A384D" w:rsidRPr="005045BF" w:rsidRDefault="004A384D"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(311) galones</w:t>
            </w:r>
          </w:p>
        </w:tc>
        <w:tc>
          <w:tcPr>
            <w:tcW w:w="708" w:type="dxa"/>
            <w:shd w:val="clear" w:color="auto" w:fill="DBE5F1" w:themeFill="accent1" w:themeFillTint="33"/>
            <w:vAlign w:val="center"/>
            <w:hideMark/>
          </w:tcPr>
          <w:p w14:paraId="589DF01F" w14:textId="7B8A098B" w:rsidR="004A384D" w:rsidRPr="005045BF" w:rsidRDefault="00B8307A"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384D" w:rsidRPr="005045BF">
              <w:rPr>
                <w:rFonts w:ascii="Arial" w:hAnsi="Arial" w:cs="Arial"/>
                <w:b/>
                <w:bCs/>
                <w:color w:val="0F243E" w:themeColor="text2" w:themeShade="80"/>
                <w:sz w:val="20"/>
                <w:szCs w:val="20"/>
              </w:rPr>
              <w:t>9%</w:t>
            </w:r>
            <w:r w:rsidRPr="005045BF">
              <w:rPr>
                <w:rFonts w:ascii="Arial" w:hAnsi="Arial" w:cs="Arial"/>
                <w:b/>
                <w:bCs/>
                <w:color w:val="0F243E" w:themeColor="text2" w:themeShade="80"/>
                <w:sz w:val="20"/>
                <w:szCs w:val="20"/>
              </w:rPr>
              <w:t>)</w:t>
            </w:r>
          </w:p>
        </w:tc>
      </w:tr>
      <w:tr w:rsidR="004A384D" w:rsidRPr="005045BF" w14:paraId="578BAEDE" w14:textId="77777777" w:rsidTr="00533A64">
        <w:trPr>
          <w:trHeight w:val="1555"/>
        </w:trPr>
        <w:tc>
          <w:tcPr>
            <w:tcW w:w="1129" w:type="dxa"/>
            <w:shd w:val="clear" w:color="000000" w:fill="4F81BD"/>
            <w:vAlign w:val="center"/>
            <w:hideMark/>
          </w:tcPr>
          <w:p w14:paraId="4836717B" w14:textId="77777777" w:rsidR="004A384D" w:rsidRPr="005045BF" w:rsidRDefault="004A384D" w:rsidP="004A384D">
            <w:pPr>
              <w:jc w:val="center"/>
              <w:rPr>
                <w:rFonts w:ascii="Arial" w:hAnsi="Arial" w:cs="Arial"/>
                <w:b/>
                <w:bCs/>
                <w:color w:val="FFFFFF"/>
                <w:sz w:val="20"/>
                <w:szCs w:val="20"/>
              </w:rPr>
            </w:pPr>
            <w:r w:rsidRPr="005045BF">
              <w:rPr>
                <w:rFonts w:ascii="Arial" w:hAnsi="Arial" w:cs="Arial"/>
                <w:b/>
                <w:bCs/>
                <w:color w:val="FFFFFF"/>
                <w:sz w:val="20"/>
                <w:szCs w:val="20"/>
              </w:rPr>
              <w:t>5.3</w:t>
            </w:r>
          </w:p>
        </w:tc>
        <w:tc>
          <w:tcPr>
            <w:tcW w:w="1276" w:type="dxa"/>
            <w:shd w:val="clear" w:color="000000" w:fill="B8CCE4"/>
            <w:textDirection w:val="btLr"/>
            <w:vAlign w:val="center"/>
            <w:hideMark/>
          </w:tcPr>
          <w:p w14:paraId="6BAC4C14" w14:textId="77777777" w:rsidR="004A384D" w:rsidRPr="005045BF" w:rsidRDefault="004A384D" w:rsidP="004A384D">
            <w:pPr>
              <w:jc w:val="center"/>
              <w:rPr>
                <w:rFonts w:ascii="Arial" w:hAnsi="Arial" w:cs="Arial"/>
                <w:b/>
                <w:bCs/>
                <w:color w:val="0F243E"/>
                <w:sz w:val="20"/>
                <w:szCs w:val="20"/>
              </w:rPr>
            </w:pPr>
            <w:r w:rsidRPr="005045BF">
              <w:rPr>
                <w:rFonts w:ascii="Arial" w:hAnsi="Arial" w:cs="Arial"/>
                <w:b/>
                <w:bCs/>
                <w:color w:val="0F243E"/>
                <w:sz w:val="20"/>
                <w:szCs w:val="20"/>
              </w:rPr>
              <w:t>Garajes</w:t>
            </w:r>
          </w:p>
        </w:tc>
        <w:tc>
          <w:tcPr>
            <w:tcW w:w="1985" w:type="dxa"/>
            <w:shd w:val="clear" w:color="auto" w:fill="DBE5F1" w:themeFill="accent1" w:themeFillTint="33"/>
            <w:vAlign w:val="center"/>
            <w:hideMark/>
          </w:tcPr>
          <w:p w14:paraId="4BEF97A5"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275" w:type="dxa"/>
            <w:shd w:val="clear" w:color="auto" w:fill="B8CCE4" w:themeFill="accent1" w:themeFillTint="66"/>
            <w:vAlign w:val="center"/>
            <w:hideMark/>
          </w:tcPr>
          <w:p w14:paraId="419982DD" w14:textId="77777777"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701" w:type="dxa"/>
            <w:shd w:val="clear" w:color="auto" w:fill="DBE5F1" w:themeFill="accent1" w:themeFillTint="33"/>
            <w:vAlign w:val="center"/>
            <w:hideMark/>
          </w:tcPr>
          <w:p w14:paraId="393E1DAB" w14:textId="35F84F49" w:rsidR="004A384D" w:rsidRPr="005045BF" w:rsidRDefault="004A384D" w:rsidP="004A384D">
            <w:pPr>
              <w:jc w:val="cente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70592" behindDoc="0" locked="0" layoutInCell="1" allowOverlap="1" wp14:anchorId="19C0736F" wp14:editId="6C9A31C4">
                      <wp:simplePos x="0" y="0"/>
                      <wp:positionH relativeFrom="column">
                        <wp:posOffset>327025</wp:posOffset>
                      </wp:positionH>
                      <wp:positionV relativeFrom="paragraph">
                        <wp:posOffset>48895</wp:posOffset>
                      </wp:positionV>
                      <wp:extent cx="342900" cy="219075"/>
                      <wp:effectExtent l="0" t="0" r="19050" b="28575"/>
                      <wp:wrapNone/>
                      <wp:docPr id="66" name="Triángulo isósceles 66">
                        <a:extLst xmlns:a="http://schemas.openxmlformats.org/drawingml/2006/main">
                          <a:ext uri="{FF2B5EF4-FFF2-40B4-BE49-F238E27FC236}">
                            <a16:creationId xmlns:a16="http://schemas.microsoft.com/office/drawing/2014/main" id="{00000000-0008-0000-0200-000008000000}"/>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EDF3A3F" id="Triángulo isósceles 66" o:spid="_x0000_s1026" type="#_x0000_t5" style="position:absolute;margin-left:25.75pt;margin-top:3.85pt;width:27pt;height:17.25pt;rotation:180;z-index:25227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" fillcolor="#00b050" strokecolor="#376092" strokeweight="2pt"/>
                  </w:pict>
                </mc:Fallback>
              </mc:AlternateContent>
            </w:r>
          </w:p>
        </w:tc>
        <w:tc>
          <w:tcPr>
            <w:tcW w:w="1560" w:type="dxa"/>
            <w:shd w:val="clear" w:color="auto" w:fill="B8CCE4" w:themeFill="accent1" w:themeFillTint="66"/>
            <w:vAlign w:val="center"/>
            <w:hideMark/>
          </w:tcPr>
          <w:p w14:paraId="1F050A9B" w14:textId="5ACEEFF6" w:rsidR="004A384D" w:rsidRPr="005045BF" w:rsidRDefault="00B8307A"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384D" w:rsidRPr="005045BF">
              <w:rPr>
                <w:rFonts w:ascii="Arial" w:hAnsi="Arial" w:cs="Arial"/>
                <w:b/>
                <w:bCs/>
                <w:color w:val="0F243E" w:themeColor="text2" w:themeShade="80"/>
                <w:sz w:val="20"/>
                <w:szCs w:val="20"/>
              </w:rPr>
              <w:t>$949.455</w:t>
            </w:r>
            <w:r w:rsidRPr="005045BF">
              <w:rPr>
                <w:rFonts w:ascii="Arial" w:hAnsi="Arial" w:cs="Arial"/>
                <w:b/>
                <w:bCs/>
                <w:color w:val="0F243E" w:themeColor="text2" w:themeShade="80"/>
                <w:sz w:val="20"/>
                <w:szCs w:val="20"/>
              </w:rPr>
              <w:t>)</w:t>
            </w:r>
          </w:p>
        </w:tc>
        <w:tc>
          <w:tcPr>
            <w:tcW w:w="708" w:type="dxa"/>
            <w:shd w:val="clear" w:color="auto" w:fill="DBE5F1" w:themeFill="accent1" w:themeFillTint="33"/>
            <w:vAlign w:val="center"/>
            <w:hideMark/>
          </w:tcPr>
          <w:p w14:paraId="1F749BDA" w14:textId="67FA0544" w:rsidR="004A384D" w:rsidRPr="005045BF" w:rsidRDefault="00B8307A" w:rsidP="004A384D">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384D" w:rsidRPr="005045BF">
              <w:rPr>
                <w:rFonts w:ascii="Arial" w:hAnsi="Arial" w:cs="Arial"/>
                <w:b/>
                <w:bCs/>
                <w:color w:val="0F243E" w:themeColor="text2" w:themeShade="80"/>
                <w:sz w:val="20"/>
                <w:szCs w:val="20"/>
              </w:rPr>
              <w:t>16%</w:t>
            </w:r>
            <w:r w:rsidRPr="005045BF">
              <w:rPr>
                <w:rFonts w:ascii="Arial" w:hAnsi="Arial" w:cs="Arial"/>
                <w:b/>
                <w:bCs/>
                <w:color w:val="0F243E" w:themeColor="text2" w:themeShade="80"/>
                <w:sz w:val="20"/>
                <w:szCs w:val="20"/>
              </w:rPr>
              <w:t>)</w:t>
            </w:r>
          </w:p>
        </w:tc>
      </w:tr>
    </w:tbl>
    <w:p w14:paraId="7A131145" w14:textId="77777777" w:rsidR="00976638" w:rsidRPr="005045BF" w:rsidRDefault="0070513A" w:rsidP="0045629B">
      <w:pPr>
        <w:pStyle w:val="Prrafodelista"/>
        <w:numPr>
          <w:ilvl w:val="0"/>
          <w:numId w:val="1"/>
        </w:numPr>
        <w:spacing w:line="264" w:lineRule="auto"/>
        <w:contextualSpacing w:val="0"/>
        <w:jc w:val="left"/>
        <w:rPr>
          <w:rFonts w:ascii="Arial" w:hAnsi="Arial" w:cs="Arial"/>
          <w:b/>
          <w:color w:val="000000" w:themeColor="text1"/>
          <w:sz w:val="22"/>
          <w:szCs w:val="22"/>
        </w:rPr>
      </w:pPr>
      <w:r w:rsidRPr="005045BF">
        <w:rPr>
          <w:rFonts w:ascii="Arial" w:hAnsi="Arial" w:cs="Arial"/>
          <w:b/>
          <w:color w:val="000000" w:themeColor="text1"/>
          <w:sz w:val="22"/>
          <w:szCs w:val="22"/>
        </w:rPr>
        <w:lastRenderedPageBreak/>
        <w:t>PAPELERÍA Y TELEFONÍA</w:t>
      </w:r>
    </w:p>
    <w:p w14:paraId="488A6E3D" w14:textId="77777777" w:rsidR="00EF49AB" w:rsidRPr="005045BF" w:rsidRDefault="00EF49AB" w:rsidP="00A05680">
      <w:pPr>
        <w:jc w:val="center"/>
      </w:pPr>
    </w:p>
    <w:tbl>
      <w:tblPr>
        <w:tblW w:w="963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70" w:type="dxa"/>
          <w:right w:w="70" w:type="dxa"/>
        </w:tblCellMar>
        <w:tblLook w:val="04A0" w:firstRow="1" w:lastRow="0" w:firstColumn="1" w:lastColumn="0" w:noHBand="0" w:noVBand="1"/>
      </w:tblPr>
      <w:tblGrid>
        <w:gridCol w:w="1053"/>
        <w:gridCol w:w="1352"/>
        <w:gridCol w:w="1985"/>
        <w:gridCol w:w="1275"/>
        <w:gridCol w:w="1701"/>
        <w:gridCol w:w="1560"/>
        <w:gridCol w:w="708"/>
      </w:tblGrid>
      <w:tr w:rsidR="004A76D3" w:rsidRPr="005045BF" w14:paraId="38FD8129" w14:textId="77777777" w:rsidTr="00DC3E1A">
        <w:trPr>
          <w:trHeight w:val="525"/>
        </w:trPr>
        <w:tc>
          <w:tcPr>
            <w:tcW w:w="1053" w:type="dxa"/>
            <w:shd w:val="clear" w:color="000000" w:fill="4F81BD"/>
            <w:vAlign w:val="center"/>
            <w:hideMark/>
          </w:tcPr>
          <w:p w14:paraId="68F591B3"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Numeral Informe</w:t>
            </w:r>
          </w:p>
        </w:tc>
        <w:tc>
          <w:tcPr>
            <w:tcW w:w="1352" w:type="dxa"/>
            <w:tcBorders>
              <w:bottom w:val="single" w:sz="4" w:space="0" w:color="4F81BD" w:themeColor="accent1"/>
            </w:tcBorders>
            <w:shd w:val="clear" w:color="000000" w:fill="4F81BD"/>
            <w:vAlign w:val="center"/>
            <w:hideMark/>
          </w:tcPr>
          <w:p w14:paraId="2FE368B4"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Ítem</w:t>
            </w:r>
          </w:p>
        </w:tc>
        <w:tc>
          <w:tcPr>
            <w:tcW w:w="1985" w:type="dxa"/>
            <w:tcBorders>
              <w:bottom w:val="single" w:sz="4" w:space="0" w:color="4F81BD" w:themeColor="accent1"/>
            </w:tcBorders>
            <w:shd w:val="clear" w:color="000000" w:fill="4F81BD"/>
            <w:vAlign w:val="center"/>
            <w:hideMark/>
          </w:tcPr>
          <w:p w14:paraId="423491B7"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275" w:type="dxa"/>
            <w:tcBorders>
              <w:bottom w:val="single" w:sz="4" w:space="0" w:color="4F81BD" w:themeColor="accent1"/>
            </w:tcBorders>
            <w:shd w:val="clear" w:color="000000" w:fill="4F81BD"/>
            <w:vAlign w:val="center"/>
            <w:hideMark/>
          </w:tcPr>
          <w:p w14:paraId="75C6E887"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 xml:space="preserve">Periodo Comparado </w:t>
            </w:r>
          </w:p>
        </w:tc>
        <w:tc>
          <w:tcPr>
            <w:tcW w:w="1701" w:type="dxa"/>
            <w:tcBorders>
              <w:bottom w:val="single" w:sz="4" w:space="0" w:color="4F81BD" w:themeColor="accent1"/>
            </w:tcBorders>
            <w:shd w:val="clear" w:color="000000" w:fill="4F81BD"/>
            <w:vAlign w:val="center"/>
            <w:hideMark/>
          </w:tcPr>
          <w:p w14:paraId="6AD37515"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 xml:space="preserve">Variación </w:t>
            </w:r>
          </w:p>
        </w:tc>
        <w:tc>
          <w:tcPr>
            <w:tcW w:w="1560" w:type="dxa"/>
            <w:tcBorders>
              <w:bottom w:val="single" w:sz="4" w:space="0" w:color="4F81BD" w:themeColor="accent1"/>
            </w:tcBorders>
            <w:shd w:val="clear" w:color="000000" w:fill="4F81BD"/>
            <w:vAlign w:val="center"/>
            <w:hideMark/>
          </w:tcPr>
          <w:p w14:paraId="4D3F9227"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Valor / Cantidad</w:t>
            </w:r>
          </w:p>
        </w:tc>
        <w:tc>
          <w:tcPr>
            <w:tcW w:w="708" w:type="dxa"/>
            <w:tcBorders>
              <w:bottom w:val="single" w:sz="4" w:space="0" w:color="4F81BD" w:themeColor="accent1"/>
            </w:tcBorders>
            <w:shd w:val="clear" w:color="000000" w:fill="4F81BD"/>
            <w:vAlign w:val="center"/>
            <w:hideMark/>
          </w:tcPr>
          <w:p w14:paraId="1AD6AED2"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w:t>
            </w:r>
          </w:p>
        </w:tc>
      </w:tr>
      <w:tr w:rsidR="004A76D3" w:rsidRPr="005045BF" w14:paraId="0D925B86" w14:textId="77777777" w:rsidTr="00533A64">
        <w:trPr>
          <w:trHeight w:val="1009"/>
        </w:trPr>
        <w:tc>
          <w:tcPr>
            <w:tcW w:w="1053" w:type="dxa"/>
            <w:vMerge w:val="restart"/>
            <w:tcBorders>
              <w:right w:val="single" w:sz="4" w:space="0" w:color="4F81BD" w:themeColor="accent1"/>
            </w:tcBorders>
            <w:shd w:val="clear" w:color="000000" w:fill="4F81BD"/>
            <w:vAlign w:val="center"/>
            <w:hideMark/>
          </w:tcPr>
          <w:p w14:paraId="7050D7AF"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7.1</w:t>
            </w:r>
          </w:p>
        </w:tc>
        <w:tc>
          <w:tcPr>
            <w:tcW w:w="1352"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A7BFDE"/>
            <w:textDirection w:val="btLr"/>
            <w:vAlign w:val="center"/>
            <w:hideMark/>
          </w:tcPr>
          <w:p w14:paraId="686F53F3" w14:textId="77777777" w:rsidR="004A76D3" w:rsidRPr="005045BF" w:rsidRDefault="004A76D3" w:rsidP="004A76D3">
            <w:pPr>
              <w:jc w:val="center"/>
              <w:rPr>
                <w:rFonts w:ascii="Arial" w:hAnsi="Arial" w:cs="Arial"/>
                <w:b/>
                <w:bCs/>
                <w:color w:val="0F243E"/>
                <w:sz w:val="20"/>
                <w:szCs w:val="20"/>
              </w:rPr>
            </w:pPr>
            <w:r w:rsidRPr="005045BF">
              <w:rPr>
                <w:rFonts w:ascii="Arial" w:hAnsi="Arial" w:cs="Arial"/>
                <w:b/>
                <w:bCs/>
                <w:color w:val="0F243E"/>
                <w:sz w:val="20"/>
                <w:szCs w:val="20"/>
              </w:rPr>
              <w:t>Servicios Digitales</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1F48964" w14:textId="77777777" w:rsidR="004A76D3" w:rsidRPr="005045BF" w:rsidRDefault="004A76D3" w:rsidP="004A76D3">
            <w:pPr>
              <w:jc w:val="center"/>
              <w:rPr>
                <w:rFonts w:ascii="Arial" w:hAnsi="Arial" w:cs="Arial"/>
                <w:color w:val="222B35"/>
                <w:sz w:val="20"/>
                <w:szCs w:val="20"/>
              </w:rPr>
            </w:pPr>
            <w:r w:rsidRPr="005045BF">
              <w:rPr>
                <w:rFonts w:ascii="Arial" w:hAnsi="Arial" w:cs="Arial"/>
                <w:color w:val="222B35"/>
                <w:sz w:val="20"/>
                <w:szCs w:val="20"/>
              </w:rPr>
              <w:t>Valor del Gasto</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6D477B52" w14:textId="77777777" w:rsidR="004A76D3" w:rsidRPr="005045BF" w:rsidRDefault="004A76D3" w:rsidP="004A76D3">
            <w:pPr>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bottom"/>
            <w:hideMark/>
          </w:tcPr>
          <w:p w14:paraId="6A52E941" w14:textId="6F1DB17F" w:rsidR="004A76D3" w:rsidRPr="005045BF" w:rsidRDefault="004A76D3" w:rsidP="004A76D3">
            <w:pPr>
              <w:rPr>
                <w:rFonts w:ascii="Calibri" w:hAnsi="Calibri"/>
                <w:color w:val="000000"/>
                <w:sz w:val="22"/>
                <w:szCs w:val="22"/>
              </w:rPr>
            </w:pPr>
            <w:r w:rsidRPr="005045BF">
              <w:rPr>
                <w:rFonts w:ascii="Calibri" w:hAnsi="Calibri"/>
                <w:noProof/>
                <w:color w:val="000000"/>
                <w:sz w:val="22"/>
                <w:szCs w:val="22"/>
              </w:rPr>
              <mc:AlternateContent>
                <mc:Choice Requires="wps">
                  <w:drawing>
                    <wp:anchor distT="0" distB="0" distL="114300" distR="114300" simplePos="0" relativeHeight="252273664" behindDoc="0" locked="0" layoutInCell="1" allowOverlap="1" wp14:anchorId="47A46F68" wp14:editId="78381614">
                      <wp:simplePos x="0" y="0"/>
                      <wp:positionH relativeFrom="column">
                        <wp:posOffset>304800</wp:posOffset>
                      </wp:positionH>
                      <wp:positionV relativeFrom="paragraph">
                        <wp:posOffset>-337820</wp:posOffset>
                      </wp:positionV>
                      <wp:extent cx="342900" cy="209550"/>
                      <wp:effectExtent l="0" t="0" r="19050" b="19050"/>
                      <wp:wrapNone/>
                      <wp:docPr id="83" name="Triángulo isósceles 83">
                        <a:extLst xmlns:a="http://schemas.openxmlformats.org/drawingml/2006/main">
                          <a:ext uri="{FF2B5EF4-FFF2-40B4-BE49-F238E27FC236}">
                            <a16:creationId xmlns:a16="http://schemas.microsoft.com/office/drawing/2014/main" id="{00000000-0008-0000-0300-000008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04755E7" id="Triángulo isósceles 83" o:spid="_x0000_s1026" type="#_x0000_t5" style="position:absolute;margin-left:24pt;margin-top:-26.6pt;width:27pt;height:16.5pt;rotation:18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" fillcolor="#00b050" strokecolor="#376092" strokeweight="2pt"/>
                  </w:pict>
                </mc:Fallback>
              </mc:AlternateContent>
            </w:r>
          </w:p>
          <w:p w14:paraId="175927E0" w14:textId="14327776" w:rsidR="004A76D3" w:rsidRPr="005045BF" w:rsidRDefault="004A76D3" w:rsidP="004A76D3">
            <w:pPr>
              <w:rPr>
                <w:rFonts w:ascii="Calibri" w:hAnsi="Calibri"/>
                <w:color w:val="000000"/>
                <w:sz w:val="22"/>
                <w:szCs w:val="22"/>
              </w:rPr>
            </w:pPr>
          </w:p>
        </w:tc>
        <w:tc>
          <w:tcPr>
            <w:tcW w:w="15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25B6CC7" w14:textId="32B00A18"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($65.380.678)</w:t>
            </w:r>
          </w:p>
        </w:tc>
        <w:tc>
          <w:tcPr>
            <w:tcW w:w="708"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1868F52C" w14:textId="1672C1E5"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(63%)</w:t>
            </w:r>
          </w:p>
        </w:tc>
      </w:tr>
      <w:tr w:rsidR="004A76D3" w:rsidRPr="005045BF" w14:paraId="6E27AF5E" w14:textId="77777777" w:rsidTr="00533A64">
        <w:trPr>
          <w:trHeight w:val="980"/>
        </w:trPr>
        <w:tc>
          <w:tcPr>
            <w:tcW w:w="1053" w:type="dxa"/>
            <w:vMerge/>
            <w:tcBorders>
              <w:right w:val="single" w:sz="4" w:space="0" w:color="4F81BD" w:themeColor="accent1"/>
            </w:tcBorders>
            <w:vAlign w:val="center"/>
            <w:hideMark/>
          </w:tcPr>
          <w:p w14:paraId="42CDE28B" w14:textId="77777777" w:rsidR="004A76D3" w:rsidRPr="005045BF" w:rsidRDefault="004A76D3" w:rsidP="004A76D3">
            <w:pPr>
              <w:rPr>
                <w:rFonts w:ascii="Arial" w:hAnsi="Arial" w:cs="Arial"/>
                <w:b/>
                <w:bCs/>
                <w:color w:val="FFFFFF"/>
                <w:sz w:val="20"/>
                <w:szCs w:val="20"/>
              </w:rPr>
            </w:pPr>
          </w:p>
        </w:tc>
        <w:tc>
          <w:tcPr>
            <w:tcW w:w="1352"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F78D78B" w14:textId="77777777" w:rsidR="004A76D3" w:rsidRPr="005045BF" w:rsidRDefault="004A76D3" w:rsidP="004A76D3">
            <w:pPr>
              <w:rPr>
                <w:rFonts w:ascii="Arial" w:hAnsi="Arial" w:cs="Arial"/>
                <w:b/>
                <w:bCs/>
                <w:color w:val="0F243E"/>
                <w:sz w:val="20"/>
                <w:szCs w:val="20"/>
              </w:rPr>
            </w:pP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9F1E2AA" w14:textId="77777777" w:rsidR="004A76D3" w:rsidRPr="005045BF" w:rsidRDefault="004A76D3" w:rsidP="004A76D3">
            <w:pPr>
              <w:jc w:val="center"/>
              <w:rPr>
                <w:rFonts w:ascii="Arial" w:hAnsi="Arial" w:cs="Arial"/>
                <w:color w:val="222B35"/>
                <w:sz w:val="20"/>
                <w:szCs w:val="20"/>
              </w:rPr>
            </w:pPr>
            <w:r w:rsidRPr="005045BF">
              <w:rPr>
                <w:rFonts w:ascii="Arial" w:hAnsi="Arial" w:cs="Arial"/>
                <w:color w:val="222B35"/>
                <w:sz w:val="20"/>
                <w:szCs w:val="20"/>
              </w:rPr>
              <w:t xml:space="preserve">Consumo en Hojas </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F914E47" w14:textId="77777777" w:rsidR="004A76D3" w:rsidRPr="005045BF" w:rsidRDefault="004A76D3" w:rsidP="004A76D3">
            <w:pPr>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474CE50" w14:textId="164DD8C8" w:rsidR="004A76D3" w:rsidRPr="005045BF" w:rsidRDefault="004A76D3" w:rsidP="004A76D3">
            <w:pPr>
              <w:jc w:val="center"/>
              <w:rPr>
                <w:rFonts w:ascii="Arial" w:hAnsi="Arial" w:cs="Arial"/>
                <w:color w:val="222B35"/>
                <w:sz w:val="20"/>
                <w:szCs w:val="20"/>
              </w:rPr>
            </w:pPr>
            <w:r w:rsidRPr="005045BF">
              <w:rPr>
                <w:rFonts w:ascii="Arial" w:hAnsi="Arial" w:cs="Arial"/>
                <w:noProof/>
                <w:color w:val="222B35"/>
                <w:sz w:val="20"/>
                <w:szCs w:val="20"/>
              </w:rPr>
              <mc:AlternateContent>
                <mc:Choice Requires="wps">
                  <w:drawing>
                    <wp:anchor distT="0" distB="0" distL="114300" distR="114300" simplePos="0" relativeHeight="252274688" behindDoc="0" locked="0" layoutInCell="1" allowOverlap="1" wp14:anchorId="0A52CE3D" wp14:editId="1EE4B7DB">
                      <wp:simplePos x="0" y="0"/>
                      <wp:positionH relativeFrom="column">
                        <wp:posOffset>330200</wp:posOffset>
                      </wp:positionH>
                      <wp:positionV relativeFrom="paragraph">
                        <wp:posOffset>55245</wp:posOffset>
                      </wp:positionV>
                      <wp:extent cx="342900" cy="200025"/>
                      <wp:effectExtent l="0" t="0" r="19050" b="28575"/>
                      <wp:wrapNone/>
                      <wp:docPr id="82" name="Triángulo isósceles 82">
                        <a:extLst xmlns:a="http://schemas.openxmlformats.org/drawingml/2006/main">
                          <a:ext uri="{FF2B5EF4-FFF2-40B4-BE49-F238E27FC236}">
                            <a16:creationId xmlns:a16="http://schemas.microsoft.com/office/drawing/2014/main" id="{00000000-0008-0000-0300-000009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4EF202" id="Triángulo isósceles 82" o:spid="_x0000_s1026" type="#_x0000_t5" style="position:absolute;margin-left:26pt;margin-top:4.35pt;width:27pt;height:15.75pt;rotation:180;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" fillcolor="#00b050" strokecolor="#376092" strokeweight="2pt"/>
                  </w:pict>
                </mc:Fallback>
              </mc:AlternateContent>
            </w:r>
          </w:p>
        </w:tc>
        <w:tc>
          <w:tcPr>
            <w:tcW w:w="15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01BA8B5" w14:textId="120A68BA"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w:t>
            </w:r>
            <w:r w:rsidR="00405A4C">
              <w:rPr>
                <w:rFonts w:ascii="Arial" w:hAnsi="Arial" w:cs="Arial"/>
                <w:b/>
                <w:bCs/>
                <w:color w:val="0F243E" w:themeColor="text2" w:themeShade="80"/>
                <w:sz w:val="20"/>
                <w:szCs w:val="20"/>
              </w:rPr>
              <w:t>81</w:t>
            </w:r>
            <w:r w:rsidRPr="005045BF">
              <w:rPr>
                <w:rFonts w:ascii="Arial" w:hAnsi="Arial" w:cs="Arial"/>
                <w:b/>
                <w:bCs/>
                <w:color w:val="0F243E" w:themeColor="text2" w:themeShade="80"/>
                <w:sz w:val="20"/>
                <w:szCs w:val="20"/>
              </w:rPr>
              <w:t>.</w:t>
            </w:r>
            <w:r w:rsidR="00405A4C">
              <w:rPr>
                <w:rFonts w:ascii="Arial" w:hAnsi="Arial" w:cs="Arial"/>
                <w:b/>
                <w:bCs/>
                <w:color w:val="0F243E" w:themeColor="text2" w:themeShade="80"/>
                <w:sz w:val="20"/>
                <w:szCs w:val="20"/>
              </w:rPr>
              <w:t>399</w:t>
            </w:r>
            <w:r w:rsidRPr="005045BF">
              <w:rPr>
                <w:rFonts w:ascii="Arial" w:hAnsi="Arial" w:cs="Arial"/>
                <w:b/>
                <w:bCs/>
                <w:color w:val="0F243E" w:themeColor="text2" w:themeShade="80"/>
                <w:sz w:val="20"/>
                <w:szCs w:val="20"/>
              </w:rPr>
              <w:t xml:space="preserve">) Hojas </w:t>
            </w:r>
          </w:p>
        </w:tc>
        <w:tc>
          <w:tcPr>
            <w:tcW w:w="708"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3023F2D5" w14:textId="70AE403A"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w:t>
            </w:r>
            <w:r w:rsidR="00405A4C">
              <w:rPr>
                <w:rFonts w:ascii="Arial" w:hAnsi="Arial" w:cs="Arial"/>
                <w:b/>
                <w:bCs/>
                <w:color w:val="0F243E" w:themeColor="text2" w:themeShade="80"/>
                <w:sz w:val="20"/>
                <w:szCs w:val="20"/>
              </w:rPr>
              <w:t>9</w:t>
            </w:r>
            <w:r w:rsidRPr="005045BF">
              <w:rPr>
                <w:rFonts w:ascii="Arial" w:hAnsi="Arial" w:cs="Arial"/>
                <w:b/>
                <w:bCs/>
                <w:color w:val="0F243E" w:themeColor="text2" w:themeShade="80"/>
                <w:sz w:val="20"/>
                <w:szCs w:val="20"/>
              </w:rPr>
              <w:t>%)</w:t>
            </w:r>
          </w:p>
        </w:tc>
      </w:tr>
      <w:tr w:rsidR="004A76D3" w:rsidRPr="005045BF" w14:paraId="1409023E" w14:textId="77777777" w:rsidTr="00C65B1D">
        <w:trPr>
          <w:trHeight w:val="1406"/>
        </w:trPr>
        <w:tc>
          <w:tcPr>
            <w:tcW w:w="1053" w:type="dxa"/>
            <w:tcBorders>
              <w:right w:val="single" w:sz="4" w:space="0" w:color="4F81BD" w:themeColor="accent1"/>
            </w:tcBorders>
            <w:shd w:val="clear" w:color="000000" w:fill="4F81BD"/>
            <w:vAlign w:val="center"/>
            <w:hideMark/>
          </w:tcPr>
          <w:p w14:paraId="037F88C3"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7.2</w:t>
            </w:r>
          </w:p>
        </w:tc>
        <w:tc>
          <w:tcPr>
            <w:tcW w:w="13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A7BFDE"/>
            <w:textDirection w:val="btLr"/>
            <w:vAlign w:val="center"/>
            <w:hideMark/>
          </w:tcPr>
          <w:p w14:paraId="4EAE4BA0" w14:textId="38DE5AB1" w:rsidR="004A76D3" w:rsidRPr="005045BF" w:rsidRDefault="004A76D3" w:rsidP="004A76D3">
            <w:pPr>
              <w:jc w:val="center"/>
              <w:rPr>
                <w:rFonts w:ascii="Arial" w:hAnsi="Arial" w:cs="Arial"/>
                <w:b/>
                <w:bCs/>
                <w:color w:val="0F243E"/>
                <w:sz w:val="20"/>
                <w:szCs w:val="20"/>
              </w:rPr>
            </w:pPr>
            <w:r w:rsidRPr="005045BF">
              <w:rPr>
                <w:rFonts w:ascii="Arial" w:hAnsi="Arial" w:cs="Arial"/>
                <w:b/>
                <w:bCs/>
                <w:color w:val="0F243E"/>
                <w:sz w:val="20"/>
                <w:szCs w:val="20"/>
              </w:rPr>
              <w:t xml:space="preserve">Papelería y Útiles de Oficina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F98081A" w14:textId="77777777" w:rsidR="004A76D3" w:rsidRPr="005045BF" w:rsidRDefault="004A76D3" w:rsidP="004A76D3">
            <w:pPr>
              <w:jc w:val="center"/>
              <w:rPr>
                <w:rFonts w:ascii="Arial" w:hAnsi="Arial" w:cs="Arial"/>
                <w:color w:val="222B35"/>
                <w:sz w:val="20"/>
                <w:szCs w:val="20"/>
              </w:rPr>
            </w:pPr>
            <w:r w:rsidRPr="005045BF">
              <w:rPr>
                <w:rFonts w:ascii="Arial" w:hAnsi="Arial" w:cs="Arial"/>
                <w:color w:val="222B35"/>
                <w:sz w:val="20"/>
                <w:szCs w:val="20"/>
              </w:rPr>
              <w:t>Valor del Gasto</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67B9227" w14:textId="19BCCF22" w:rsidR="004A76D3" w:rsidRPr="005045BF" w:rsidRDefault="00082F8F" w:rsidP="004A76D3">
            <w:pPr>
              <w:jc w:val="center"/>
              <w:rPr>
                <w:rFonts w:ascii="Arial" w:hAnsi="Arial" w:cs="Arial"/>
                <w:color w:val="0F243E"/>
                <w:sz w:val="20"/>
                <w:szCs w:val="20"/>
              </w:rPr>
            </w:pPr>
            <w:r w:rsidRPr="005045BF">
              <w:rPr>
                <w:rFonts w:ascii="Arial" w:hAnsi="Arial" w:cs="Arial"/>
                <w:color w:val="0F243E"/>
                <w:sz w:val="20"/>
                <w:szCs w:val="20"/>
              </w:rPr>
              <w:t xml:space="preserve">Contrato </w:t>
            </w:r>
            <w:r w:rsidR="004A76D3" w:rsidRPr="005045BF">
              <w:rPr>
                <w:rFonts w:ascii="Arial" w:hAnsi="Arial" w:cs="Arial"/>
                <w:color w:val="0F243E"/>
                <w:sz w:val="20"/>
                <w:szCs w:val="20"/>
              </w:rPr>
              <w:t>2020-2019</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DA2D1A9" w14:textId="3ACCF67E" w:rsidR="004A76D3" w:rsidRPr="005045BF" w:rsidRDefault="004A76D3" w:rsidP="004A76D3">
            <w:pPr>
              <w:jc w:val="center"/>
              <w:rPr>
                <w:rFonts w:ascii="Arial" w:hAnsi="Arial" w:cs="Arial"/>
                <w:color w:val="222B35"/>
                <w:sz w:val="20"/>
                <w:szCs w:val="20"/>
              </w:rPr>
            </w:pPr>
            <w:r w:rsidRPr="005045BF">
              <w:rPr>
                <w:rFonts w:ascii="Arial" w:hAnsi="Arial" w:cs="Arial"/>
                <w:noProof/>
                <w:color w:val="222B35"/>
                <w:sz w:val="20"/>
                <w:szCs w:val="20"/>
              </w:rPr>
              <mc:AlternateContent>
                <mc:Choice Requires="wps">
                  <w:drawing>
                    <wp:anchor distT="0" distB="0" distL="114300" distR="114300" simplePos="0" relativeHeight="252277760" behindDoc="0" locked="0" layoutInCell="1" allowOverlap="1" wp14:anchorId="25BEAB64" wp14:editId="5E7C474D">
                      <wp:simplePos x="0" y="0"/>
                      <wp:positionH relativeFrom="column">
                        <wp:posOffset>317500</wp:posOffset>
                      </wp:positionH>
                      <wp:positionV relativeFrom="paragraph">
                        <wp:posOffset>48260</wp:posOffset>
                      </wp:positionV>
                      <wp:extent cx="342900" cy="219075"/>
                      <wp:effectExtent l="0" t="0" r="19050" b="28575"/>
                      <wp:wrapNone/>
                      <wp:docPr id="81" name="Triángulo isósceles 81">
                        <a:extLst xmlns:a="http://schemas.openxmlformats.org/drawingml/2006/main">
                          <a:ext uri="{FF2B5EF4-FFF2-40B4-BE49-F238E27FC236}">
                            <a16:creationId xmlns:a16="http://schemas.microsoft.com/office/drawing/2014/main" id="{3EA0CFF4-1FE3-4E37-BD52-772FD0929D05}"/>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A443E91" id="Triángulo isósceles 81" o:spid="_x0000_s1026" type="#_x0000_t5" style="position:absolute;margin-left:25pt;margin-top:3.8pt;width:27pt;height:17.25pt;rotation:180;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" fillcolor="#00b050" strokecolor="#376092" strokeweight="2pt"/>
                  </w:pict>
                </mc:Fallback>
              </mc:AlternateContent>
            </w:r>
          </w:p>
        </w:tc>
        <w:tc>
          <w:tcPr>
            <w:tcW w:w="15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4A522506" w14:textId="49F61138"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($40.000.000)</w:t>
            </w:r>
          </w:p>
        </w:tc>
        <w:tc>
          <w:tcPr>
            <w:tcW w:w="708"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C632ED8" w14:textId="05553506"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(57%)</w:t>
            </w:r>
          </w:p>
        </w:tc>
      </w:tr>
      <w:tr w:rsidR="004A76D3" w:rsidRPr="005045BF" w14:paraId="2AB7302A" w14:textId="77777777" w:rsidTr="00533A64">
        <w:trPr>
          <w:trHeight w:val="1143"/>
        </w:trPr>
        <w:tc>
          <w:tcPr>
            <w:tcW w:w="1053" w:type="dxa"/>
            <w:tcBorders>
              <w:right w:val="single" w:sz="4" w:space="0" w:color="4F81BD" w:themeColor="accent1"/>
            </w:tcBorders>
            <w:shd w:val="clear" w:color="000000" w:fill="4F81BD"/>
            <w:vAlign w:val="center"/>
            <w:hideMark/>
          </w:tcPr>
          <w:p w14:paraId="38A7BBF9"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7.3</w:t>
            </w:r>
          </w:p>
        </w:tc>
        <w:tc>
          <w:tcPr>
            <w:tcW w:w="13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A7BFDE"/>
            <w:textDirection w:val="btLr"/>
            <w:vAlign w:val="center"/>
            <w:hideMark/>
          </w:tcPr>
          <w:p w14:paraId="15E302D2" w14:textId="77777777" w:rsidR="004A76D3" w:rsidRPr="005045BF" w:rsidRDefault="004A76D3" w:rsidP="004A76D3">
            <w:pPr>
              <w:jc w:val="center"/>
              <w:rPr>
                <w:rFonts w:ascii="Arial" w:hAnsi="Arial" w:cs="Arial"/>
                <w:b/>
                <w:bCs/>
                <w:color w:val="0F243E"/>
                <w:sz w:val="20"/>
                <w:szCs w:val="20"/>
              </w:rPr>
            </w:pPr>
            <w:r w:rsidRPr="005045BF">
              <w:rPr>
                <w:rFonts w:ascii="Arial" w:hAnsi="Arial" w:cs="Arial"/>
                <w:b/>
                <w:bCs/>
                <w:color w:val="0F243E"/>
                <w:sz w:val="20"/>
                <w:szCs w:val="20"/>
              </w:rPr>
              <w:t xml:space="preserve">Teléfono Móvil Celular </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0EFF114" w14:textId="77777777" w:rsidR="004A76D3" w:rsidRPr="005045BF" w:rsidRDefault="004A76D3" w:rsidP="004A76D3">
            <w:pPr>
              <w:jc w:val="center"/>
              <w:rPr>
                <w:rFonts w:ascii="Arial" w:hAnsi="Arial" w:cs="Arial"/>
                <w:color w:val="222B35"/>
                <w:sz w:val="20"/>
                <w:szCs w:val="20"/>
              </w:rPr>
            </w:pPr>
            <w:r w:rsidRPr="005045BF">
              <w:rPr>
                <w:rFonts w:ascii="Arial" w:hAnsi="Arial" w:cs="Arial"/>
                <w:color w:val="222B35"/>
                <w:sz w:val="20"/>
                <w:szCs w:val="20"/>
              </w:rPr>
              <w:t>Valor del Gasto</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0006E59" w14:textId="77777777" w:rsidR="004A76D3" w:rsidRPr="005045BF" w:rsidRDefault="004A76D3" w:rsidP="004A76D3">
            <w:pPr>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noWrap/>
            <w:vAlign w:val="bottom"/>
            <w:hideMark/>
          </w:tcPr>
          <w:p w14:paraId="3B961D41" w14:textId="0786599E" w:rsidR="004A76D3" w:rsidRPr="005045BF" w:rsidRDefault="004A76D3" w:rsidP="004A76D3">
            <w:pPr>
              <w:rPr>
                <w:rFonts w:ascii="Calibri" w:hAnsi="Calibri"/>
                <w:color w:val="000000"/>
                <w:sz w:val="22"/>
                <w:szCs w:val="22"/>
              </w:rPr>
            </w:pPr>
            <w:r w:rsidRPr="005045BF">
              <w:rPr>
                <w:rFonts w:ascii="Calibri" w:hAnsi="Calibri"/>
                <w:noProof/>
                <w:color w:val="000000"/>
                <w:sz w:val="22"/>
                <w:szCs w:val="22"/>
              </w:rPr>
              <mc:AlternateContent>
                <mc:Choice Requires="wps">
                  <w:drawing>
                    <wp:anchor distT="0" distB="0" distL="114300" distR="114300" simplePos="0" relativeHeight="252275712" behindDoc="0" locked="0" layoutInCell="1" allowOverlap="1" wp14:anchorId="1EC1DBC5" wp14:editId="3389FC6D">
                      <wp:simplePos x="0" y="0"/>
                      <wp:positionH relativeFrom="column">
                        <wp:posOffset>323850</wp:posOffset>
                      </wp:positionH>
                      <wp:positionV relativeFrom="paragraph">
                        <wp:posOffset>-309245</wp:posOffset>
                      </wp:positionV>
                      <wp:extent cx="352425" cy="209550"/>
                      <wp:effectExtent l="0" t="0" r="28575" b="19050"/>
                      <wp:wrapNone/>
                      <wp:docPr id="80" name="Triángulo isósceles 80">
                        <a:extLst xmlns:a="http://schemas.openxmlformats.org/drawingml/2006/main">
                          <a:ext uri="{FF2B5EF4-FFF2-40B4-BE49-F238E27FC236}">
                            <a16:creationId xmlns:a16="http://schemas.microsoft.com/office/drawing/2014/main" id="{00000000-0008-0000-0300-00000B000000}"/>
                          </a:ext>
                        </a:extLst>
                      </wp:docPr>
                      <wp:cNvGraphicFramePr/>
                      <a:graphic xmlns:a="http://schemas.openxmlformats.org/drawingml/2006/main">
                        <a:graphicData uri="http://schemas.microsoft.com/office/word/2010/wordprocessingShape">
                          <wps:wsp>
                            <wps:cNvSpPr/>
                            <wps:spPr>
                              <a:xfrm rot="10800000">
                                <a:off x="0" y="0"/>
                                <a:ext cx="352425"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B843F15" id="Triángulo isósceles 80" o:spid="_x0000_s1026" type="#_x0000_t5" style="position:absolute;margin-left:25.5pt;margin-top:-24.35pt;width:27.75pt;height:16.5pt;rotation:180;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" fillcolor="#00b050" strokecolor="#376092" strokeweight="2pt"/>
                  </w:pict>
                </mc:Fallback>
              </mc:AlternateContent>
            </w:r>
          </w:p>
          <w:p w14:paraId="4BB91254" w14:textId="0CD2A165" w:rsidR="004A76D3" w:rsidRPr="005045BF" w:rsidRDefault="004A76D3" w:rsidP="004A76D3">
            <w:pPr>
              <w:rPr>
                <w:rFonts w:ascii="Calibri" w:hAnsi="Calibri"/>
                <w:color w:val="000000"/>
                <w:sz w:val="22"/>
                <w:szCs w:val="22"/>
              </w:rPr>
            </w:pPr>
          </w:p>
        </w:tc>
        <w:tc>
          <w:tcPr>
            <w:tcW w:w="15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6010FB6" w14:textId="52AD081B"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($5.209.988)</w:t>
            </w:r>
          </w:p>
        </w:tc>
        <w:tc>
          <w:tcPr>
            <w:tcW w:w="708"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41C481DF" w14:textId="3F7172D1"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(32%)</w:t>
            </w:r>
          </w:p>
        </w:tc>
      </w:tr>
      <w:tr w:rsidR="004A76D3" w:rsidRPr="005045BF" w14:paraId="27E071EA" w14:textId="77777777" w:rsidTr="00533A64">
        <w:trPr>
          <w:trHeight w:val="976"/>
        </w:trPr>
        <w:tc>
          <w:tcPr>
            <w:tcW w:w="1053" w:type="dxa"/>
            <w:tcBorders>
              <w:right w:val="single" w:sz="4" w:space="0" w:color="4F81BD" w:themeColor="accent1"/>
            </w:tcBorders>
            <w:shd w:val="clear" w:color="000000" w:fill="4F81BD"/>
            <w:vAlign w:val="center"/>
            <w:hideMark/>
          </w:tcPr>
          <w:p w14:paraId="50BF812A" w14:textId="77777777" w:rsidR="004A76D3" w:rsidRPr="005045BF" w:rsidRDefault="004A76D3" w:rsidP="004A76D3">
            <w:pPr>
              <w:jc w:val="center"/>
              <w:rPr>
                <w:rFonts w:ascii="Arial" w:hAnsi="Arial" w:cs="Arial"/>
                <w:b/>
                <w:bCs/>
                <w:color w:val="FFFFFF"/>
                <w:sz w:val="20"/>
                <w:szCs w:val="20"/>
              </w:rPr>
            </w:pPr>
            <w:r w:rsidRPr="005045BF">
              <w:rPr>
                <w:rFonts w:ascii="Arial" w:hAnsi="Arial" w:cs="Arial"/>
                <w:b/>
                <w:bCs/>
                <w:color w:val="FFFFFF"/>
                <w:sz w:val="20"/>
                <w:szCs w:val="20"/>
              </w:rPr>
              <w:t>7.4</w:t>
            </w:r>
          </w:p>
        </w:tc>
        <w:tc>
          <w:tcPr>
            <w:tcW w:w="1352"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A7BFDE"/>
            <w:textDirection w:val="btLr"/>
            <w:vAlign w:val="center"/>
            <w:hideMark/>
          </w:tcPr>
          <w:p w14:paraId="5DCB1427" w14:textId="77777777" w:rsidR="004A76D3" w:rsidRPr="005045BF" w:rsidRDefault="004A76D3" w:rsidP="004A76D3">
            <w:pPr>
              <w:jc w:val="center"/>
              <w:rPr>
                <w:rFonts w:ascii="Arial" w:hAnsi="Arial" w:cs="Arial"/>
                <w:b/>
                <w:bCs/>
                <w:color w:val="0F243E"/>
                <w:sz w:val="20"/>
                <w:szCs w:val="20"/>
              </w:rPr>
            </w:pPr>
            <w:r w:rsidRPr="005045BF">
              <w:rPr>
                <w:rFonts w:ascii="Arial" w:hAnsi="Arial" w:cs="Arial"/>
                <w:b/>
                <w:bCs/>
                <w:color w:val="0F243E"/>
                <w:sz w:val="20"/>
                <w:szCs w:val="20"/>
              </w:rPr>
              <w:t>Teléfono Fijo</w:t>
            </w:r>
          </w:p>
        </w:tc>
        <w:tc>
          <w:tcPr>
            <w:tcW w:w="198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2D10B96" w14:textId="77777777" w:rsidR="004A76D3" w:rsidRPr="005045BF" w:rsidRDefault="004A76D3" w:rsidP="004A76D3">
            <w:pPr>
              <w:jc w:val="center"/>
              <w:rPr>
                <w:rFonts w:ascii="Arial" w:hAnsi="Arial" w:cs="Arial"/>
                <w:b/>
                <w:bCs/>
                <w:color w:val="222B35"/>
                <w:sz w:val="20"/>
                <w:szCs w:val="20"/>
              </w:rPr>
            </w:pPr>
            <w:r w:rsidRPr="005045BF">
              <w:rPr>
                <w:rFonts w:ascii="Arial" w:hAnsi="Arial" w:cs="Arial"/>
                <w:b/>
                <w:bCs/>
                <w:color w:val="222B35"/>
                <w:sz w:val="20"/>
                <w:szCs w:val="20"/>
              </w:rPr>
              <w:t>Valor del Gasto</w:t>
            </w:r>
          </w:p>
        </w:tc>
        <w:tc>
          <w:tcPr>
            <w:tcW w:w="1275"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8B65727" w14:textId="77777777" w:rsidR="004A76D3" w:rsidRPr="005045BF" w:rsidRDefault="004A76D3" w:rsidP="004A76D3">
            <w:pPr>
              <w:jc w:val="center"/>
              <w:rPr>
                <w:rFonts w:ascii="Arial" w:hAnsi="Arial" w:cs="Arial"/>
                <w:color w:val="0F243E"/>
                <w:sz w:val="20"/>
                <w:szCs w:val="20"/>
              </w:rPr>
            </w:pPr>
            <w:r w:rsidRPr="005045BF">
              <w:rPr>
                <w:rFonts w:ascii="Arial" w:hAnsi="Arial" w:cs="Arial"/>
                <w:color w:val="0F243E"/>
                <w:sz w:val="20"/>
                <w:szCs w:val="20"/>
              </w:rPr>
              <w:t>I Trimestre 2020-2019</w:t>
            </w:r>
          </w:p>
        </w:tc>
        <w:tc>
          <w:tcPr>
            <w:tcW w:w="170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63A4EF4" w14:textId="26345BFA" w:rsidR="004A76D3" w:rsidRPr="005045BF" w:rsidRDefault="004A76D3" w:rsidP="004A76D3">
            <w:pPr>
              <w:jc w:val="center"/>
              <w:rPr>
                <w:rFonts w:ascii="Arial" w:hAnsi="Arial" w:cs="Arial"/>
                <w:b/>
                <w:bCs/>
                <w:color w:val="222B35"/>
                <w:sz w:val="20"/>
                <w:szCs w:val="20"/>
              </w:rPr>
            </w:pPr>
            <w:r w:rsidRPr="005045BF">
              <w:rPr>
                <w:rFonts w:ascii="Arial" w:hAnsi="Arial" w:cs="Arial"/>
                <w:b/>
                <w:bCs/>
                <w:noProof/>
                <w:color w:val="222B35"/>
                <w:sz w:val="20"/>
                <w:szCs w:val="20"/>
              </w:rPr>
              <mc:AlternateContent>
                <mc:Choice Requires="wps">
                  <w:drawing>
                    <wp:anchor distT="0" distB="0" distL="114300" distR="114300" simplePos="0" relativeHeight="252276736" behindDoc="0" locked="0" layoutInCell="1" allowOverlap="1" wp14:anchorId="0E18D023" wp14:editId="67E674AA">
                      <wp:simplePos x="0" y="0"/>
                      <wp:positionH relativeFrom="column">
                        <wp:posOffset>352425</wp:posOffset>
                      </wp:positionH>
                      <wp:positionV relativeFrom="paragraph">
                        <wp:posOffset>-111760</wp:posOffset>
                      </wp:positionV>
                      <wp:extent cx="342900" cy="200025"/>
                      <wp:effectExtent l="0" t="0" r="19050" b="28575"/>
                      <wp:wrapNone/>
                      <wp:docPr id="79" name="Triángulo isósceles 79">
                        <a:extLst xmlns:a="http://schemas.openxmlformats.org/drawingml/2006/main">
                          <a:ext uri="{FF2B5EF4-FFF2-40B4-BE49-F238E27FC236}">
                            <a16:creationId xmlns:a16="http://schemas.microsoft.com/office/drawing/2014/main" id="{E9550843-5D3E-4215-923E-0589AB6DD09A}"/>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5788FF" id="Triángulo isósceles 79" o:spid="_x0000_s1026" type="#_x0000_t5" style="position:absolute;margin-left:27.75pt;margin-top:-8.8pt;width:27pt;height:15.75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" fillcolor="red" strokecolor="#376092" strokeweight="2pt"/>
                  </w:pict>
                </mc:Fallback>
              </mc:AlternateContent>
            </w:r>
          </w:p>
        </w:tc>
        <w:tc>
          <w:tcPr>
            <w:tcW w:w="1560"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45F3D409" w14:textId="0AE46F3C" w:rsidR="004A76D3" w:rsidRPr="005045BF" w:rsidRDefault="00C92F21"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w:t>
            </w:r>
            <w:r w:rsidR="004A76D3" w:rsidRPr="005045BF">
              <w:rPr>
                <w:rFonts w:ascii="Arial" w:hAnsi="Arial" w:cs="Arial"/>
                <w:b/>
                <w:bCs/>
                <w:color w:val="0F243E" w:themeColor="text2" w:themeShade="80"/>
                <w:sz w:val="20"/>
                <w:szCs w:val="20"/>
              </w:rPr>
              <w:t>19</w:t>
            </w:r>
            <w:r w:rsidRPr="005045BF">
              <w:rPr>
                <w:rFonts w:ascii="Arial" w:hAnsi="Arial" w:cs="Arial"/>
                <w:b/>
                <w:bCs/>
                <w:color w:val="0F243E" w:themeColor="text2" w:themeShade="80"/>
                <w:sz w:val="20"/>
                <w:szCs w:val="20"/>
              </w:rPr>
              <w:t>.</w:t>
            </w:r>
            <w:r w:rsidR="004A76D3" w:rsidRPr="005045BF">
              <w:rPr>
                <w:rFonts w:ascii="Arial" w:hAnsi="Arial" w:cs="Arial"/>
                <w:b/>
                <w:bCs/>
                <w:color w:val="0F243E" w:themeColor="text2" w:themeShade="80"/>
                <w:sz w:val="20"/>
                <w:szCs w:val="20"/>
              </w:rPr>
              <w:t>640</w:t>
            </w:r>
          </w:p>
        </w:tc>
        <w:tc>
          <w:tcPr>
            <w:tcW w:w="708" w:type="dxa"/>
            <w:tcBorders>
              <w:top w:val="single" w:sz="4" w:space="0" w:color="4F81BD" w:themeColor="accent1"/>
              <w:left w:val="single" w:sz="4" w:space="0" w:color="4F81BD" w:themeColor="accent1"/>
              <w:bottom w:val="single" w:sz="4" w:space="0" w:color="4F81BD" w:themeColor="accent1"/>
            </w:tcBorders>
            <w:shd w:val="clear" w:color="auto" w:fill="DBE5F1" w:themeFill="accent1" w:themeFillTint="33"/>
            <w:vAlign w:val="center"/>
            <w:hideMark/>
          </w:tcPr>
          <w:p w14:paraId="361A3E9A" w14:textId="3DD89F4C" w:rsidR="004A76D3" w:rsidRPr="005045BF" w:rsidRDefault="004A76D3" w:rsidP="004A76D3">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0</w:t>
            </w:r>
            <w:r w:rsidR="00C92F21" w:rsidRPr="005045BF">
              <w:rPr>
                <w:rFonts w:ascii="Arial" w:hAnsi="Arial" w:cs="Arial"/>
                <w:b/>
                <w:bCs/>
                <w:color w:val="0F243E" w:themeColor="text2" w:themeShade="80"/>
                <w:sz w:val="20"/>
                <w:szCs w:val="20"/>
              </w:rPr>
              <w:t>,06</w:t>
            </w:r>
            <w:r w:rsidRPr="005045BF">
              <w:rPr>
                <w:rFonts w:ascii="Arial" w:hAnsi="Arial" w:cs="Arial"/>
                <w:b/>
                <w:bCs/>
                <w:color w:val="0F243E" w:themeColor="text2" w:themeShade="80"/>
                <w:sz w:val="20"/>
                <w:szCs w:val="20"/>
              </w:rPr>
              <w:t>%</w:t>
            </w:r>
          </w:p>
        </w:tc>
      </w:tr>
    </w:tbl>
    <w:p w14:paraId="0AACE987" w14:textId="15A46188" w:rsidR="00A05680" w:rsidRPr="005045BF" w:rsidRDefault="00A05680" w:rsidP="000D6841">
      <w:pPr>
        <w:rPr>
          <w:highlight w:val="yellow"/>
        </w:rPr>
      </w:pPr>
    </w:p>
    <w:p w14:paraId="21838244" w14:textId="4D293E06" w:rsidR="00BF6918" w:rsidRPr="005045BF" w:rsidRDefault="00BF6918" w:rsidP="000D6841">
      <w:pPr>
        <w:rPr>
          <w:highlight w:val="yellow"/>
        </w:rPr>
      </w:pPr>
    </w:p>
    <w:p w14:paraId="389DD939" w14:textId="5F0DAC83" w:rsidR="009B3559" w:rsidRPr="005045BF" w:rsidRDefault="0070513A" w:rsidP="0045629B">
      <w:pPr>
        <w:pStyle w:val="Prrafodelista"/>
        <w:numPr>
          <w:ilvl w:val="0"/>
          <w:numId w:val="1"/>
        </w:numPr>
        <w:spacing w:line="264" w:lineRule="auto"/>
        <w:contextualSpacing w:val="0"/>
        <w:jc w:val="left"/>
        <w:rPr>
          <w:rFonts w:ascii="Arial" w:hAnsi="Arial" w:cs="Arial"/>
          <w:b/>
          <w:sz w:val="22"/>
          <w:szCs w:val="22"/>
        </w:rPr>
      </w:pPr>
      <w:r w:rsidRPr="005045BF">
        <w:rPr>
          <w:rFonts w:ascii="Arial" w:hAnsi="Arial" w:cs="Arial"/>
          <w:b/>
          <w:sz w:val="22"/>
          <w:szCs w:val="22"/>
        </w:rPr>
        <w:t>SOSTENIBILIDAD AMBIENTAL</w:t>
      </w:r>
    </w:p>
    <w:p w14:paraId="2AA00AC3" w14:textId="1100EB17" w:rsidR="005D3D73" w:rsidRPr="005045BF" w:rsidRDefault="005D3D73" w:rsidP="005D3D73">
      <w:pPr>
        <w:spacing w:line="264" w:lineRule="auto"/>
        <w:rPr>
          <w:rFonts w:ascii="Arial" w:hAnsi="Arial" w:cs="Arial"/>
          <w:b/>
          <w:sz w:val="22"/>
          <w:szCs w:val="22"/>
        </w:rPr>
      </w:pPr>
    </w:p>
    <w:tbl>
      <w:tblPr>
        <w:tblW w:w="0" w:type="auto"/>
        <w:tblCellMar>
          <w:left w:w="70" w:type="dxa"/>
          <w:right w:w="70" w:type="dxa"/>
        </w:tblCellMar>
        <w:tblLook w:val="04A0" w:firstRow="1" w:lastRow="0" w:firstColumn="1" w:lastColumn="0" w:noHBand="0" w:noVBand="1"/>
      </w:tblPr>
      <w:tblGrid>
        <w:gridCol w:w="987"/>
        <w:gridCol w:w="743"/>
        <w:gridCol w:w="1477"/>
        <w:gridCol w:w="1504"/>
        <w:gridCol w:w="1399"/>
        <w:gridCol w:w="1459"/>
        <w:gridCol w:w="1386"/>
        <w:gridCol w:w="674"/>
      </w:tblGrid>
      <w:tr w:rsidR="007765E1" w:rsidRPr="005045BF" w14:paraId="4F945CC3" w14:textId="77777777" w:rsidTr="00533A64">
        <w:trPr>
          <w:trHeight w:val="525"/>
          <w:tblHeader/>
        </w:trPr>
        <w:tc>
          <w:tcPr>
            <w:tcW w:w="987" w:type="dxa"/>
            <w:tcBorders>
              <w:top w:val="single" w:sz="8" w:space="0" w:color="FFFFFF"/>
              <w:left w:val="nil"/>
              <w:bottom w:val="single" w:sz="4" w:space="0" w:color="4F81BD" w:themeColor="accent1"/>
              <w:right w:val="nil"/>
            </w:tcBorders>
            <w:shd w:val="clear" w:color="000000" w:fill="4F81BD"/>
            <w:vAlign w:val="center"/>
            <w:hideMark/>
          </w:tcPr>
          <w:p w14:paraId="7CA4C726"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Numeral Informe</w:t>
            </w:r>
          </w:p>
        </w:tc>
        <w:tc>
          <w:tcPr>
            <w:tcW w:w="743" w:type="dxa"/>
            <w:tcBorders>
              <w:top w:val="single" w:sz="8" w:space="0" w:color="FFFFFF"/>
              <w:left w:val="single" w:sz="8" w:space="0" w:color="FFFFFF"/>
              <w:bottom w:val="single" w:sz="4" w:space="0" w:color="4F81BD" w:themeColor="accent1"/>
              <w:right w:val="nil"/>
            </w:tcBorders>
            <w:shd w:val="clear" w:color="000000" w:fill="4F81BD"/>
            <w:vAlign w:val="center"/>
            <w:hideMark/>
          </w:tcPr>
          <w:p w14:paraId="5879052D"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Ítem</w:t>
            </w:r>
          </w:p>
        </w:tc>
        <w:tc>
          <w:tcPr>
            <w:tcW w:w="1477" w:type="dxa"/>
            <w:tcBorders>
              <w:top w:val="single" w:sz="8" w:space="0" w:color="FFFFFF"/>
              <w:left w:val="nil"/>
              <w:bottom w:val="single" w:sz="4" w:space="0" w:color="4F81BD" w:themeColor="accent1"/>
              <w:right w:val="nil"/>
            </w:tcBorders>
            <w:shd w:val="clear" w:color="000000" w:fill="4F81BD"/>
            <w:vAlign w:val="center"/>
            <w:hideMark/>
          </w:tcPr>
          <w:p w14:paraId="35C87061"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Descripción</w:t>
            </w:r>
          </w:p>
        </w:tc>
        <w:tc>
          <w:tcPr>
            <w:tcW w:w="1504" w:type="dxa"/>
            <w:tcBorders>
              <w:top w:val="single" w:sz="8" w:space="0" w:color="FFFFFF"/>
              <w:left w:val="nil"/>
              <w:bottom w:val="single" w:sz="4" w:space="0" w:color="4F81BD" w:themeColor="accent1"/>
              <w:right w:val="nil"/>
            </w:tcBorders>
            <w:shd w:val="clear" w:color="000000" w:fill="4F81BD"/>
            <w:vAlign w:val="center"/>
            <w:hideMark/>
          </w:tcPr>
          <w:p w14:paraId="658C1BB1"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Concepto</w:t>
            </w:r>
          </w:p>
        </w:tc>
        <w:tc>
          <w:tcPr>
            <w:tcW w:w="1399" w:type="dxa"/>
            <w:tcBorders>
              <w:top w:val="single" w:sz="8" w:space="0" w:color="FFFFFF"/>
              <w:left w:val="nil"/>
              <w:bottom w:val="single" w:sz="4" w:space="0" w:color="4F81BD" w:themeColor="accent1"/>
              <w:right w:val="nil"/>
            </w:tcBorders>
            <w:shd w:val="clear" w:color="000000" w:fill="4F81BD"/>
            <w:vAlign w:val="center"/>
            <w:hideMark/>
          </w:tcPr>
          <w:p w14:paraId="4B0F4911"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Periodo Comparado</w:t>
            </w:r>
          </w:p>
        </w:tc>
        <w:tc>
          <w:tcPr>
            <w:tcW w:w="1459" w:type="dxa"/>
            <w:tcBorders>
              <w:top w:val="single" w:sz="8" w:space="0" w:color="FFFFFF"/>
              <w:left w:val="nil"/>
              <w:bottom w:val="single" w:sz="4" w:space="0" w:color="4F81BD" w:themeColor="accent1"/>
              <w:right w:val="nil"/>
            </w:tcBorders>
            <w:shd w:val="clear" w:color="000000" w:fill="4F81BD"/>
            <w:vAlign w:val="center"/>
            <w:hideMark/>
          </w:tcPr>
          <w:p w14:paraId="2472DD01"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 xml:space="preserve">Variación </w:t>
            </w:r>
          </w:p>
        </w:tc>
        <w:tc>
          <w:tcPr>
            <w:tcW w:w="0" w:type="auto"/>
            <w:tcBorders>
              <w:top w:val="single" w:sz="8" w:space="0" w:color="FFFFFF"/>
              <w:left w:val="nil"/>
              <w:bottom w:val="single" w:sz="4" w:space="0" w:color="4F81BD" w:themeColor="accent1"/>
              <w:right w:val="nil"/>
            </w:tcBorders>
            <w:shd w:val="clear" w:color="000000" w:fill="4F81BD"/>
            <w:vAlign w:val="center"/>
            <w:hideMark/>
          </w:tcPr>
          <w:p w14:paraId="6595424F"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Valor / Cantidad</w:t>
            </w:r>
          </w:p>
        </w:tc>
        <w:tc>
          <w:tcPr>
            <w:tcW w:w="0" w:type="auto"/>
            <w:tcBorders>
              <w:top w:val="single" w:sz="8" w:space="0" w:color="FFFFFF"/>
              <w:left w:val="nil"/>
              <w:bottom w:val="single" w:sz="4" w:space="0" w:color="4F81BD" w:themeColor="accent1"/>
              <w:right w:val="single" w:sz="8" w:space="0" w:color="FFFFFF"/>
            </w:tcBorders>
            <w:shd w:val="clear" w:color="000000" w:fill="4F81BD"/>
            <w:vAlign w:val="center"/>
            <w:hideMark/>
          </w:tcPr>
          <w:p w14:paraId="2A1DAD76"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w:t>
            </w:r>
          </w:p>
        </w:tc>
      </w:tr>
      <w:tr w:rsidR="007765E1" w:rsidRPr="005045BF" w14:paraId="3312A20C" w14:textId="77777777" w:rsidTr="008429B7">
        <w:trPr>
          <w:trHeight w:val="735"/>
        </w:trPr>
        <w:tc>
          <w:tcPr>
            <w:tcW w:w="987" w:type="dxa"/>
            <w:vMerge w:val="restart"/>
            <w:tcBorders>
              <w:top w:val="single" w:sz="4" w:space="0" w:color="4F81BD" w:themeColor="accent1"/>
              <w:left w:val="nil"/>
              <w:bottom w:val="single" w:sz="8" w:space="0" w:color="FFFFFF"/>
              <w:right w:val="single" w:sz="8" w:space="0" w:color="FFFFFF"/>
            </w:tcBorders>
            <w:shd w:val="clear" w:color="000000" w:fill="4F81BD"/>
            <w:vAlign w:val="center"/>
            <w:hideMark/>
          </w:tcPr>
          <w:p w14:paraId="09B776F7" w14:textId="4C27EF5B"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 </w:t>
            </w:r>
            <w:r w:rsidR="003B6B2D">
              <w:rPr>
                <w:rFonts w:ascii="Arial" w:hAnsi="Arial" w:cs="Arial"/>
                <w:b/>
                <w:bCs/>
                <w:color w:val="FFFFFF"/>
                <w:sz w:val="20"/>
                <w:szCs w:val="20"/>
              </w:rPr>
              <w:t>10</w:t>
            </w:r>
            <w:r w:rsidRPr="005045BF">
              <w:rPr>
                <w:rFonts w:ascii="Arial" w:hAnsi="Arial" w:cs="Arial"/>
                <w:b/>
                <w:bCs/>
                <w:color w:val="FFFFFF"/>
                <w:sz w:val="20"/>
                <w:szCs w:val="20"/>
              </w:rPr>
              <w:t>.1</w:t>
            </w:r>
          </w:p>
        </w:tc>
        <w:tc>
          <w:tcPr>
            <w:tcW w:w="743" w:type="dxa"/>
            <w:vMerge w:val="restart"/>
            <w:tcBorders>
              <w:top w:val="single" w:sz="4" w:space="0" w:color="4F81BD" w:themeColor="accent1"/>
              <w:left w:val="single" w:sz="8" w:space="0" w:color="FFFFFF"/>
              <w:bottom w:val="single" w:sz="8" w:space="0" w:color="FFFFFF"/>
              <w:right w:val="single" w:sz="4" w:space="0" w:color="4F81BD" w:themeColor="accent1"/>
            </w:tcBorders>
            <w:shd w:val="clear" w:color="000000" w:fill="4F81BD"/>
            <w:textDirection w:val="btLr"/>
            <w:vAlign w:val="center"/>
            <w:hideMark/>
          </w:tcPr>
          <w:p w14:paraId="5E5B9834" w14:textId="77777777"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Energía</w:t>
            </w: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7AEADEC0"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Edificio San Agustín</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F70601E"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52415D2"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465F899" w14:textId="47996245"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79808" behindDoc="0" locked="0" layoutInCell="1" allowOverlap="1" wp14:anchorId="02DB5344" wp14:editId="29FBE06C">
                      <wp:simplePos x="0" y="0"/>
                      <wp:positionH relativeFrom="column">
                        <wp:posOffset>270510</wp:posOffset>
                      </wp:positionH>
                      <wp:positionV relativeFrom="paragraph">
                        <wp:posOffset>-4445</wp:posOffset>
                      </wp:positionV>
                      <wp:extent cx="342900" cy="219075"/>
                      <wp:effectExtent l="0" t="0" r="19050" b="28575"/>
                      <wp:wrapNone/>
                      <wp:docPr id="129" name="Triángulo isósceles 129">
                        <a:extLst xmlns:a="http://schemas.openxmlformats.org/drawingml/2006/main">
                          <a:ext uri="{FF2B5EF4-FFF2-40B4-BE49-F238E27FC236}">
                            <a16:creationId xmlns:a16="http://schemas.microsoft.com/office/drawing/2014/main" id="{00000000-0008-0000-0400-00000A000000}"/>
                          </a:ext>
                        </a:extLst>
                      </wp:docPr>
                      <wp:cNvGraphicFramePr/>
                      <a:graphic xmlns:a="http://schemas.openxmlformats.org/drawingml/2006/main">
                        <a:graphicData uri="http://schemas.microsoft.com/office/word/2010/wordprocessingShape">
                          <wps:wsp>
                            <wps:cNvSpPr/>
                            <wps:spPr>
                              <a:xfrm rot="10800000">
                                <a:off x="0" y="0"/>
                                <a:ext cx="342900" cy="21907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CE99B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129" o:spid="_x0000_s1026" type="#_x0000_t5" style="position:absolute;margin-left:21.3pt;margin-top:-.35pt;width:27pt;height:17.25pt;rotation:18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6FEE139" w14:textId="11BE2AD9"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($29.139.415)</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B1300CD" w14:textId="2FB42A9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(10%)</w:t>
            </w:r>
          </w:p>
        </w:tc>
      </w:tr>
      <w:tr w:rsidR="007765E1" w:rsidRPr="005045BF" w14:paraId="5FE4A199" w14:textId="77777777" w:rsidTr="00533A64">
        <w:trPr>
          <w:trHeight w:val="945"/>
        </w:trPr>
        <w:tc>
          <w:tcPr>
            <w:tcW w:w="987" w:type="dxa"/>
            <w:vMerge/>
            <w:tcBorders>
              <w:top w:val="nil"/>
              <w:left w:val="nil"/>
              <w:bottom w:val="single" w:sz="8" w:space="0" w:color="FFFFFF"/>
              <w:right w:val="single" w:sz="8" w:space="0" w:color="FFFFFF"/>
            </w:tcBorders>
            <w:vAlign w:val="center"/>
            <w:hideMark/>
          </w:tcPr>
          <w:p w14:paraId="6CDF7D93"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single" w:sz="8" w:space="0" w:color="FFFFFF"/>
              <w:right w:val="single" w:sz="4" w:space="0" w:color="4F81BD" w:themeColor="accent1"/>
            </w:tcBorders>
            <w:vAlign w:val="center"/>
            <w:hideMark/>
          </w:tcPr>
          <w:p w14:paraId="54E15ABA"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46261D1"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D4F7D5F"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Kw/h</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D89754F"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D6642B2" w14:textId="2EB910AE"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0832" behindDoc="0" locked="0" layoutInCell="1" allowOverlap="1" wp14:anchorId="33161538" wp14:editId="266842D0">
                      <wp:simplePos x="0" y="0"/>
                      <wp:positionH relativeFrom="column">
                        <wp:posOffset>269240</wp:posOffset>
                      </wp:positionH>
                      <wp:positionV relativeFrom="paragraph">
                        <wp:posOffset>49530</wp:posOffset>
                      </wp:positionV>
                      <wp:extent cx="342900" cy="200025"/>
                      <wp:effectExtent l="0" t="0" r="19050" b="28575"/>
                      <wp:wrapNone/>
                      <wp:docPr id="128" name="Triángulo isósceles 128">
                        <a:extLst xmlns:a="http://schemas.openxmlformats.org/drawingml/2006/main">
                          <a:ext uri="{FF2B5EF4-FFF2-40B4-BE49-F238E27FC236}">
                            <a16:creationId xmlns:a16="http://schemas.microsoft.com/office/drawing/2014/main" id="{00000000-0008-0000-0400-00000B000000}"/>
                          </a:ext>
                        </a:extLst>
                      </wp:docPr>
                      <wp:cNvGraphicFramePr/>
                      <a:graphic xmlns:a="http://schemas.openxmlformats.org/drawingml/2006/main">
                        <a:graphicData uri="http://schemas.microsoft.com/office/word/2010/wordprocessingShape">
                          <wps:wsp>
                            <wps:cNvSpPr/>
                            <wps:spPr>
                              <a:xfrm rot="10800000">
                                <a:off x="0" y="0"/>
                                <a:ext cx="342900" cy="200025"/>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FD4C1D" id="Triángulo isósceles 128" o:spid="_x0000_s1026" type="#_x0000_t5" style="position:absolute;margin-left:21.2pt;margin-top:3.9pt;width:27pt;height:15.75pt;rotation:180;z-index:25228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7198F30"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(154.531) Km/h</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A970D44" w14:textId="56378AEB"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(14%)</w:t>
            </w:r>
          </w:p>
        </w:tc>
      </w:tr>
      <w:tr w:rsidR="007765E1" w:rsidRPr="005045BF" w14:paraId="32336780" w14:textId="77777777" w:rsidTr="008429B7">
        <w:trPr>
          <w:trHeight w:val="750"/>
        </w:trPr>
        <w:tc>
          <w:tcPr>
            <w:tcW w:w="987" w:type="dxa"/>
            <w:vMerge/>
            <w:tcBorders>
              <w:top w:val="nil"/>
              <w:left w:val="nil"/>
              <w:bottom w:val="single" w:sz="8" w:space="0" w:color="FFFFFF"/>
              <w:right w:val="single" w:sz="8" w:space="0" w:color="FFFFFF"/>
            </w:tcBorders>
            <w:vAlign w:val="center"/>
            <w:hideMark/>
          </w:tcPr>
          <w:p w14:paraId="611857C0"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single" w:sz="8" w:space="0" w:color="FFFFFF"/>
              <w:right w:val="single" w:sz="4" w:space="0" w:color="4F81BD" w:themeColor="accent1"/>
            </w:tcBorders>
            <w:vAlign w:val="center"/>
            <w:hideMark/>
          </w:tcPr>
          <w:p w14:paraId="7DEB5389" w14:textId="77777777" w:rsidR="007765E1" w:rsidRPr="005045BF" w:rsidRDefault="007765E1" w:rsidP="007765E1">
            <w:pPr>
              <w:rPr>
                <w:rFonts w:ascii="Arial" w:hAnsi="Arial" w:cs="Arial"/>
                <w:b/>
                <w:bCs/>
                <w:color w:val="FFFFFF"/>
                <w:sz w:val="20"/>
                <w:szCs w:val="20"/>
              </w:rPr>
            </w:pP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47F0B976"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Casas de Santa Bárbara</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907C618"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A478BF1"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5D074E4" w14:textId="4B78F41D"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1856" behindDoc="0" locked="0" layoutInCell="1" allowOverlap="1" wp14:anchorId="7138E40E" wp14:editId="4BDE8125">
                      <wp:simplePos x="0" y="0"/>
                      <wp:positionH relativeFrom="column">
                        <wp:posOffset>283845</wp:posOffset>
                      </wp:positionH>
                      <wp:positionV relativeFrom="paragraph">
                        <wp:posOffset>65405</wp:posOffset>
                      </wp:positionV>
                      <wp:extent cx="342900" cy="200025"/>
                      <wp:effectExtent l="0" t="0" r="19050" b="28575"/>
                      <wp:wrapNone/>
                      <wp:docPr id="127" name="Triángulo isósceles 127">
                        <a:extLst xmlns:a="http://schemas.openxmlformats.org/drawingml/2006/main">
                          <a:ext uri="{FF2B5EF4-FFF2-40B4-BE49-F238E27FC236}">
                            <a16:creationId xmlns:a16="http://schemas.microsoft.com/office/drawing/2014/main" id="{00000000-0008-0000-0400-00000D000000}"/>
                          </a:ext>
                        </a:extLst>
                      </wp:docPr>
                      <wp:cNvGraphicFramePr/>
                      <a:graphic xmlns:a="http://schemas.openxmlformats.org/drawingml/2006/main">
                        <a:graphicData uri="http://schemas.microsoft.com/office/word/2010/wordprocessingShape">
                          <wps:wsp>
                            <wps:cNvSpPr/>
                            <wps:spPr>
                              <a:xfrm rot="10800000">
                                <a:off x="0" y="0"/>
                                <a:ext cx="285750" cy="1714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1A7C803" id="Triángulo isósceles 127" o:spid="_x0000_s1026" type="#_x0000_t5" style="position:absolute;margin-left:22.35pt;margin-top:5.15pt;width:27pt;height:15.75pt;rotation:180;z-index:25228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09212E97" w14:textId="245FE7E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($6.945.650)</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9050F93" w14:textId="1FF73425"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w:t>
            </w:r>
          </w:p>
        </w:tc>
      </w:tr>
      <w:tr w:rsidR="007765E1" w:rsidRPr="005045BF" w14:paraId="3C2F0D70" w14:textId="77777777" w:rsidTr="00533A64">
        <w:trPr>
          <w:trHeight w:val="771"/>
        </w:trPr>
        <w:tc>
          <w:tcPr>
            <w:tcW w:w="987" w:type="dxa"/>
            <w:vMerge/>
            <w:tcBorders>
              <w:top w:val="nil"/>
              <w:left w:val="nil"/>
              <w:bottom w:val="single" w:sz="8" w:space="0" w:color="FFFFFF"/>
              <w:right w:val="single" w:sz="8" w:space="0" w:color="FFFFFF"/>
            </w:tcBorders>
            <w:vAlign w:val="center"/>
            <w:hideMark/>
          </w:tcPr>
          <w:p w14:paraId="79165EF5"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single" w:sz="8" w:space="0" w:color="FFFFFF"/>
              <w:right w:val="single" w:sz="4" w:space="0" w:color="4F81BD" w:themeColor="accent1"/>
            </w:tcBorders>
            <w:vAlign w:val="center"/>
            <w:hideMark/>
          </w:tcPr>
          <w:p w14:paraId="6A45C574"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11B4D513"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15EFCE3"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Kw/h</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4187925"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9EC2A68" w14:textId="0F54997B"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2880" behindDoc="0" locked="0" layoutInCell="1" allowOverlap="1" wp14:anchorId="2E91CE58" wp14:editId="1D475BC0">
                      <wp:simplePos x="0" y="0"/>
                      <wp:positionH relativeFrom="column">
                        <wp:posOffset>293370</wp:posOffset>
                      </wp:positionH>
                      <wp:positionV relativeFrom="paragraph">
                        <wp:posOffset>7620</wp:posOffset>
                      </wp:positionV>
                      <wp:extent cx="342900" cy="209550"/>
                      <wp:effectExtent l="0" t="0" r="19050" b="19050"/>
                      <wp:wrapNone/>
                      <wp:docPr id="126" name="Triángulo isósceles 126">
                        <a:extLst xmlns:a="http://schemas.openxmlformats.org/drawingml/2006/main">
                          <a:ext uri="{FF2B5EF4-FFF2-40B4-BE49-F238E27FC236}">
                            <a16:creationId xmlns:a16="http://schemas.microsoft.com/office/drawing/2014/main" id="{00000000-0008-0000-0400-00000E000000}"/>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4546F2B" id="Triángulo isósceles 126" o:spid="_x0000_s1026" type="#_x0000_t5" style="position:absolute;margin-left:23.1pt;margin-top:.6pt;width:27pt;height:16.5pt;rotation:180;z-index:25228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44238078"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(17.082) Km/h</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1044746" w14:textId="31C2EFB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r w:rsidR="007765E1" w:rsidRPr="005045BF" w14:paraId="21999C3B" w14:textId="77777777" w:rsidTr="008429B7">
        <w:trPr>
          <w:trHeight w:val="810"/>
        </w:trPr>
        <w:tc>
          <w:tcPr>
            <w:tcW w:w="987" w:type="dxa"/>
            <w:vMerge/>
            <w:tcBorders>
              <w:top w:val="nil"/>
              <w:left w:val="nil"/>
              <w:bottom w:val="single" w:sz="8" w:space="0" w:color="FFFFFF"/>
              <w:right w:val="single" w:sz="8" w:space="0" w:color="FFFFFF"/>
            </w:tcBorders>
            <w:vAlign w:val="center"/>
            <w:hideMark/>
          </w:tcPr>
          <w:p w14:paraId="742366B0"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single" w:sz="8" w:space="0" w:color="FFFFFF"/>
              <w:right w:val="single" w:sz="4" w:space="0" w:color="4F81BD" w:themeColor="accent1"/>
            </w:tcBorders>
            <w:vAlign w:val="center"/>
            <w:hideMark/>
          </w:tcPr>
          <w:p w14:paraId="0D276873" w14:textId="77777777" w:rsidR="007765E1" w:rsidRPr="005045BF" w:rsidRDefault="007765E1" w:rsidP="007765E1">
            <w:pPr>
              <w:rPr>
                <w:rFonts w:ascii="Arial" w:hAnsi="Arial" w:cs="Arial"/>
                <w:b/>
                <w:bCs/>
                <w:color w:val="FFFFFF"/>
                <w:sz w:val="20"/>
                <w:szCs w:val="20"/>
              </w:rPr>
            </w:pP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3BDEB6A7"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Ministerio de Hacienda y Crédito Púbico </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A120B51"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1491CC8"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CE2163F" w14:textId="7CA1F36B"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6976" behindDoc="0" locked="0" layoutInCell="1" allowOverlap="1" wp14:anchorId="2AA5D71E" wp14:editId="3AC21DD9">
                      <wp:simplePos x="0" y="0"/>
                      <wp:positionH relativeFrom="column">
                        <wp:posOffset>293370</wp:posOffset>
                      </wp:positionH>
                      <wp:positionV relativeFrom="paragraph">
                        <wp:posOffset>54610</wp:posOffset>
                      </wp:positionV>
                      <wp:extent cx="342900" cy="209550"/>
                      <wp:effectExtent l="0" t="0" r="19050" b="19050"/>
                      <wp:wrapNone/>
                      <wp:docPr id="125" name="Triángulo isósceles 125">
                        <a:extLst xmlns:a="http://schemas.openxmlformats.org/drawingml/2006/main">
                          <a:ext uri="{FF2B5EF4-FFF2-40B4-BE49-F238E27FC236}">
                            <a16:creationId xmlns:a16="http://schemas.microsoft.com/office/drawing/2014/main" id="{261D5554-2D72-4C17-B891-0BF4D815A6D1}"/>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507053E" id="Triángulo isósceles 125" o:spid="_x0000_s1026" type="#_x0000_t5" style="position:absolute;margin-left:23.1pt;margin-top:4.3pt;width:27pt;height:16.5pt;rotation:180;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087C56D1" w14:textId="4323F540"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($36.085.065)</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51B4101" w14:textId="4030FE1C"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(9%)</w:t>
            </w:r>
          </w:p>
        </w:tc>
      </w:tr>
      <w:tr w:rsidR="007765E1" w:rsidRPr="005045BF" w14:paraId="358994E3" w14:textId="77777777" w:rsidTr="008429B7">
        <w:trPr>
          <w:trHeight w:val="780"/>
        </w:trPr>
        <w:tc>
          <w:tcPr>
            <w:tcW w:w="987" w:type="dxa"/>
            <w:vMerge/>
            <w:tcBorders>
              <w:top w:val="nil"/>
              <w:left w:val="nil"/>
              <w:bottom w:val="single" w:sz="8" w:space="0" w:color="FFFFFF"/>
              <w:right w:val="single" w:sz="8" w:space="0" w:color="FFFFFF"/>
            </w:tcBorders>
            <w:vAlign w:val="center"/>
            <w:hideMark/>
          </w:tcPr>
          <w:p w14:paraId="1D0B473F"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single" w:sz="8" w:space="0" w:color="FFFFFF"/>
              <w:right w:val="single" w:sz="4" w:space="0" w:color="4F81BD" w:themeColor="accent1"/>
            </w:tcBorders>
            <w:vAlign w:val="center"/>
            <w:hideMark/>
          </w:tcPr>
          <w:p w14:paraId="54B8FE1F"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57F9DAFB"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752A25B"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Kw/h</w:t>
            </w:r>
          </w:p>
        </w:tc>
        <w:tc>
          <w:tcPr>
            <w:tcW w:w="1399"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282B485D" w14:textId="77777777" w:rsidR="007765E1" w:rsidRPr="005045BF" w:rsidRDefault="007765E1" w:rsidP="007765E1">
            <w:pPr>
              <w:rPr>
                <w:rFonts w:ascii="Arial" w:hAnsi="Arial" w:cs="Arial"/>
                <w:color w:val="0F243E" w:themeColor="text2" w:themeShade="80"/>
                <w:sz w:val="20"/>
                <w:szCs w:val="20"/>
              </w:rPr>
            </w:pP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F83E051" w14:textId="32AA0D4E"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5952" behindDoc="0" locked="0" layoutInCell="1" allowOverlap="1" wp14:anchorId="373A68E0" wp14:editId="6C54DF72">
                      <wp:simplePos x="0" y="0"/>
                      <wp:positionH relativeFrom="column">
                        <wp:posOffset>293370</wp:posOffset>
                      </wp:positionH>
                      <wp:positionV relativeFrom="paragraph">
                        <wp:posOffset>0</wp:posOffset>
                      </wp:positionV>
                      <wp:extent cx="342900" cy="209550"/>
                      <wp:effectExtent l="0" t="0" r="19050" b="19050"/>
                      <wp:wrapNone/>
                      <wp:docPr id="124" name="Triángulo isósceles 124">
                        <a:extLst xmlns:a="http://schemas.openxmlformats.org/drawingml/2006/main">
                          <a:ext uri="{FF2B5EF4-FFF2-40B4-BE49-F238E27FC236}">
                            <a16:creationId xmlns:a16="http://schemas.microsoft.com/office/drawing/2014/main" id="{142DA351-4B0C-4181-A34C-A2492E4C5A93}"/>
                          </a:ext>
                        </a:extLst>
                      </wp:docPr>
                      <wp:cNvGraphicFramePr/>
                      <a:graphic xmlns:a="http://schemas.openxmlformats.org/drawingml/2006/main">
                        <a:graphicData uri="http://schemas.microsoft.com/office/word/2010/wordprocessingShape">
                          <wps:wsp>
                            <wps:cNvSpPr/>
                            <wps:spPr>
                              <a:xfrm rot="10800000">
                                <a:off x="0" y="0"/>
                                <a:ext cx="342900" cy="209550"/>
                              </a:xfrm>
                              <a:prstGeom prst="triangle">
                                <a:avLst/>
                              </a:prstGeom>
                              <a:solidFill>
                                <a:srgbClr val="00B05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9D18A10" id="Triángulo isósceles 124" o:spid="_x0000_s1026" type="#_x0000_t5" style="position:absolute;margin-left:23.1pt;margin-top:0;width:27pt;height:16.5pt;rotation:180;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" fillcolor="#00b050"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214156AC"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(171.613) Km/h</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2A6D6C1" w14:textId="1A52B87D"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(12%)</w:t>
            </w:r>
          </w:p>
        </w:tc>
      </w:tr>
      <w:tr w:rsidR="007765E1" w:rsidRPr="005045BF" w14:paraId="613F00B0" w14:textId="77777777" w:rsidTr="008429B7">
        <w:trPr>
          <w:trHeight w:val="795"/>
        </w:trPr>
        <w:tc>
          <w:tcPr>
            <w:tcW w:w="987" w:type="dxa"/>
            <w:vMerge w:val="restart"/>
            <w:tcBorders>
              <w:top w:val="nil"/>
              <w:left w:val="nil"/>
              <w:bottom w:val="nil"/>
              <w:right w:val="single" w:sz="8" w:space="0" w:color="FFFFFF"/>
            </w:tcBorders>
            <w:shd w:val="clear" w:color="000000" w:fill="4F81BD"/>
            <w:vAlign w:val="center"/>
            <w:hideMark/>
          </w:tcPr>
          <w:p w14:paraId="7A219C15" w14:textId="3CA66588"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lastRenderedPageBreak/>
              <w:t> </w:t>
            </w:r>
            <w:r w:rsidR="003B6B2D">
              <w:rPr>
                <w:rFonts w:ascii="Arial" w:hAnsi="Arial" w:cs="Arial"/>
                <w:b/>
                <w:bCs/>
                <w:color w:val="FFFFFF"/>
                <w:sz w:val="20"/>
                <w:szCs w:val="20"/>
              </w:rPr>
              <w:t>10</w:t>
            </w:r>
            <w:r w:rsidRPr="005045BF">
              <w:rPr>
                <w:rFonts w:ascii="Arial" w:hAnsi="Arial" w:cs="Arial"/>
                <w:b/>
                <w:bCs/>
                <w:color w:val="FFFFFF"/>
                <w:sz w:val="20"/>
                <w:szCs w:val="20"/>
              </w:rPr>
              <w:t>.2</w:t>
            </w:r>
          </w:p>
        </w:tc>
        <w:tc>
          <w:tcPr>
            <w:tcW w:w="743" w:type="dxa"/>
            <w:vMerge w:val="restart"/>
            <w:tcBorders>
              <w:top w:val="nil"/>
              <w:left w:val="single" w:sz="8" w:space="0" w:color="FFFFFF"/>
              <w:bottom w:val="nil"/>
              <w:right w:val="single" w:sz="4" w:space="0" w:color="4F81BD" w:themeColor="accent1"/>
            </w:tcBorders>
            <w:shd w:val="clear" w:color="000000" w:fill="4F81BD"/>
            <w:textDirection w:val="btLr"/>
            <w:vAlign w:val="center"/>
            <w:hideMark/>
          </w:tcPr>
          <w:p w14:paraId="766DC6BD" w14:textId="6510A992" w:rsidR="007765E1" w:rsidRPr="005045BF" w:rsidRDefault="007765E1" w:rsidP="007765E1">
            <w:pPr>
              <w:jc w:val="center"/>
              <w:rPr>
                <w:rFonts w:ascii="Arial" w:hAnsi="Arial" w:cs="Arial"/>
                <w:b/>
                <w:bCs/>
                <w:color w:val="FFFFFF"/>
                <w:sz w:val="20"/>
                <w:szCs w:val="20"/>
              </w:rPr>
            </w:pPr>
            <w:r w:rsidRPr="005045BF">
              <w:rPr>
                <w:rFonts w:ascii="Arial" w:hAnsi="Arial" w:cs="Arial"/>
                <w:b/>
                <w:bCs/>
                <w:color w:val="FFFFFF"/>
                <w:sz w:val="20"/>
                <w:szCs w:val="20"/>
              </w:rPr>
              <w:t>Acueducto y Alcantarillado</w:t>
            </w:r>
            <w:r w:rsidR="008429B7" w:rsidRPr="005045BF">
              <w:rPr>
                <w:rStyle w:val="Refdenotaalpie"/>
                <w:rFonts w:ascii="Arial" w:hAnsi="Arial" w:cs="Arial"/>
                <w:b/>
                <w:bCs/>
                <w:color w:val="FFFFFF"/>
                <w:sz w:val="20"/>
                <w:szCs w:val="20"/>
              </w:rPr>
              <w:footnoteReference w:id="11"/>
            </w: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6C6E3D43"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Edificio San Agustín</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C31363D"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66FAA896"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92267F2" w14:textId="7F58FD6B"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3904" behindDoc="0" locked="0" layoutInCell="1" allowOverlap="1" wp14:anchorId="56D61E15" wp14:editId="46EA54A9">
                      <wp:simplePos x="0" y="0"/>
                      <wp:positionH relativeFrom="column">
                        <wp:posOffset>302895</wp:posOffset>
                      </wp:positionH>
                      <wp:positionV relativeFrom="paragraph">
                        <wp:posOffset>8255</wp:posOffset>
                      </wp:positionV>
                      <wp:extent cx="342900" cy="209550"/>
                      <wp:effectExtent l="0" t="0" r="19050" b="19050"/>
                      <wp:wrapNone/>
                      <wp:docPr id="123" name="Triángulo isósceles 123">
                        <a:extLst xmlns:a="http://schemas.openxmlformats.org/drawingml/2006/main">
                          <a:ext uri="{FF2B5EF4-FFF2-40B4-BE49-F238E27FC236}">
                            <a16:creationId xmlns:a16="http://schemas.microsoft.com/office/drawing/2014/main" id="{00000000-0008-0000-0400-00000F000000}"/>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F6B3745" id="Triángulo isósceles 123" o:spid="_x0000_s1026" type="#_x0000_t5" style="position:absolute;margin-left:23.85pt;margin-top:.65pt;width:27pt;height:16.5pt;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" fillcolor="red"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77FA8681" w14:textId="1AD106B1"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$1.211.102</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106E9AA"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r w:rsidR="007765E1" w:rsidRPr="005045BF" w14:paraId="4ECC3C9E" w14:textId="77777777" w:rsidTr="008429B7">
        <w:trPr>
          <w:trHeight w:val="750"/>
        </w:trPr>
        <w:tc>
          <w:tcPr>
            <w:tcW w:w="987" w:type="dxa"/>
            <w:vMerge/>
            <w:tcBorders>
              <w:top w:val="nil"/>
              <w:left w:val="nil"/>
              <w:bottom w:val="nil"/>
              <w:right w:val="single" w:sz="8" w:space="0" w:color="FFFFFF"/>
            </w:tcBorders>
            <w:vAlign w:val="center"/>
            <w:hideMark/>
          </w:tcPr>
          <w:p w14:paraId="490A4949"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nil"/>
              <w:right w:val="single" w:sz="4" w:space="0" w:color="4F81BD" w:themeColor="accent1"/>
            </w:tcBorders>
            <w:vAlign w:val="center"/>
            <w:hideMark/>
          </w:tcPr>
          <w:p w14:paraId="2AAA5E32"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64EC747C"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E3DAE75"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M</w:t>
            </w:r>
            <w:r w:rsidRPr="005045BF">
              <w:rPr>
                <w:rFonts w:ascii="Arial" w:hAnsi="Arial" w:cs="Arial"/>
                <w:color w:val="0F243E" w:themeColor="text2" w:themeShade="80"/>
                <w:sz w:val="20"/>
                <w:szCs w:val="20"/>
                <w:vertAlign w:val="superscript"/>
              </w:rPr>
              <w:t>3</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7F5AB08B"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533AFDE" w14:textId="55986138"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4928" behindDoc="0" locked="0" layoutInCell="1" allowOverlap="1" wp14:anchorId="6F4CFB1F" wp14:editId="3518FA5F">
                      <wp:simplePos x="0" y="0"/>
                      <wp:positionH relativeFrom="column">
                        <wp:posOffset>312420</wp:posOffset>
                      </wp:positionH>
                      <wp:positionV relativeFrom="paragraph">
                        <wp:posOffset>12700</wp:posOffset>
                      </wp:positionV>
                      <wp:extent cx="342900" cy="219075"/>
                      <wp:effectExtent l="0" t="0" r="19050" b="28575"/>
                      <wp:wrapNone/>
                      <wp:docPr id="122" name="Triángulo isósceles 122">
                        <a:extLst xmlns:a="http://schemas.openxmlformats.org/drawingml/2006/main">
                          <a:ext uri="{FF2B5EF4-FFF2-40B4-BE49-F238E27FC236}">
                            <a16:creationId xmlns:a16="http://schemas.microsoft.com/office/drawing/2014/main" id="{00000000-0008-0000-0400-000011000000}"/>
                          </a:ext>
                        </a:extLst>
                      </wp:docPr>
                      <wp:cNvGraphicFramePr/>
                      <a:graphic xmlns:a="http://schemas.openxmlformats.org/drawingml/2006/main">
                        <a:graphicData uri="http://schemas.microsoft.com/office/word/2010/wordprocessingShape">
                          <wps:wsp>
                            <wps:cNvSpPr/>
                            <wps:spPr>
                              <a:xfrm>
                                <a:off x="0" y="0"/>
                                <a:ext cx="342900" cy="21907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BEB786D" id="Triángulo isósceles 122" o:spid="_x0000_s1026" type="#_x0000_t5" style="position:absolute;margin-left:24.6pt;margin-top:1pt;width:27pt;height:17.25pt;z-index:25228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" fillcolor="red"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AEEBCBA"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230 M</w:t>
            </w:r>
            <w:r w:rsidRPr="005045BF">
              <w:rPr>
                <w:rFonts w:ascii="Arial" w:hAnsi="Arial" w:cs="Arial"/>
                <w:b/>
                <w:bCs/>
                <w:color w:val="0F243E" w:themeColor="text2" w:themeShade="80"/>
                <w:sz w:val="20"/>
                <w:szCs w:val="20"/>
                <w:vertAlign w:val="superscript"/>
              </w:rPr>
              <w:t>3</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3CB06AE"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6%</w:t>
            </w:r>
          </w:p>
        </w:tc>
      </w:tr>
      <w:tr w:rsidR="007765E1" w:rsidRPr="005045BF" w14:paraId="0928FCCF" w14:textId="77777777" w:rsidTr="008429B7">
        <w:trPr>
          <w:trHeight w:val="1020"/>
        </w:trPr>
        <w:tc>
          <w:tcPr>
            <w:tcW w:w="987" w:type="dxa"/>
            <w:vMerge/>
            <w:tcBorders>
              <w:top w:val="nil"/>
              <w:left w:val="nil"/>
              <w:bottom w:val="nil"/>
              <w:right w:val="single" w:sz="8" w:space="0" w:color="FFFFFF"/>
            </w:tcBorders>
            <w:vAlign w:val="center"/>
            <w:hideMark/>
          </w:tcPr>
          <w:p w14:paraId="0C3E5989"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nil"/>
              <w:right w:val="single" w:sz="4" w:space="0" w:color="4F81BD" w:themeColor="accent1"/>
            </w:tcBorders>
            <w:vAlign w:val="center"/>
            <w:hideMark/>
          </w:tcPr>
          <w:p w14:paraId="4EFD91F8" w14:textId="77777777" w:rsidR="007765E1" w:rsidRPr="005045BF" w:rsidRDefault="007765E1" w:rsidP="007765E1">
            <w:pPr>
              <w:rPr>
                <w:rFonts w:ascii="Arial" w:hAnsi="Arial" w:cs="Arial"/>
                <w:b/>
                <w:bCs/>
                <w:color w:val="FFFFFF"/>
                <w:sz w:val="20"/>
                <w:szCs w:val="20"/>
              </w:rPr>
            </w:pP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70D5AF95"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Casas de Santa Bárbara</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50BDD4D3"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D9A797F"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A33C49E" w14:textId="7D957606"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8000" behindDoc="0" locked="0" layoutInCell="1" allowOverlap="1" wp14:anchorId="774AB8E3" wp14:editId="5AEE7784">
                      <wp:simplePos x="0" y="0"/>
                      <wp:positionH relativeFrom="column">
                        <wp:posOffset>293370</wp:posOffset>
                      </wp:positionH>
                      <wp:positionV relativeFrom="paragraph">
                        <wp:posOffset>7620</wp:posOffset>
                      </wp:positionV>
                      <wp:extent cx="342900" cy="209550"/>
                      <wp:effectExtent l="0" t="0" r="19050" b="19050"/>
                      <wp:wrapNone/>
                      <wp:docPr id="121" name="Triángulo isósceles 121">
                        <a:extLst xmlns:a="http://schemas.openxmlformats.org/drawingml/2006/main">
                          <a:ext uri="{FF2B5EF4-FFF2-40B4-BE49-F238E27FC236}">
                            <a16:creationId xmlns:a16="http://schemas.microsoft.com/office/drawing/2014/main" id="{96F5739D-2416-490C-962E-E7FCAE743553}"/>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C0F237B" id="Triángulo isósceles 121" o:spid="_x0000_s1026" type="#_x0000_t5" style="position:absolute;margin-left:23.1pt;margin-top:.6pt;width:27pt;height:16.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" fillcolor="red"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F0AC62D" w14:textId="0A2A7B83"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$1.528.970</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1B6191F4"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31%</w:t>
            </w:r>
          </w:p>
        </w:tc>
      </w:tr>
      <w:tr w:rsidR="007765E1" w:rsidRPr="005045BF" w14:paraId="3100917E" w14:textId="77777777" w:rsidTr="008429B7">
        <w:trPr>
          <w:trHeight w:val="810"/>
        </w:trPr>
        <w:tc>
          <w:tcPr>
            <w:tcW w:w="987" w:type="dxa"/>
            <w:vMerge/>
            <w:tcBorders>
              <w:top w:val="nil"/>
              <w:left w:val="nil"/>
              <w:bottom w:val="nil"/>
              <w:right w:val="single" w:sz="8" w:space="0" w:color="FFFFFF"/>
            </w:tcBorders>
            <w:vAlign w:val="center"/>
            <w:hideMark/>
          </w:tcPr>
          <w:p w14:paraId="04774966"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nil"/>
              <w:right w:val="single" w:sz="4" w:space="0" w:color="4F81BD" w:themeColor="accent1"/>
            </w:tcBorders>
            <w:vAlign w:val="center"/>
            <w:hideMark/>
          </w:tcPr>
          <w:p w14:paraId="6F478A5F"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269440D2"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08777C1"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M</w:t>
            </w:r>
            <w:r w:rsidRPr="005045BF">
              <w:rPr>
                <w:rFonts w:ascii="Arial" w:hAnsi="Arial" w:cs="Arial"/>
                <w:color w:val="0F243E" w:themeColor="text2" w:themeShade="80"/>
                <w:sz w:val="20"/>
                <w:szCs w:val="20"/>
                <w:vertAlign w:val="superscript"/>
              </w:rPr>
              <w:t>3</w:t>
            </w:r>
          </w:p>
        </w:tc>
        <w:tc>
          <w:tcPr>
            <w:tcW w:w="139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0809FB30"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1F60C46" w14:textId="5A54557B"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89024" behindDoc="0" locked="0" layoutInCell="1" allowOverlap="1" wp14:anchorId="08A3DA93" wp14:editId="084119E7">
                      <wp:simplePos x="0" y="0"/>
                      <wp:positionH relativeFrom="column">
                        <wp:posOffset>315595</wp:posOffset>
                      </wp:positionH>
                      <wp:positionV relativeFrom="paragraph">
                        <wp:posOffset>33655</wp:posOffset>
                      </wp:positionV>
                      <wp:extent cx="342900" cy="209550"/>
                      <wp:effectExtent l="0" t="0" r="19050" b="19050"/>
                      <wp:wrapNone/>
                      <wp:docPr id="120" name="Triángulo isósceles 120">
                        <a:extLst xmlns:a="http://schemas.openxmlformats.org/drawingml/2006/main">
                          <a:ext uri="{FF2B5EF4-FFF2-40B4-BE49-F238E27FC236}">
                            <a16:creationId xmlns:a16="http://schemas.microsoft.com/office/drawing/2014/main" id="{E72A58BE-04EA-4738-A92C-D535F67D3765}"/>
                          </a:ext>
                        </a:extLst>
                      </wp:docPr>
                      <wp:cNvGraphicFramePr/>
                      <a:graphic xmlns:a="http://schemas.openxmlformats.org/drawingml/2006/main">
                        <a:graphicData uri="http://schemas.microsoft.com/office/word/2010/wordprocessingShape">
                          <wps:wsp>
                            <wps:cNvSpPr/>
                            <wps:spPr>
                              <a:xfrm>
                                <a:off x="0" y="0"/>
                                <a:ext cx="342900"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7096B9" id="Triángulo isósceles 120" o:spid="_x0000_s1026" type="#_x0000_t5" style="position:absolute;margin-left:24.85pt;margin-top:2.65pt;width:27pt;height:16.5pt;z-index:25228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" fillcolor="red"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574196DF"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80 M</w:t>
            </w:r>
            <w:r w:rsidRPr="005045BF">
              <w:rPr>
                <w:rFonts w:ascii="Arial" w:hAnsi="Arial" w:cs="Arial"/>
                <w:b/>
                <w:bCs/>
                <w:color w:val="0F243E" w:themeColor="text2" w:themeShade="80"/>
                <w:sz w:val="20"/>
                <w:szCs w:val="20"/>
                <w:vertAlign w:val="superscript"/>
              </w:rPr>
              <w:t>3</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A45C0C2"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11%</w:t>
            </w:r>
          </w:p>
        </w:tc>
      </w:tr>
      <w:tr w:rsidR="007765E1" w:rsidRPr="005045BF" w14:paraId="07FEAE64" w14:textId="77777777" w:rsidTr="008429B7">
        <w:trPr>
          <w:trHeight w:val="960"/>
        </w:trPr>
        <w:tc>
          <w:tcPr>
            <w:tcW w:w="987" w:type="dxa"/>
            <w:vMerge/>
            <w:tcBorders>
              <w:top w:val="nil"/>
              <w:left w:val="nil"/>
              <w:bottom w:val="nil"/>
              <w:right w:val="single" w:sz="8" w:space="0" w:color="FFFFFF"/>
            </w:tcBorders>
            <w:vAlign w:val="center"/>
            <w:hideMark/>
          </w:tcPr>
          <w:p w14:paraId="7DDA5F65"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nil"/>
              <w:right w:val="single" w:sz="4" w:space="0" w:color="4F81BD" w:themeColor="accent1"/>
            </w:tcBorders>
            <w:vAlign w:val="center"/>
            <w:hideMark/>
          </w:tcPr>
          <w:p w14:paraId="3D8A909D" w14:textId="77777777" w:rsidR="007765E1" w:rsidRPr="005045BF" w:rsidRDefault="007765E1" w:rsidP="007765E1">
            <w:pPr>
              <w:rPr>
                <w:rFonts w:ascii="Arial" w:hAnsi="Arial" w:cs="Arial"/>
                <w:b/>
                <w:bCs/>
                <w:color w:val="FFFFFF"/>
                <w:sz w:val="20"/>
                <w:szCs w:val="20"/>
              </w:rPr>
            </w:pPr>
          </w:p>
        </w:tc>
        <w:tc>
          <w:tcPr>
            <w:tcW w:w="1477"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000000" w:fill="B8CCE4"/>
            <w:vAlign w:val="center"/>
            <w:hideMark/>
          </w:tcPr>
          <w:p w14:paraId="07DAB8AC"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 xml:space="preserve">Ministerio de Hacienda y Crédito Púbico </w:t>
            </w: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6CEB4598"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Valor del Gasto</w:t>
            </w:r>
          </w:p>
        </w:tc>
        <w:tc>
          <w:tcPr>
            <w:tcW w:w="1399" w:type="dxa"/>
            <w:vMerge w:val="restar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18D9D161"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I Trimestre 2020-2019</w:t>
            </w: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77424522" w14:textId="252E5F10" w:rsidR="007765E1" w:rsidRPr="005045BF" w:rsidRDefault="007765E1" w:rsidP="007765E1">
            <w:pPr>
              <w:rPr>
                <w:rFonts w:ascii="Arial" w:hAnsi="Arial" w:cs="Arial"/>
                <w:color w:val="0F243E" w:themeColor="text2" w:themeShade="80"/>
                <w:sz w:val="20"/>
                <w:szCs w:val="20"/>
              </w:rPr>
            </w:pP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446333D2" w14:textId="3BCEDE14"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$2.740.072</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2CC7CC8B"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13%</w:t>
            </w:r>
          </w:p>
        </w:tc>
      </w:tr>
      <w:tr w:rsidR="007765E1" w:rsidRPr="005045BF" w14:paraId="369B4357" w14:textId="77777777" w:rsidTr="008429B7">
        <w:trPr>
          <w:trHeight w:val="930"/>
        </w:trPr>
        <w:tc>
          <w:tcPr>
            <w:tcW w:w="987" w:type="dxa"/>
            <w:vMerge/>
            <w:tcBorders>
              <w:top w:val="nil"/>
              <w:left w:val="nil"/>
              <w:bottom w:val="nil"/>
              <w:right w:val="single" w:sz="8" w:space="0" w:color="FFFFFF"/>
            </w:tcBorders>
            <w:vAlign w:val="center"/>
            <w:hideMark/>
          </w:tcPr>
          <w:p w14:paraId="5074E727" w14:textId="77777777" w:rsidR="007765E1" w:rsidRPr="005045BF" w:rsidRDefault="007765E1" w:rsidP="007765E1">
            <w:pPr>
              <w:rPr>
                <w:rFonts w:ascii="Arial" w:hAnsi="Arial" w:cs="Arial"/>
                <w:b/>
                <w:bCs/>
                <w:color w:val="FFFFFF"/>
                <w:sz w:val="20"/>
                <w:szCs w:val="20"/>
              </w:rPr>
            </w:pPr>
          </w:p>
        </w:tc>
        <w:tc>
          <w:tcPr>
            <w:tcW w:w="743" w:type="dxa"/>
            <w:vMerge/>
            <w:tcBorders>
              <w:top w:val="nil"/>
              <w:left w:val="single" w:sz="8" w:space="0" w:color="FFFFFF"/>
              <w:bottom w:val="nil"/>
              <w:right w:val="single" w:sz="4" w:space="0" w:color="4F81BD" w:themeColor="accent1"/>
            </w:tcBorders>
            <w:vAlign w:val="center"/>
            <w:hideMark/>
          </w:tcPr>
          <w:p w14:paraId="2FD49F2E" w14:textId="77777777" w:rsidR="007765E1" w:rsidRPr="005045BF" w:rsidRDefault="007765E1" w:rsidP="007765E1">
            <w:pPr>
              <w:rPr>
                <w:rFonts w:ascii="Arial" w:hAnsi="Arial" w:cs="Arial"/>
                <w:b/>
                <w:bCs/>
                <w:color w:val="FFFFFF"/>
                <w:sz w:val="20"/>
                <w:szCs w:val="20"/>
              </w:rPr>
            </w:pPr>
          </w:p>
        </w:tc>
        <w:tc>
          <w:tcPr>
            <w:tcW w:w="1477"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hideMark/>
          </w:tcPr>
          <w:p w14:paraId="0AEB83A7" w14:textId="77777777" w:rsidR="007765E1" w:rsidRPr="005045BF" w:rsidRDefault="007765E1" w:rsidP="007765E1">
            <w:pPr>
              <w:rPr>
                <w:rFonts w:ascii="Arial" w:hAnsi="Arial" w:cs="Arial"/>
                <w:color w:val="0F243E" w:themeColor="text2" w:themeShade="80"/>
                <w:sz w:val="20"/>
                <w:szCs w:val="20"/>
              </w:rPr>
            </w:pPr>
          </w:p>
        </w:tc>
        <w:tc>
          <w:tcPr>
            <w:tcW w:w="1504"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08264C47" w14:textId="77777777" w:rsidR="007765E1" w:rsidRPr="005045BF" w:rsidRDefault="007765E1" w:rsidP="007765E1">
            <w:pPr>
              <w:jc w:val="center"/>
              <w:rPr>
                <w:rFonts w:ascii="Arial" w:hAnsi="Arial" w:cs="Arial"/>
                <w:color w:val="0F243E" w:themeColor="text2" w:themeShade="80"/>
                <w:sz w:val="20"/>
                <w:szCs w:val="20"/>
              </w:rPr>
            </w:pPr>
            <w:r w:rsidRPr="005045BF">
              <w:rPr>
                <w:rFonts w:ascii="Arial" w:hAnsi="Arial" w:cs="Arial"/>
                <w:color w:val="0F243E" w:themeColor="text2" w:themeShade="80"/>
                <w:sz w:val="20"/>
                <w:szCs w:val="20"/>
              </w:rPr>
              <w:t>Consumo en M</w:t>
            </w:r>
            <w:r w:rsidRPr="005045BF">
              <w:rPr>
                <w:rFonts w:ascii="Arial" w:hAnsi="Arial" w:cs="Arial"/>
                <w:color w:val="0F243E" w:themeColor="text2" w:themeShade="80"/>
                <w:sz w:val="20"/>
                <w:szCs w:val="20"/>
                <w:vertAlign w:val="superscript"/>
              </w:rPr>
              <w:t>3</w:t>
            </w:r>
          </w:p>
        </w:tc>
        <w:tc>
          <w:tcPr>
            <w:tcW w:w="1399" w:type="dxa"/>
            <w:vMerge/>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4048F285" w14:textId="77777777" w:rsidR="007765E1" w:rsidRPr="005045BF" w:rsidRDefault="007765E1" w:rsidP="007765E1">
            <w:pPr>
              <w:rPr>
                <w:rFonts w:ascii="Arial" w:hAnsi="Arial" w:cs="Arial"/>
                <w:color w:val="0F243E" w:themeColor="text2" w:themeShade="80"/>
                <w:sz w:val="20"/>
                <w:szCs w:val="20"/>
              </w:rPr>
            </w:pPr>
          </w:p>
        </w:tc>
        <w:tc>
          <w:tcPr>
            <w:tcW w:w="1459"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498CB108" w14:textId="27BBD059" w:rsidR="007765E1" w:rsidRPr="005045BF" w:rsidRDefault="007765E1" w:rsidP="007765E1">
            <w:pPr>
              <w:rPr>
                <w:rFonts w:ascii="Arial" w:hAnsi="Arial" w:cs="Arial"/>
                <w:color w:val="0F243E" w:themeColor="text2" w:themeShade="80"/>
                <w:sz w:val="20"/>
                <w:szCs w:val="20"/>
              </w:rPr>
            </w:pP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91072" behindDoc="0" locked="0" layoutInCell="1" allowOverlap="1" wp14:anchorId="034B5912" wp14:editId="3925139D">
                      <wp:simplePos x="0" y="0"/>
                      <wp:positionH relativeFrom="column">
                        <wp:posOffset>312420</wp:posOffset>
                      </wp:positionH>
                      <wp:positionV relativeFrom="paragraph">
                        <wp:posOffset>63500</wp:posOffset>
                      </wp:positionV>
                      <wp:extent cx="342900" cy="200025"/>
                      <wp:effectExtent l="0" t="0" r="19050" b="28575"/>
                      <wp:wrapNone/>
                      <wp:docPr id="84" name="Triángulo isósceles 84">
                        <a:extLst xmlns:a="http://schemas.openxmlformats.org/drawingml/2006/main">
                          <a:ext uri="{FF2B5EF4-FFF2-40B4-BE49-F238E27FC236}">
                            <a16:creationId xmlns:a16="http://schemas.microsoft.com/office/drawing/2014/main" id="{6D9F1835-69E2-4059-BD5E-DB876F1DFA94}"/>
                          </a:ext>
                        </a:extLst>
                      </wp:docPr>
                      <wp:cNvGraphicFramePr/>
                      <a:graphic xmlns:a="http://schemas.openxmlformats.org/drawingml/2006/main">
                        <a:graphicData uri="http://schemas.microsoft.com/office/word/2010/wordprocessingShape">
                          <wps:wsp>
                            <wps:cNvSpPr/>
                            <wps:spPr>
                              <a:xfrm>
                                <a:off x="0" y="0"/>
                                <a:ext cx="342900" cy="200025"/>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A4D1CD6" id="Triángulo isósceles 84" o:spid="_x0000_s1026" type="#_x0000_t5" style="position:absolute;margin-left:24.6pt;margin-top:5pt;width:27pt;height:15.75pt;z-index:25229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" fillcolor="red" strokecolor="#376092" strokeweight="2pt"/>
                  </w:pict>
                </mc:Fallback>
              </mc:AlternateContent>
            </w:r>
            <w:r w:rsidRPr="005045BF">
              <w:rPr>
                <w:rFonts w:ascii="Arial" w:hAnsi="Arial" w:cs="Arial"/>
                <w:noProof/>
                <w:color w:val="0F243E" w:themeColor="text2" w:themeShade="80"/>
                <w:sz w:val="20"/>
                <w:szCs w:val="20"/>
              </w:rPr>
              <mc:AlternateContent>
                <mc:Choice Requires="wps">
                  <w:drawing>
                    <wp:anchor distT="0" distB="0" distL="114300" distR="114300" simplePos="0" relativeHeight="252290048" behindDoc="0" locked="0" layoutInCell="1" allowOverlap="1" wp14:anchorId="1104E17E" wp14:editId="11C7CB55">
                      <wp:simplePos x="0" y="0"/>
                      <wp:positionH relativeFrom="column">
                        <wp:posOffset>310515</wp:posOffset>
                      </wp:positionH>
                      <wp:positionV relativeFrom="paragraph">
                        <wp:posOffset>-522605</wp:posOffset>
                      </wp:positionV>
                      <wp:extent cx="352425" cy="209550"/>
                      <wp:effectExtent l="0" t="0" r="28575" b="19050"/>
                      <wp:wrapNone/>
                      <wp:docPr id="119" name="Triángulo isósceles 119">
                        <a:extLst xmlns:a="http://schemas.openxmlformats.org/drawingml/2006/main">
                          <a:ext uri="{FF2B5EF4-FFF2-40B4-BE49-F238E27FC236}">
                            <a16:creationId xmlns:a16="http://schemas.microsoft.com/office/drawing/2014/main" id="{52296DD3-64A7-4D9C-AA11-B6B58EA93357}"/>
                          </a:ext>
                        </a:extLst>
                      </wp:docPr>
                      <wp:cNvGraphicFramePr/>
                      <a:graphic xmlns:a="http://schemas.openxmlformats.org/drawingml/2006/main">
                        <a:graphicData uri="http://schemas.microsoft.com/office/word/2010/wordprocessingShape">
                          <wps:wsp>
                            <wps:cNvSpPr/>
                            <wps:spPr>
                              <a:xfrm>
                                <a:off x="0" y="0"/>
                                <a:ext cx="352425" cy="209550"/>
                              </a:xfrm>
                              <a:prstGeom prst="triangle">
                                <a:avLst/>
                              </a:prstGeom>
                              <a:solidFill>
                                <a:srgbClr val="FF0000"/>
                              </a:solidFill>
                              <a:ln w="25400" cap="flat" cmpd="sng" algn="ctr">
                                <a:solidFill>
                                  <a:srgbClr val="4F81BD">
                                    <a:lumMod val="75000"/>
                                  </a:srgbClr>
                                </a:solidFill>
                                <a:prstDash val="solid"/>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90F72C" id="Triángulo isósceles 119" o:spid="_x0000_s1026" type="#_x0000_t5" style="position:absolute;margin-left:24.45pt;margin-top:-41.15pt;width:27.75pt;height:16.5pt;z-index:25229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" fillcolor="red" strokecolor="#376092" strokeweight="2pt"/>
                  </w:pict>
                </mc:Fallback>
              </mc:AlternateConten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B8CCE4" w:themeFill="accent1" w:themeFillTint="66"/>
            <w:vAlign w:val="center"/>
            <w:hideMark/>
          </w:tcPr>
          <w:p w14:paraId="35705C25"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310 M</w:t>
            </w:r>
            <w:r w:rsidRPr="005045BF">
              <w:rPr>
                <w:rFonts w:ascii="Arial" w:hAnsi="Arial" w:cs="Arial"/>
                <w:b/>
                <w:bCs/>
                <w:color w:val="0F243E" w:themeColor="text2" w:themeShade="80"/>
                <w:sz w:val="20"/>
                <w:szCs w:val="20"/>
                <w:vertAlign w:val="superscript"/>
              </w:rPr>
              <w:t>3</w:t>
            </w:r>
          </w:p>
        </w:tc>
        <w:tc>
          <w:tcPr>
            <w:tcW w:w="0" w:type="auto"/>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DBE5F1" w:themeFill="accent1" w:themeFillTint="33"/>
            <w:vAlign w:val="center"/>
            <w:hideMark/>
          </w:tcPr>
          <w:p w14:paraId="328BC1EC" w14:textId="77777777" w:rsidR="007765E1" w:rsidRPr="005045BF" w:rsidRDefault="007765E1" w:rsidP="007765E1">
            <w:pPr>
              <w:jc w:val="center"/>
              <w:rPr>
                <w:rFonts w:ascii="Arial" w:hAnsi="Arial" w:cs="Arial"/>
                <w:b/>
                <w:bCs/>
                <w:color w:val="0F243E" w:themeColor="text2" w:themeShade="80"/>
                <w:sz w:val="20"/>
                <w:szCs w:val="20"/>
              </w:rPr>
            </w:pPr>
            <w:r w:rsidRPr="005045BF">
              <w:rPr>
                <w:rFonts w:ascii="Arial" w:hAnsi="Arial" w:cs="Arial"/>
                <w:b/>
                <w:bCs/>
                <w:color w:val="0F243E" w:themeColor="text2" w:themeShade="80"/>
                <w:sz w:val="20"/>
                <w:szCs w:val="20"/>
              </w:rPr>
              <w:t>7%</w:t>
            </w:r>
          </w:p>
        </w:tc>
      </w:tr>
    </w:tbl>
    <w:p w14:paraId="2A0D4672" w14:textId="77777777" w:rsidR="00C836A3" w:rsidRPr="005045BF" w:rsidRDefault="00C836A3" w:rsidP="00533A64">
      <w:pPr>
        <w:tabs>
          <w:tab w:val="left" w:pos="5528"/>
        </w:tabs>
      </w:pPr>
    </w:p>
    <w:sectPr w:rsidR="00C836A3" w:rsidRPr="005045BF" w:rsidSect="00CF788D">
      <w:headerReference w:type="default" r:id="rId47"/>
      <w:footerReference w:type="default" r:id="rId48"/>
      <w:pgSz w:w="12240" w:h="15840" w:code="1"/>
      <w:pgMar w:top="1276" w:right="1183" w:bottom="1134" w:left="1418"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4DD69" w14:textId="77777777" w:rsidR="007D0D93" w:rsidRDefault="007D0D93">
      <w:r>
        <w:separator/>
      </w:r>
    </w:p>
  </w:endnote>
  <w:endnote w:type="continuationSeparator" w:id="0">
    <w:p w14:paraId="6DC444BC" w14:textId="77777777" w:rsidR="007D0D93" w:rsidRDefault="007D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haroni">
    <w:charset w:val="B1"/>
    <w:family w:val="auto"/>
    <w:pitch w:val="variable"/>
    <w:sig w:usb0="00000803" w:usb1="00000000" w:usb2="00000000" w:usb3="00000000" w:csb0="00000021"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74209491"/>
      <w:docPartObj>
        <w:docPartGallery w:val="Page Numbers (Bottom of Page)"/>
        <w:docPartUnique/>
      </w:docPartObj>
    </w:sdtPr>
    <w:sdtContent>
      <w:p w14:paraId="2E95A917" w14:textId="124407E3" w:rsidR="005A4E9D" w:rsidRDefault="005A4E9D">
        <w:pPr>
          <w:pStyle w:val="Piedepgina"/>
          <w:jc w:val="right"/>
        </w:pPr>
        <w:r>
          <w:fldChar w:fldCharType="begin"/>
        </w:r>
        <w:r>
          <w:instrText>PAGE   \* MERGEFORMAT</w:instrText>
        </w:r>
        <w:r>
          <w:fldChar w:fldCharType="separate"/>
        </w:r>
        <w:r w:rsidRPr="003F456A">
          <w:rPr>
            <w:noProof/>
            <w:lang w:val="es-ES"/>
          </w:rPr>
          <w:t>72</w:t>
        </w:r>
        <w:r>
          <w:fldChar w:fldCharType="end"/>
        </w:r>
      </w:p>
    </w:sdtContent>
  </w:sdt>
  <w:p w14:paraId="3E84B5D7" w14:textId="59E45CE3" w:rsidR="005A4E9D" w:rsidRPr="00D7149B" w:rsidRDefault="005A4E9D" w:rsidP="001E7A32">
    <w:pPr>
      <w:pStyle w:val="Piedepgina"/>
      <w:pBdr>
        <w:top w:val="thickThinSmallGap" w:sz="24" w:space="1" w:color="auto"/>
      </w:pBdr>
      <w:tabs>
        <w:tab w:val="right" w:pos="9240"/>
      </w:tabs>
      <w:ind w:right="360"/>
      <w:rPr>
        <w:rFonts w:ascii="Arial" w:hAnsi="Arial" w:cs="Arial"/>
        <w:b/>
        <w:color w:val="000000" w:themeColor="text1"/>
        <w:sz w:val="22"/>
        <w:szCs w:val="22"/>
      </w:rPr>
    </w:pPr>
    <w:r w:rsidRPr="00D93B49">
      <w:rPr>
        <w:rFonts w:ascii="Arial" w:hAnsi="Arial" w:cs="Arial"/>
        <w:b/>
        <w:snapToGrid w:val="0"/>
        <w:sz w:val="22"/>
        <w:szCs w:val="22"/>
      </w:rPr>
      <w:t xml:space="preserve">Oficina de Control </w:t>
    </w:r>
    <w:r w:rsidRPr="00D7149B">
      <w:rPr>
        <w:rFonts w:ascii="Arial" w:hAnsi="Arial" w:cs="Arial"/>
        <w:b/>
        <w:snapToGrid w:val="0"/>
        <w:color w:val="000000" w:themeColor="text1"/>
        <w:sz w:val="22"/>
        <w:szCs w:val="22"/>
      </w:rPr>
      <w:t xml:space="preserve">Interno               </w:t>
    </w:r>
    <w:r w:rsidRPr="00D7149B">
      <w:rPr>
        <w:rFonts w:ascii="Arial" w:hAnsi="Arial" w:cs="Arial"/>
        <w:color w:val="000000" w:themeColor="text1"/>
        <w:sz w:val="22"/>
        <w:szCs w:val="22"/>
      </w:rPr>
      <w:t xml:space="preserve">       </w:t>
    </w:r>
    <w:r w:rsidRPr="00D7149B">
      <w:rPr>
        <w:rFonts w:ascii="Arial" w:hAnsi="Arial" w:cs="Arial"/>
        <w:b/>
        <w:color w:val="000000" w:themeColor="text1"/>
        <w:sz w:val="22"/>
        <w:szCs w:val="22"/>
      </w:rPr>
      <w:t>Informe 20</w:t>
    </w:r>
    <w:r>
      <w:rPr>
        <w:rFonts w:ascii="Arial" w:hAnsi="Arial" w:cs="Arial"/>
        <w:b/>
        <w:color w:val="000000" w:themeColor="text1"/>
        <w:sz w:val="22"/>
        <w:szCs w:val="22"/>
      </w:rPr>
      <w:t>20</w:t>
    </w:r>
    <w:r w:rsidRPr="00D7149B">
      <w:rPr>
        <w:rFonts w:ascii="Arial" w:hAnsi="Arial" w:cs="Arial"/>
        <w:b/>
        <w:color w:val="000000" w:themeColor="text1"/>
        <w:sz w:val="22"/>
        <w:szCs w:val="22"/>
      </w:rPr>
      <w:t xml:space="preserve">-ARL- </w:t>
    </w:r>
    <w:r w:rsidR="00733A64">
      <w:rPr>
        <w:rFonts w:ascii="Arial" w:hAnsi="Arial" w:cs="Arial"/>
        <w:b/>
        <w:color w:val="000000" w:themeColor="text1"/>
        <w:sz w:val="22"/>
        <w:szCs w:val="22"/>
      </w:rPr>
      <w:t>45</w:t>
    </w:r>
    <w:r>
      <w:rPr>
        <w:rFonts w:ascii="Arial" w:hAnsi="Arial" w:cs="Arial"/>
        <w:b/>
        <w:color w:val="000000" w:themeColor="text1"/>
        <w:sz w:val="22"/>
        <w:szCs w:val="22"/>
      </w:rPr>
      <w:t xml:space="preserve"> </w:t>
    </w:r>
    <w:r w:rsidR="00733A64">
      <w:rPr>
        <w:rFonts w:ascii="Arial" w:hAnsi="Arial" w:cs="Arial"/>
        <w:b/>
        <w:color w:val="000000" w:themeColor="text1"/>
        <w:sz w:val="22"/>
        <w:szCs w:val="22"/>
      </w:rPr>
      <w:t>del</w:t>
    </w:r>
    <w:r w:rsidRPr="00D7149B">
      <w:rPr>
        <w:rFonts w:ascii="Arial" w:hAnsi="Arial" w:cs="Arial"/>
        <w:b/>
        <w:color w:val="000000" w:themeColor="text1"/>
        <w:sz w:val="22"/>
        <w:szCs w:val="22"/>
      </w:rPr>
      <w:t xml:space="preserve"> </w:t>
    </w:r>
    <w:r w:rsidR="00733A64">
      <w:rPr>
        <w:rFonts w:ascii="Arial" w:hAnsi="Arial" w:cs="Arial"/>
        <w:b/>
        <w:color w:val="000000" w:themeColor="text1"/>
        <w:sz w:val="22"/>
        <w:szCs w:val="22"/>
      </w:rPr>
      <w:t xml:space="preserve">15 </w:t>
    </w:r>
    <w:r w:rsidR="00733A64" w:rsidRPr="00D7149B">
      <w:rPr>
        <w:rFonts w:ascii="Arial" w:hAnsi="Arial" w:cs="Arial"/>
        <w:b/>
        <w:color w:val="000000" w:themeColor="text1"/>
        <w:sz w:val="22"/>
        <w:szCs w:val="22"/>
      </w:rPr>
      <w:t xml:space="preserve">de </w:t>
    </w:r>
    <w:r w:rsidR="00733A64">
      <w:rPr>
        <w:rFonts w:ascii="Arial" w:hAnsi="Arial" w:cs="Arial"/>
        <w:b/>
        <w:color w:val="000000" w:themeColor="text1"/>
        <w:sz w:val="22"/>
        <w:szCs w:val="22"/>
      </w:rPr>
      <w:t>julio</w:t>
    </w:r>
    <w:r>
      <w:rPr>
        <w:rFonts w:ascii="Arial" w:hAnsi="Arial" w:cs="Arial"/>
        <w:b/>
        <w:color w:val="000000" w:themeColor="text1"/>
        <w:sz w:val="22"/>
        <w:szCs w:val="22"/>
      </w:rPr>
      <w:t xml:space="preserve"> </w:t>
    </w:r>
    <w:r w:rsidRPr="00D7149B">
      <w:rPr>
        <w:rFonts w:ascii="Arial" w:hAnsi="Arial" w:cs="Arial"/>
        <w:b/>
        <w:color w:val="000000" w:themeColor="text1"/>
        <w:sz w:val="22"/>
        <w:szCs w:val="22"/>
      </w:rPr>
      <w:t xml:space="preserve">de 2020 </w:t>
    </w:r>
    <w:r w:rsidRPr="00D7149B">
      <w:rPr>
        <w:rFonts w:ascii="Arial" w:hAnsi="Arial" w:cs="Arial"/>
        <w:color w:val="000000" w:themeColor="text1"/>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14AFC" w14:textId="77777777" w:rsidR="007D0D93" w:rsidRDefault="007D0D93">
      <w:r>
        <w:separator/>
      </w:r>
    </w:p>
  </w:footnote>
  <w:footnote w:type="continuationSeparator" w:id="0">
    <w:p w14:paraId="0972B72C" w14:textId="77777777" w:rsidR="007D0D93" w:rsidRDefault="007D0D93">
      <w:r>
        <w:continuationSeparator/>
      </w:r>
    </w:p>
  </w:footnote>
  <w:footnote w:id="1">
    <w:p w14:paraId="3998AA40" w14:textId="4CF710B7" w:rsidR="005A4E9D" w:rsidRPr="0073297F" w:rsidRDefault="005A4E9D">
      <w:pPr>
        <w:pStyle w:val="Textonotapie"/>
        <w:rPr>
          <w:rFonts w:ascii="Arial" w:hAnsi="Arial" w:cs="Arial"/>
          <w:sz w:val="18"/>
          <w:szCs w:val="18"/>
        </w:rPr>
      </w:pPr>
      <w:r>
        <w:rPr>
          <w:rStyle w:val="Refdenotaalpie"/>
        </w:rPr>
        <w:footnoteRef/>
      </w:r>
      <w:r>
        <w:t xml:space="preserve"> </w:t>
      </w:r>
      <w:r w:rsidRPr="0073297F">
        <w:rPr>
          <w:rFonts w:ascii="Arial" w:hAnsi="Arial" w:cs="Arial"/>
          <w:sz w:val="18"/>
          <w:szCs w:val="18"/>
        </w:rPr>
        <w:t>Ley 2008 de 2019, artículo 69. «Plan de Austeridad del Gasto. El Gobierno nacional reglamentará mediante Decreto un Plan de Austeridad del gasto durante la vigencia fiscal de 2020 para los órganos que hacen parte del Presupuesto General de la Nación. Dichos órganos presentarán un informe al respecto, de manera semestral».</w:t>
      </w:r>
    </w:p>
  </w:footnote>
  <w:footnote w:id="2">
    <w:p w14:paraId="0CD85087" w14:textId="07830A40" w:rsidR="005A4E9D" w:rsidRPr="008902C0" w:rsidRDefault="005A4E9D">
      <w:pPr>
        <w:pStyle w:val="Textonotapie"/>
        <w:rPr>
          <w:rFonts w:ascii="Arial" w:hAnsi="Arial" w:cs="Arial"/>
          <w:i/>
          <w:iCs/>
          <w:sz w:val="18"/>
          <w:szCs w:val="18"/>
        </w:rPr>
      </w:pPr>
      <w:r w:rsidRPr="008902C0">
        <w:rPr>
          <w:rStyle w:val="Refdenotaalpie"/>
          <w:i/>
          <w:iCs/>
        </w:rPr>
        <w:footnoteRef/>
      </w:r>
      <w:r w:rsidRPr="008902C0">
        <w:rPr>
          <w:i/>
          <w:iCs/>
        </w:rPr>
        <w:t xml:space="preserve"> L</w:t>
      </w:r>
      <w:r w:rsidRPr="008902C0">
        <w:rPr>
          <w:rFonts w:ascii="Arial" w:hAnsi="Arial" w:cs="Arial"/>
          <w:i/>
          <w:iCs/>
          <w:sz w:val="18"/>
          <w:szCs w:val="18"/>
          <w:shd w:val="clear" w:color="auto" w:fill="FFFFFF"/>
        </w:rPr>
        <w:t>a variación porcentual representa la diferencia entre un valor pasado y uno presente en términos de un porcentaje del valor pasado. La ecuación a utilizar es </w:t>
      </w:r>
      <w:r w:rsidRPr="008902C0">
        <w:rPr>
          <w:rFonts w:ascii="Arial" w:hAnsi="Arial" w:cs="Arial"/>
          <w:b/>
          <w:bCs/>
          <w:i/>
          <w:iCs/>
          <w:sz w:val="18"/>
          <w:szCs w:val="18"/>
          <w:shd w:val="clear" w:color="auto" w:fill="FFFFFF"/>
        </w:rPr>
        <w:t>((V</w:t>
      </w:r>
      <w:r w:rsidRPr="008902C0">
        <w:rPr>
          <w:rFonts w:ascii="Arial" w:hAnsi="Arial" w:cs="Arial"/>
          <w:b/>
          <w:bCs/>
          <w:i/>
          <w:iCs/>
          <w:sz w:val="18"/>
          <w:szCs w:val="18"/>
          <w:shd w:val="clear" w:color="auto" w:fill="FFFFFF"/>
          <w:vertAlign w:val="subscript"/>
        </w:rPr>
        <w:t>2</w:t>
      </w:r>
      <w:r w:rsidRPr="008902C0">
        <w:rPr>
          <w:rFonts w:ascii="Arial" w:hAnsi="Arial" w:cs="Arial"/>
          <w:b/>
          <w:bCs/>
          <w:i/>
          <w:iCs/>
          <w:sz w:val="18"/>
          <w:szCs w:val="18"/>
          <w:shd w:val="clear" w:color="auto" w:fill="FFFFFF"/>
        </w:rPr>
        <w:t> - V</w:t>
      </w:r>
      <w:r w:rsidRPr="008902C0">
        <w:rPr>
          <w:rFonts w:ascii="Arial" w:hAnsi="Arial" w:cs="Arial"/>
          <w:b/>
          <w:bCs/>
          <w:i/>
          <w:iCs/>
          <w:sz w:val="18"/>
          <w:szCs w:val="18"/>
          <w:shd w:val="clear" w:color="auto" w:fill="FFFFFF"/>
          <w:vertAlign w:val="subscript"/>
        </w:rPr>
        <w:t>1</w:t>
      </w:r>
      <w:r w:rsidRPr="008902C0">
        <w:rPr>
          <w:rFonts w:ascii="Arial" w:hAnsi="Arial" w:cs="Arial"/>
          <w:b/>
          <w:bCs/>
          <w:i/>
          <w:iCs/>
          <w:sz w:val="18"/>
          <w:szCs w:val="18"/>
          <w:shd w:val="clear" w:color="auto" w:fill="FFFFFF"/>
        </w:rPr>
        <w:t>) / V</w:t>
      </w:r>
      <w:r w:rsidRPr="008902C0">
        <w:rPr>
          <w:rFonts w:ascii="Arial" w:hAnsi="Arial" w:cs="Arial"/>
          <w:b/>
          <w:bCs/>
          <w:i/>
          <w:iCs/>
          <w:sz w:val="18"/>
          <w:szCs w:val="18"/>
          <w:shd w:val="clear" w:color="auto" w:fill="FFFFFF"/>
          <w:vertAlign w:val="subscript"/>
        </w:rPr>
        <w:t>1</w:t>
      </w:r>
      <w:r w:rsidRPr="008902C0">
        <w:rPr>
          <w:rFonts w:ascii="Arial" w:hAnsi="Arial" w:cs="Arial"/>
          <w:b/>
          <w:bCs/>
          <w:i/>
          <w:iCs/>
          <w:sz w:val="18"/>
          <w:szCs w:val="18"/>
          <w:shd w:val="clear" w:color="auto" w:fill="FFFFFF"/>
        </w:rPr>
        <w:t>) × 100</w:t>
      </w:r>
      <w:r w:rsidRPr="008902C0">
        <w:rPr>
          <w:rFonts w:ascii="Arial" w:hAnsi="Arial" w:cs="Arial"/>
          <w:i/>
          <w:iCs/>
          <w:sz w:val="18"/>
          <w:szCs w:val="18"/>
          <w:shd w:val="clear" w:color="auto" w:fill="FFFFFF"/>
        </w:rPr>
        <w:t> en la cual V</w:t>
      </w:r>
      <w:r w:rsidRPr="008902C0">
        <w:rPr>
          <w:rFonts w:ascii="Arial" w:hAnsi="Arial" w:cs="Arial"/>
          <w:i/>
          <w:iCs/>
          <w:sz w:val="18"/>
          <w:szCs w:val="18"/>
          <w:shd w:val="clear" w:color="auto" w:fill="FFFFFF"/>
          <w:vertAlign w:val="subscript"/>
        </w:rPr>
        <w:t>1</w:t>
      </w:r>
      <w:r w:rsidRPr="008902C0">
        <w:rPr>
          <w:rFonts w:ascii="Arial" w:hAnsi="Arial" w:cs="Arial"/>
          <w:i/>
          <w:iCs/>
          <w:sz w:val="18"/>
          <w:szCs w:val="18"/>
          <w:shd w:val="clear" w:color="auto" w:fill="FFFFFF"/>
        </w:rPr>
        <w:t> representa al valor pasado o inicial y V</w:t>
      </w:r>
      <w:r w:rsidRPr="008902C0">
        <w:rPr>
          <w:rFonts w:ascii="Arial" w:hAnsi="Arial" w:cs="Arial"/>
          <w:i/>
          <w:iCs/>
          <w:sz w:val="18"/>
          <w:szCs w:val="18"/>
          <w:shd w:val="clear" w:color="auto" w:fill="FFFFFF"/>
          <w:vertAlign w:val="subscript"/>
        </w:rPr>
        <w:t>2</w:t>
      </w:r>
      <w:r w:rsidRPr="008902C0">
        <w:rPr>
          <w:rFonts w:ascii="Arial" w:hAnsi="Arial" w:cs="Arial"/>
          <w:i/>
          <w:iCs/>
          <w:sz w:val="18"/>
          <w:szCs w:val="18"/>
          <w:shd w:val="clear" w:color="auto" w:fill="FFFFFF"/>
        </w:rPr>
        <w:t> representa al valor presente o final.</w:t>
      </w:r>
    </w:p>
  </w:footnote>
  <w:footnote w:id="3">
    <w:p w14:paraId="58BAD6A4" w14:textId="77777777" w:rsidR="005A4E9D" w:rsidRPr="00F77A37" w:rsidRDefault="005A4E9D" w:rsidP="00B168E3">
      <w:pPr>
        <w:spacing w:line="247" w:lineRule="auto"/>
        <w:jc w:val="both"/>
        <w:rPr>
          <w:i/>
          <w:color w:val="000000" w:themeColor="text1"/>
          <w:sz w:val="20"/>
          <w:szCs w:val="20"/>
        </w:rPr>
      </w:pPr>
      <w:r>
        <w:rPr>
          <w:rStyle w:val="Refdenotaalpie"/>
        </w:rPr>
        <w:footnoteRef/>
      </w:r>
      <w:r>
        <w:t xml:space="preserve"> </w:t>
      </w:r>
      <w:r w:rsidRPr="00537AC0">
        <w:rPr>
          <w:rFonts w:cs="Arial"/>
          <w:color w:val="000000" w:themeColor="text1"/>
          <w:sz w:val="20"/>
          <w:szCs w:val="20"/>
        </w:rPr>
        <w:t>«</w:t>
      </w:r>
      <w:r w:rsidRPr="006C0FF8">
        <w:rPr>
          <w:rFonts w:ascii="Arial" w:hAnsi="Arial" w:cs="Arial"/>
          <w:i/>
          <w:color w:val="000000" w:themeColor="text1"/>
          <w:sz w:val="20"/>
          <w:szCs w:val="20"/>
        </w:rPr>
        <w:t>Por la cual se recopilan y modifican las normas que regulan algunas situaciones administrativas y se dictan otras disposiciones</w:t>
      </w:r>
      <w:r w:rsidRPr="00537AC0">
        <w:rPr>
          <w:rFonts w:cs="Arial"/>
          <w:i/>
          <w:color w:val="000000" w:themeColor="text1"/>
          <w:sz w:val="20"/>
          <w:szCs w:val="20"/>
        </w:rPr>
        <w:t>»</w:t>
      </w:r>
      <w:r>
        <w:rPr>
          <w:i/>
          <w:color w:val="000000" w:themeColor="text1"/>
          <w:sz w:val="20"/>
          <w:szCs w:val="20"/>
        </w:rPr>
        <w:t>.</w:t>
      </w:r>
    </w:p>
  </w:footnote>
  <w:footnote w:id="4">
    <w:p w14:paraId="7F81CDDB" w14:textId="6DD3226F" w:rsidR="005A4E9D" w:rsidRPr="007B5809" w:rsidRDefault="005A4E9D" w:rsidP="007B5809">
      <w:pPr>
        <w:jc w:val="both"/>
        <w:rPr>
          <w:rFonts w:ascii="Arial" w:hAnsi="Arial" w:cs="Arial"/>
          <w:color w:val="000000" w:themeColor="text1"/>
          <w:sz w:val="18"/>
          <w:szCs w:val="18"/>
        </w:rPr>
      </w:pPr>
      <w:r w:rsidRPr="00F24B38">
        <w:rPr>
          <w:rStyle w:val="Refdenotaalpie"/>
          <w:rFonts w:ascii="Arial" w:hAnsi="Arial" w:cs="Arial"/>
          <w:sz w:val="16"/>
          <w:szCs w:val="16"/>
        </w:rPr>
        <w:footnoteRef/>
      </w:r>
      <w:r w:rsidRPr="00F24B38">
        <w:rPr>
          <w:rFonts w:ascii="Arial" w:hAnsi="Arial" w:cs="Arial"/>
          <w:sz w:val="16"/>
          <w:szCs w:val="16"/>
        </w:rPr>
        <w:t xml:space="preserve"> </w:t>
      </w:r>
      <w:r w:rsidRPr="007B5809">
        <w:rPr>
          <w:rFonts w:ascii="Arial" w:hAnsi="Arial" w:cs="Arial"/>
          <w:color w:val="000000" w:themeColor="text1"/>
          <w:sz w:val="18"/>
          <w:szCs w:val="18"/>
        </w:rPr>
        <w:t xml:space="preserve">SJ: Subdirección Jurídica, DT: Dirección de Tecnología, DM: Despacho de Ministro, DGPPN: Dirección General de Presupuesto Público Nacional, DGCPTN: Dirección General de Crédito Público y Tesoro Nacional, DGRESS: Dirección General de Regulación Económica y Seguridad Social. DGPE: Dirección General de Participaciones Estatales, DPM: Dirección General de Política Macroeconómica, OCDI: Oficina de Control Interno Disciplinario, DGPM: Dirección General de Política Macroeconómica, DA: Dirección Administrativa, OAJ; Oficina Asesora Jurídica, OAP: Oficina Asesora de Planeación, OCI: Oficina de Control Interno, SG: Secretaría General, SFOM: Subdirección de Financiamiento don Organismos Multilaterales, SS, Subdirección de Servicios, DVT: Despacho Viceministerio Técnico, SART: Subdirección de Administración de Recursos Tecnológico, SIS: Subdirección de Ingeniería de Software, GLPE: Grupo de Licitaciones y Procesos Especiales, SR: Subdirección de Riesgos, SAPP: Subdirección de Asociación Público Privada, SO: Subdirección  de Operaciones. </w:t>
      </w:r>
    </w:p>
    <w:p w14:paraId="4CC17FB4" w14:textId="49126BE6" w:rsidR="005A4E9D" w:rsidRPr="007B5809" w:rsidRDefault="005A4E9D" w:rsidP="00E02562">
      <w:pPr>
        <w:jc w:val="both"/>
        <w:rPr>
          <w:rFonts w:ascii="Arial" w:hAnsi="Arial" w:cs="Arial"/>
          <w:color w:val="000000" w:themeColor="text1"/>
          <w:sz w:val="18"/>
          <w:szCs w:val="18"/>
        </w:rPr>
      </w:pPr>
    </w:p>
  </w:footnote>
  <w:footnote w:id="5">
    <w:p w14:paraId="130A74F7" w14:textId="56CD6832" w:rsidR="005A4E9D" w:rsidRPr="00C93A90" w:rsidRDefault="005A4E9D">
      <w:pPr>
        <w:pStyle w:val="Textonotapie"/>
        <w:rPr>
          <w:rFonts w:ascii="Arial" w:hAnsi="Arial" w:cs="Arial"/>
        </w:rPr>
      </w:pPr>
      <w:r w:rsidRPr="00C93A90">
        <w:rPr>
          <w:rStyle w:val="Refdenotaalpie"/>
          <w:rFonts w:ascii="Arial" w:hAnsi="Arial" w:cs="Arial"/>
        </w:rPr>
        <w:footnoteRef/>
      </w:r>
      <w:r w:rsidRPr="00C93A90">
        <w:rPr>
          <w:rFonts w:ascii="Arial" w:hAnsi="Arial" w:cs="Arial"/>
        </w:rPr>
        <w:t xml:space="preserve"> Los viáticos autorizados para los contratistas son catalogados como gastos de desplazamiento. </w:t>
      </w:r>
    </w:p>
  </w:footnote>
  <w:footnote w:id="6">
    <w:p w14:paraId="06A03E8E" w14:textId="2AB4208F" w:rsidR="005A4E9D" w:rsidRPr="00E80C10" w:rsidRDefault="005A4E9D">
      <w:pPr>
        <w:pStyle w:val="Textonotapie"/>
        <w:rPr>
          <w:rFonts w:ascii="Arial" w:hAnsi="Arial" w:cs="Arial"/>
          <w:sz w:val="18"/>
          <w:szCs w:val="18"/>
        </w:rPr>
      </w:pPr>
      <w:r>
        <w:rPr>
          <w:rStyle w:val="Refdenotaalpie"/>
        </w:rPr>
        <w:footnoteRef/>
      </w:r>
      <w:r>
        <w:t xml:space="preserve"> </w:t>
      </w:r>
      <w:r w:rsidRPr="00E80C10">
        <w:rPr>
          <w:rFonts w:ascii="Arial" w:hAnsi="Arial" w:cs="Arial"/>
          <w:sz w:val="18"/>
          <w:szCs w:val="18"/>
        </w:rPr>
        <w:t>DAFP: Departamento Administrativo de la Función Pública, ESAP: Escuela Superior de Administración Pública, CLAD:</w:t>
      </w:r>
      <w:r>
        <w:rPr>
          <w:rFonts w:ascii="Arial" w:hAnsi="Arial" w:cs="Arial"/>
          <w:sz w:val="18"/>
          <w:szCs w:val="18"/>
        </w:rPr>
        <w:t xml:space="preserve"> </w:t>
      </w:r>
      <w:r w:rsidRPr="00E80C10">
        <w:rPr>
          <w:rFonts w:ascii="Arial" w:hAnsi="Arial" w:cs="Arial"/>
          <w:sz w:val="18"/>
          <w:szCs w:val="18"/>
        </w:rPr>
        <w:t xml:space="preserve">Centro Latinoamericano de Administración para el Desarrollo </w:t>
      </w:r>
    </w:p>
  </w:footnote>
  <w:footnote w:id="7">
    <w:p w14:paraId="49EF5C38" w14:textId="77777777" w:rsidR="005A4E9D" w:rsidRPr="00C66A1E" w:rsidRDefault="005A4E9D" w:rsidP="008B5569">
      <w:pPr>
        <w:pStyle w:val="Textonotapie"/>
        <w:spacing w:after="120"/>
        <w:rPr>
          <w:rFonts w:ascii="Arial" w:hAnsi="Arial" w:cs="Arial"/>
          <w:color w:val="000000" w:themeColor="text1"/>
        </w:rPr>
      </w:pPr>
      <w:r w:rsidRPr="008B5569">
        <w:rPr>
          <w:rStyle w:val="Refdenotaalpie"/>
          <w:rFonts w:ascii="Arial" w:hAnsi="Arial" w:cs="Arial"/>
          <w:color w:val="000000" w:themeColor="text1"/>
          <w:sz w:val="18"/>
          <w:szCs w:val="18"/>
        </w:rPr>
        <w:footnoteRef/>
      </w:r>
      <w:r w:rsidRPr="008B5569">
        <w:rPr>
          <w:rFonts w:ascii="Arial" w:hAnsi="Arial" w:cs="Arial"/>
          <w:color w:val="000000" w:themeColor="text1"/>
          <w:sz w:val="18"/>
          <w:szCs w:val="18"/>
        </w:rPr>
        <w:t xml:space="preserve"> </w:t>
      </w:r>
      <w:r w:rsidRPr="00C66A1E">
        <w:rPr>
          <w:rFonts w:ascii="Arial" w:hAnsi="Arial" w:cs="Arial"/>
          <w:color w:val="000000" w:themeColor="text1"/>
        </w:rPr>
        <w:t xml:space="preserve">D03: Transitar en sentido contrario al estipulado para la vía, calzada o carril. </w:t>
      </w:r>
    </w:p>
    <w:p w14:paraId="6F1302CB" w14:textId="7947936B" w:rsidR="005A4E9D" w:rsidRPr="00C66A1E" w:rsidRDefault="005A4E9D" w:rsidP="008B5569">
      <w:pPr>
        <w:pStyle w:val="Textonotapie"/>
        <w:ind w:left="142"/>
        <w:rPr>
          <w:rFonts w:ascii="Arial" w:hAnsi="Arial" w:cs="Arial"/>
          <w:color w:val="000000" w:themeColor="text1"/>
        </w:rPr>
      </w:pPr>
      <w:r w:rsidRPr="00C66A1E">
        <w:rPr>
          <w:rFonts w:ascii="Arial" w:hAnsi="Arial" w:cs="Arial"/>
          <w:color w:val="000000" w:themeColor="text1"/>
        </w:rPr>
        <w:t>D05: Conducir un vehículo sobre aceras, plazas, vías peatonales, separadores, bermas, demarcaciones de canalización, zonas verdes o vías especiales para vehículos no motorizados.</w:t>
      </w:r>
    </w:p>
  </w:footnote>
  <w:footnote w:id="8">
    <w:p w14:paraId="4090176C" w14:textId="6BD4394F" w:rsidR="005A4E9D" w:rsidRPr="00E27005" w:rsidRDefault="005A4E9D">
      <w:pPr>
        <w:pStyle w:val="Textonotapie"/>
        <w:rPr>
          <w:rFonts w:ascii="Arial" w:hAnsi="Arial" w:cs="Arial"/>
        </w:rPr>
      </w:pPr>
      <w:r>
        <w:rPr>
          <w:rStyle w:val="Refdenotaalpie"/>
        </w:rPr>
        <w:footnoteRef/>
      </w:r>
      <w:r>
        <w:t xml:space="preserve"> </w:t>
      </w:r>
      <w:r w:rsidRPr="00E27005">
        <w:rPr>
          <w:rFonts w:ascii="Arial" w:hAnsi="Arial" w:cs="Arial"/>
        </w:rPr>
        <w:t xml:space="preserve">Las cantidades de combustible medido en galones fueron aproximadas a la unidad más cercana. </w:t>
      </w:r>
    </w:p>
  </w:footnote>
  <w:footnote w:id="9">
    <w:p w14:paraId="639C3881" w14:textId="3FA35D60" w:rsidR="005A4E9D" w:rsidRDefault="005A4E9D">
      <w:pPr>
        <w:pStyle w:val="Textonotapie"/>
      </w:pPr>
      <w:r>
        <w:rPr>
          <w:rStyle w:val="Refdenotaalpie"/>
        </w:rPr>
        <w:footnoteRef/>
      </w:r>
      <w:r>
        <w:t xml:space="preserve"> </w:t>
      </w:r>
      <w:r w:rsidRPr="00891428">
        <w:rPr>
          <w:rFonts w:ascii="Arial" w:hAnsi="Arial" w:cs="Arial"/>
          <w:color w:val="000000"/>
          <w:sz w:val="18"/>
          <w:szCs w:val="18"/>
        </w:rPr>
        <w:t xml:space="preserve">Dirección Administrativa: DA, Subdirección Jurídica: SJ, Oficina de Bonos Pensionales: OBP, Dirección General de Regulación Económica de La Seguridad Social: DGRESS, Despacho Ministro: DM, Dirección General de Crédito Público Y Tesoro Nacional: DGCPTN, Oficina Asesora de Jurídica: OAJ, Secretaría General: SG, Subdirección de Gobierno, Seguridad y Justicia: SGSJ, Dirección General de Apoyo Fiscal: DAF, Dirección de Tecnología: DT, Subdirección de Competitividad y Desarrollo Sostenible: </w:t>
      </w:r>
      <w:r w:rsidRPr="008238B7">
        <w:rPr>
          <w:rFonts w:ascii="Arial" w:hAnsi="Arial" w:cs="Arial"/>
          <w:color w:val="000000"/>
          <w:sz w:val="18"/>
          <w:szCs w:val="18"/>
        </w:rPr>
        <w:t>SCDS</w:t>
      </w:r>
      <w:r w:rsidRPr="00891428">
        <w:rPr>
          <w:rFonts w:ascii="Arial" w:hAnsi="Arial" w:cs="Arial"/>
          <w:color w:val="000000"/>
          <w:sz w:val="18"/>
          <w:szCs w:val="18"/>
        </w:rPr>
        <w:t xml:space="preserve">, Subdirección de Promoción y Protección Social: </w:t>
      </w:r>
      <w:r w:rsidRPr="008238B7">
        <w:rPr>
          <w:rFonts w:ascii="Arial" w:hAnsi="Arial" w:cs="Arial"/>
          <w:color w:val="000000"/>
          <w:sz w:val="18"/>
          <w:szCs w:val="18"/>
        </w:rPr>
        <w:t>SPPS</w:t>
      </w:r>
      <w:r w:rsidRPr="00891428">
        <w:rPr>
          <w:rFonts w:ascii="Arial" w:hAnsi="Arial" w:cs="Arial"/>
          <w:color w:val="000000"/>
          <w:sz w:val="18"/>
          <w:szCs w:val="18"/>
        </w:rPr>
        <w:t xml:space="preserve">,  Subdirección de Análisis y Consolidación Presupuestal: </w:t>
      </w:r>
      <w:r w:rsidRPr="008238B7">
        <w:rPr>
          <w:rFonts w:ascii="Arial" w:hAnsi="Arial" w:cs="Arial"/>
          <w:color w:val="000000"/>
          <w:sz w:val="18"/>
          <w:szCs w:val="18"/>
        </w:rPr>
        <w:t>SACP</w:t>
      </w:r>
      <w:r w:rsidRPr="00891428">
        <w:rPr>
          <w:rFonts w:ascii="Arial" w:hAnsi="Arial" w:cs="Arial"/>
          <w:color w:val="000000"/>
          <w:sz w:val="18"/>
          <w:szCs w:val="18"/>
        </w:rPr>
        <w:t>, Subdirección de Operaciones: SO</w:t>
      </w:r>
    </w:p>
  </w:footnote>
  <w:footnote w:id="10">
    <w:p w14:paraId="48D6A0D1" w14:textId="77406E59" w:rsidR="005A4E9D" w:rsidRPr="00130C73" w:rsidRDefault="005A4E9D">
      <w:pPr>
        <w:pStyle w:val="Textonotapie"/>
        <w:rPr>
          <w:rFonts w:ascii="Arial" w:hAnsi="Arial" w:cs="Arial"/>
          <w:sz w:val="18"/>
          <w:szCs w:val="18"/>
        </w:rPr>
      </w:pPr>
      <w:r w:rsidRPr="00130C73">
        <w:rPr>
          <w:rStyle w:val="Refdenotaalpie"/>
          <w:rFonts w:ascii="Arial" w:hAnsi="Arial" w:cs="Arial"/>
          <w:sz w:val="18"/>
          <w:szCs w:val="18"/>
        </w:rPr>
        <w:footnoteRef/>
      </w:r>
      <w:r w:rsidRPr="00130C73">
        <w:rPr>
          <w:rFonts w:ascii="Arial" w:hAnsi="Arial" w:cs="Arial"/>
          <w:sz w:val="18"/>
          <w:szCs w:val="18"/>
        </w:rPr>
        <w:t xml:space="preserve"> Enero:  02 de enero al 01 de febrero, Febrero: 02 de febrero al 01 de marzo, Marzo: 02 de marzo al 01 de abril de 2020 y 2019.</w:t>
      </w:r>
    </w:p>
  </w:footnote>
  <w:footnote w:id="11">
    <w:p w14:paraId="4B462C17" w14:textId="375D9633" w:rsidR="005A4E9D" w:rsidRPr="008429B7" w:rsidRDefault="005A4E9D">
      <w:pPr>
        <w:pStyle w:val="Textonotapie"/>
        <w:rPr>
          <w:rFonts w:ascii="Arial" w:hAnsi="Arial" w:cs="Arial"/>
        </w:rPr>
      </w:pPr>
      <w:r>
        <w:rPr>
          <w:rStyle w:val="Refdenotaalpie"/>
        </w:rPr>
        <w:footnoteRef/>
      </w:r>
      <w:r>
        <w:t xml:space="preserve"> </w:t>
      </w:r>
      <w:r w:rsidRPr="008429B7">
        <w:rPr>
          <w:rFonts w:ascii="Arial" w:hAnsi="Arial" w:cs="Arial"/>
        </w:rPr>
        <w:t xml:space="preserve">Las variaciones presentadas </w:t>
      </w:r>
      <w:r>
        <w:rPr>
          <w:rFonts w:ascii="Arial" w:hAnsi="Arial" w:cs="Arial"/>
        </w:rPr>
        <w:t xml:space="preserve">en lo referente </w:t>
      </w:r>
      <w:r w:rsidRPr="008429B7">
        <w:rPr>
          <w:rFonts w:ascii="Arial" w:hAnsi="Arial" w:cs="Arial"/>
        </w:rPr>
        <w:t>al consumo</w:t>
      </w:r>
      <w:r>
        <w:rPr>
          <w:rFonts w:ascii="Arial" w:hAnsi="Arial" w:cs="Arial"/>
        </w:rPr>
        <w:t xml:space="preserve">, </w:t>
      </w:r>
      <w:r w:rsidRPr="008429B7">
        <w:rPr>
          <w:rFonts w:ascii="Arial" w:hAnsi="Arial" w:cs="Arial"/>
        </w:rPr>
        <w:t>corresponde</w:t>
      </w:r>
      <w:r>
        <w:rPr>
          <w:rFonts w:ascii="Arial" w:hAnsi="Arial" w:cs="Arial"/>
        </w:rPr>
        <w:t>n</w:t>
      </w:r>
      <w:r w:rsidRPr="008429B7">
        <w:rPr>
          <w:rFonts w:ascii="Arial" w:hAnsi="Arial" w:cs="Arial"/>
        </w:rPr>
        <w:t xml:space="preserve"> al servicio de acueducto.</w:t>
      </w:r>
      <w:r>
        <w:rPr>
          <w:rFonts w:ascii="Arial" w:hAnsi="Arial" w:cs="Arial"/>
        </w:rPr>
        <w:t xml:space="preserve"> Respecto a las variaciones del valor de gasto presentadas pertenecen a el servicio de acueducto y aseo. </w:t>
      </w:r>
      <w:r w:rsidRPr="008429B7">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1F338" w14:textId="77777777" w:rsidR="005A4E9D" w:rsidRDefault="005A4E9D" w:rsidP="008E44D4">
    <w:pPr>
      <w:pStyle w:val="Encabezado"/>
      <w:tabs>
        <w:tab w:val="left" w:pos="870"/>
      </w:tabs>
      <w:jc w:val="left"/>
    </w:pPr>
    <w:r>
      <w:rPr>
        <w:rFonts w:ascii="Arial" w:eastAsia="Times New Roman" w:hAnsi="Arial" w:cs="Arial"/>
        <w:noProof/>
        <w:color w:val="000000"/>
        <w:sz w:val="20"/>
        <w:szCs w:val="20"/>
        <w:lang w:val="en-US"/>
      </w:rPr>
      <w:drawing>
        <wp:inline distT="0" distB="0" distL="0" distR="0" wp14:anchorId="69E52E25" wp14:editId="18283F66">
          <wp:extent cx="2638425" cy="476250"/>
          <wp:effectExtent l="0" t="0" r="9525" b="0"/>
          <wp:docPr id="5" name="Imagen 5" descr="http://www.minhacienda.gov.co/imagesnew/LogoMinhaciend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inhacienda.gov.co/imagesnew/LogoMinhacienda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3429"/>
    <w:multiLevelType w:val="multilevel"/>
    <w:tmpl w:val="8766F8DC"/>
    <w:lvl w:ilvl="0">
      <w:start w:val="6"/>
      <w:numFmt w:val="decimal"/>
      <w:lvlText w:val="%1."/>
      <w:lvlJc w:val="left"/>
      <w:pPr>
        <w:ind w:left="3905" w:hanging="360"/>
      </w:pPr>
      <w:rPr>
        <w:rFonts w:hint="default"/>
        <w:b/>
        <w:bCs w:val="0"/>
        <w:sz w:val="24"/>
        <w:szCs w:val="24"/>
      </w:rPr>
    </w:lvl>
    <w:lvl w:ilvl="1">
      <w:start w:val="4"/>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EA2A64"/>
    <w:multiLevelType w:val="hybridMultilevel"/>
    <w:tmpl w:val="CE24C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78C2F10"/>
    <w:multiLevelType w:val="multilevel"/>
    <w:tmpl w:val="5BA2BEE6"/>
    <w:lvl w:ilvl="0">
      <w:start w:val="5"/>
      <w:numFmt w:val="decimal"/>
      <w:lvlText w:val="%1."/>
      <w:lvlJc w:val="left"/>
      <w:pPr>
        <w:ind w:left="360" w:hanging="360"/>
      </w:pPr>
      <w:rPr>
        <w:rFonts w:hint="default"/>
      </w:rPr>
    </w:lvl>
    <w:lvl w:ilvl="1">
      <w:start w:val="4"/>
      <w:numFmt w:val="decimal"/>
      <w:lvlText w:val="%1.%2."/>
      <w:lvlJc w:val="left"/>
      <w:pPr>
        <w:ind w:left="795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BCB1608"/>
    <w:multiLevelType w:val="hybridMultilevel"/>
    <w:tmpl w:val="A3B6EED4"/>
    <w:lvl w:ilvl="0" w:tplc="EE70ED90">
      <w:start w:val="1"/>
      <w:numFmt w:val="bullet"/>
      <w:lvlText w:val=""/>
      <w:lvlJc w:val="left"/>
      <w:pPr>
        <w:ind w:left="928" w:hanging="360"/>
      </w:pPr>
      <w:rPr>
        <w:rFonts w:ascii="Arial" w:hAnsi="Arial" w:cs="Arial" w:hint="default"/>
        <w:sz w:val="22"/>
        <w:szCs w:val="22"/>
      </w:rPr>
    </w:lvl>
    <w:lvl w:ilvl="1" w:tplc="240A0003">
      <w:start w:val="1"/>
      <w:numFmt w:val="bullet"/>
      <w:lvlText w:val="o"/>
      <w:lvlJc w:val="left"/>
      <w:pPr>
        <w:ind w:left="192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CD46212"/>
    <w:multiLevelType w:val="multilevel"/>
    <w:tmpl w:val="2C3C5AF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692721"/>
    <w:multiLevelType w:val="hybridMultilevel"/>
    <w:tmpl w:val="75607400"/>
    <w:lvl w:ilvl="0" w:tplc="0409000F">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CB5F71"/>
    <w:multiLevelType w:val="hybridMultilevel"/>
    <w:tmpl w:val="E682D02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EF5464"/>
    <w:multiLevelType w:val="hybridMultilevel"/>
    <w:tmpl w:val="73AE3A7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C220C44"/>
    <w:multiLevelType w:val="hybridMultilevel"/>
    <w:tmpl w:val="570AA27E"/>
    <w:lvl w:ilvl="0" w:tplc="240A0001">
      <w:start w:val="1"/>
      <w:numFmt w:val="bullet"/>
      <w:lvlText w:val=""/>
      <w:lvlJc w:val="left"/>
      <w:pPr>
        <w:ind w:left="360" w:hanging="360"/>
      </w:pPr>
      <w:rPr>
        <w:rFonts w:ascii="Symbol" w:hAnsi="Symbol" w:hint="default"/>
        <w:sz w:val="22"/>
        <w:szCs w:val="22"/>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E5D7CE5"/>
    <w:multiLevelType w:val="hybridMultilevel"/>
    <w:tmpl w:val="627A67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CB3351"/>
    <w:multiLevelType w:val="multilevel"/>
    <w:tmpl w:val="BFD2666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7A1092"/>
    <w:multiLevelType w:val="hybridMultilevel"/>
    <w:tmpl w:val="F59C23F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2" w15:restartNumberingAfterBreak="0">
    <w:nsid w:val="23FB0CBA"/>
    <w:multiLevelType w:val="multilevel"/>
    <w:tmpl w:val="EC12EC5A"/>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37686D"/>
    <w:multiLevelType w:val="hybridMultilevel"/>
    <w:tmpl w:val="0ED6753A"/>
    <w:lvl w:ilvl="0" w:tplc="240A000F">
      <w:start w:val="12"/>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2F712E1A"/>
    <w:multiLevelType w:val="hybridMultilevel"/>
    <w:tmpl w:val="D6C6E2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D16EA"/>
    <w:multiLevelType w:val="hybridMultilevel"/>
    <w:tmpl w:val="9790F638"/>
    <w:lvl w:ilvl="0" w:tplc="240A0001">
      <w:start w:val="1"/>
      <w:numFmt w:val="bullet"/>
      <w:lvlText w:val=""/>
      <w:lvlJc w:val="left"/>
      <w:pPr>
        <w:ind w:left="717" w:hanging="360"/>
      </w:pPr>
      <w:rPr>
        <w:rFonts w:ascii="Symbol" w:hAnsi="Symbol" w:hint="default"/>
      </w:rPr>
    </w:lvl>
    <w:lvl w:ilvl="1" w:tplc="240A0003" w:tentative="1">
      <w:start w:val="1"/>
      <w:numFmt w:val="bullet"/>
      <w:lvlText w:val="o"/>
      <w:lvlJc w:val="left"/>
      <w:pPr>
        <w:ind w:left="1437" w:hanging="360"/>
      </w:pPr>
      <w:rPr>
        <w:rFonts w:ascii="Courier New" w:hAnsi="Courier New" w:cs="Courier New" w:hint="default"/>
      </w:rPr>
    </w:lvl>
    <w:lvl w:ilvl="2" w:tplc="240A0005" w:tentative="1">
      <w:start w:val="1"/>
      <w:numFmt w:val="bullet"/>
      <w:lvlText w:val=""/>
      <w:lvlJc w:val="left"/>
      <w:pPr>
        <w:ind w:left="2157" w:hanging="360"/>
      </w:pPr>
      <w:rPr>
        <w:rFonts w:ascii="Wingdings" w:hAnsi="Wingdings" w:hint="default"/>
      </w:rPr>
    </w:lvl>
    <w:lvl w:ilvl="3" w:tplc="240A0001" w:tentative="1">
      <w:start w:val="1"/>
      <w:numFmt w:val="bullet"/>
      <w:lvlText w:val=""/>
      <w:lvlJc w:val="left"/>
      <w:pPr>
        <w:ind w:left="2877" w:hanging="360"/>
      </w:pPr>
      <w:rPr>
        <w:rFonts w:ascii="Symbol" w:hAnsi="Symbol" w:hint="default"/>
      </w:rPr>
    </w:lvl>
    <w:lvl w:ilvl="4" w:tplc="240A0003" w:tentative="1">
      <w:start w:val="1"/>
      <w:numFmt w:val="bullet"/>
      <w:lvlText w:val="o"/>
      <w:lvlJc w:val="left"/>
      <w:pPr>
        <w:ind w:left="3597" w:hanging="360"/>
      </w:pPr>
      <w:rPr>
        <w:rFonts w:ascii="Courier New" w:hAnsi="Courier New" w:cs="Courier New" w:hint="default"/>
      </w:rPr>
    </w:lvl>
    <w:lvl w:ilvl="5" w:tplc="240A0005" w:tentative="1">
      <w:start w:val="1"/>
      <w:numFmt w:val="bullet"/>
      <w:lvlText w:val=""/>
      <w:lvlJc w:val="left"/>
      <w:pPr>
        <w:ind w:left="4317" w:hanging="360"/>
      </w:pPr>
      <w:rPr>
        <w:rFonts w:ascii="Wingdings" w:hAnsi="Wingdings" w:hint="default"/>
      </w:rPr>
    </w:lvl>
    <w:lvl w:ilvl="6" w:tplc="240A0001" w:tentative="1">
      <w:start w:val="1"/>
      <w:numFmt w:val="bullet"/>
      <w:lvlText w:val=""/>
      <w:lvlJc w:val="left"/>
      <w:pPr>
        <w:ind w:left="5037" w:hanging="360"/>
      </w:pPr>
      <w:rPr>
        <w:rFonts w:ascii="Symbol" w:hAnsi="Symbol" w:hint="default"/>
      </w:rPr>
    </w:lvl>
    <w:lvl w:ilvl="7" w:tplc="240A0003" w:tentative="1">
      <w:start w:val="1"/>
      <w:numFmt w:val="bullet"/>
      <w:lvlText w:val="o"/>
      <w:lvlJc w:val="left"/>
      <w:pPr>
        <w:ind w:left="5757" w:hanging="360"/>
      </w:pPr>
      <w:rPr>
        <w:rFonts w:ascii="Courier New" w:hAnsi="Courier New" w:cs="Courier New" w:hint="default"/>
      </w:rPr>
    </w:lvl>
    <w:lvl w:ilvl="8" w:tplc="240A0005" w:tentative="1">
      <w:start w:val="1"/>
      <w:numFmt w:val="bullet"/>
      <w:lvlText w:val=""/>
      <w:lvlJc w:val="left"/>
      <w:pPr>
        <w:ind w:left="6477" w:hanging="360"/>
      </w:pPr>
      <w:rPr>
        <w:rFonts w:ascii="Wingdings" w:hAnsi="Wingdings" w:hint="default"/>
      </w:rPr>
    </w:lvl>
  </w:abstractNum>
  <w:abstractNum w:abstractNumId="16" w15:restartNumberingAfterBreak="0">
    <w:nsid w:val="34625FA9"/>
    <w:multiLevelType w:val="multilevel"/>
    <w:tmpl w:val="2A9035B6"/>
    <w:lvl w:ilvl="0">
      <w:start w:val="6"/>
      <w:numFmt w:val="decimal"/>
      <w:lvlText w:val="%1."/>
      <w:lvlJc w:val="left"/>
      <w:pPr>
        <w:ind w:left="360" w:hanging="360"/>
      </w:pPr>
      <w:rPr>
        <w:rFonts w:hint="default"/>
      </w:rPr>
    </w:lvl>
    <w:lvl w:ilvl="1">
      <w:start w:val="1"/>
      <w:numFmt w:val="decimal"/>
      <w:lvlText w:val="%1.%2."/>
      <w:lvlJc w:val="left"/>
      <w:pPr>
        <w:ind w:left="3981"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61C1FA0"/>
    <w:multiLevelType w:val="hybridMultilevel"/>
    <w:tmpl w:val="9834891E"/>
    <w:lvl w:ilvl="0" w:tplc="0018DF0E">
      <w:start w:val="1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8" w15:restartNumberingAfterBreak="0">
    <w:nsid w:val="377E1DCD"/>
    <w:multiLevelType w:val="hybridMultilevel"/>
    <w:tmpl w:val="CEFAFF0A"/>
    <w:lvl w:ilvl="0" w:tplc="04090001">
      <w:start w:val="1"/>
      <w:numFmt w:val="bullet"/>
      <w:lvlText w:val=""/>
      <w:lvlJc w:val="left"/>
      <w:pPr>
        <w:ind w:left="357" w:hanging="360"/>
      </w:pPr>
      <w:rPr>
        <w:rFonts w:ascii="Symbol" w:hAnsi="Symbol"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abstractNum w:abstractNumId="19" w15:restartNumberingAfterBreak="0">
    <w:nsid w:val="399D734A"/>
    <w:multiLevelType w:val="hybridMultilevel"/>
    <w:tmpl w:val="68B8E10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0" w15:restartNumberingAfterBreak="0">
    <w:nsid w:val="3ABF7763"/>
    <w:multiLevelType w:val="multilevel"/>
    <w:tmpl w:val="D70EE200"/>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33423F"/>
    <w:multiLevelType w:val="hybridMultilevel"/>
    <w:tmpl w:val="64BABE4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41C6148D"/>
    <w:multiLevelType w:val="hybridMultilevel"/>
    <w:tmpl w:val="17A0C9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435D76D7"/>
    <w:multiLevelType w:val="hybridMultilevel"/>
    <w:tmpl w:val="60AE4C9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4" w15:restartNumberingAfterBreak="0">
    <w:nsid w:val="437234C2"/>
    <w:multiLevelType w:val="hybridMultilevel"/>
    <w:tmpl w:val="56B4CE5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44535F8A"/>
    <w:multiLevelType w:val="multilevel"/>
    <w:tmpl w:val="E0BC314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4BD49B5"/>
    <w:multiLevelType w:val="multilevel"/>
    <w:tmpl w:val="EEA6F638"/>
    <w:lvl w:ilvl="0">
      <w:start w:val="7"/>
      <w:numFmt w:val="decimal"/>
      <w:lvlText w:val="%1."/>
      <w:lvlJc w:val="left"/>
      <w:pPr>
        <w:ind w:left="360" w:hanging="360"/>
      </w:pPr>
      <w:rPr>
        <w:rFonts w:hint="default"/>
        <w:b/>
        <w:bCs/>
        <w:color w:val="000000" w:themeColor="text1"/>
        <w:sz w:val="24"/>
        <w:szCs w:val="24"/>
      </w:rPr>
    </w:lvl>
    <w:lvl w:ilvl="1">
      <w:start w:val="1"/>
      <w:numFmt w:val="decimal"/>
      <w:lvlText w:val="%1.%2."/>
      <w:lvlJc w:val="left"/>
      <w:pPr>
        <w:ind w:left="3981" w:hanging="720"/>
      </w:pPr>
      <w:rPr>
        <w:rFonts w:hint="default"/>
      </w:rPr>
    </w:lvl>
    <w:lvl w:ilvl="2">
      <w:start w:val="1"/>
      <w:numFmt w:val="decimal"/>
      <w:lvlText w:val="%1.%2.%3."/>
      <w:lvlJc w:val="left"/>
      <w:pPr>
        <w:ind w:left="7242" w:hanging="720"/>
      </w:pPr>
      <w:rPr>
        <w:rFonts w:hint="default"/>
      </w:rPr>
    </w:lvl>
    <w:lvl w:ilvl="3">
      <w:start w:val="1"/>
      <w:numFmt w:val="decimal"/>
      <w:lvlText w:val="%1.%2.%3.%4."/>
      <w:lvlJc w:val="left"/>
      <w:pPr>
        <w:ind w:left="10863" w:hanging="1080"/>
      </w:pPr>
      <w:rPr>
        <w:rFonts w:hint="default"/>
      </w:rPr>
    </w:lvl>
    <w:lvl w:ilvl="4">
      <w:start w:val="1"/>
      <w:numFmt w:val="decimal"/>
      <w:lvlText w:val="%1.%2.%3.%4.%5."/>
      <w:lvlJc w:val="left"/>
      <w:pPr>
        <w:ind w:left="14124" w:hanging="1080"/>
      </w:pPr>
      <w:rPr>
        <w:rFonts w:hint="default"/>
      </w:rPr>
    </w:lvl>
    <w:lvl w:ilvl="5">
      <w:start w:val="1"/>
      <w:numFmt w:val="decimal"/>
      <w:lvlText w:val="%1.%2.%3.%4.%5.%6."/>
      <w:lvlJc w:val="left"/>
      <w:pPr>
        <w:ind w:left="17745" w:hanging="1440"/>
      </w:pPr>
      <w:rPr>
        <w:rFonts w:hint="default"/>
      </w:rPr>
    </w:lvl>
    <w:lvl w:ilvl="6">
      <w:start w:val="1"/>
      <w:numFmt w:val="decimal"/>
      <w:lvlText w:val="%1.%2.%3.%4.%5.%6.%7."/>
      <w:lvlJc w:val="left"/>
      <w:pPr>
        <w:ind w:left="21006" w:hanging="1440"/>
      </w:pPr>
      <w:rPr>
        <w:rFonts w:hint="default"/>
      </w:rPr>
    </w:lvl>
    <w:lvl w:ilvl="7">
      <w:start w:val="1"/>
      <w:numFmt w:val="decimal"/>
      <w:lvlText w:val="%1.%2.%3.%4.%5.%6.%7.%8."/>
      <w:lvlJc w:val="left"/>
      <w:pPr>
        <w:ind w:left="24627" w:hanging="1800"/>
      </w:pPr>
      <w:rPr>
        <w:rFonts w:hint="default"/>
      </w:rPr>
    </w:lvl>
    <w:lvl w:ilvl="8">
      <w:start w:val="1"/>
      <w:numFmt w:val="decimal"/>
      <w:lvlText w:val="%1.%2.%3.%4.%5.%6.%7.%8.%9."/>
      <w:lvlJc w:val="left"/>
      <w:pPr>
        <w:ind w:left="27888" w:hanging="1800"/>
      </w:pPr>
      <w:rPr>
        <w:rFonts w:hint="default"/>
      </w:rPr>
    </w:lvl>
  </w:abstractNum>
  <w:abstractNum w:abstractNumId="27" w15:restartNumberingAfterBreak="0">
    <w:nsid w:val="459E00D7"/>
    <w:multiLevelType w:val="hybridMultilevel"/>
    <w:tmpl w:val="B3EE3D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47444569"/>
    <w:multiLevelType w:val="hybridMultilevel"/>
    <w:tmpl w:val="FEC8C4B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4A171FCF"/>
    <w:multiLevelType w:val="hybridMultilevel"/>
    <w:tmpl w:val="12D26F1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4D0C1387"/>
    <w:multiLevelType w:val="hybridMultilevel"/>
    <w:tmpl w:val="E9A6378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1" w15:restartNumberingAfterBreak="0">
    <w:nsid w:val="4E723226"/>
    <w:multiLevelType w:val="hybridMultilevel"/>
    <w:tmpl w:val="8BD286D6"/>
    <w:lvl w:ilvl="0" w:tplc="32984052">
      <w:start w:val="12"/>
      <w:numFmt w:val="decimal"/>
      <w:lvlText w:val="%1."/>
      <w:lvlJc w:val="left"/>
      <w:pPr>
        <w:ind w:left="644" w:hanging="360"/>
      </w:pPr>
      <w:rPr>
        <w:rFonts w:hint="default"/>
        <w:b/>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4F3970F5"/>
    <w:multiLevelType w:val="hybridMultilevel"/>
    <w:tmpl w:val="537AEB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26E1724"/>
    <w:multiLevelType w:val="hybridMultilevel"/>
    <w:tmpl w:val="CCD0BFE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4" w15:restartNumberingAfterBreak="0">
    <w:nsid w:val="5324453E"/>
    <w:multiLevelType w:val="hybridMultilevel"/>
    <w:tmpl w:val="FAC04788"/>
    <w:lvl w:ilvl="0" w:tplc="ABF0B2A4">
      <w:start w:val="1"/>
      <w:numFmt w:val="decimal"/>
      <w:lvlText w:val="%1."/>
      <w:lvlJc w:val="left"/>
      <w:pPr>
        <w:ind w:left="2629" w:hanging="360"/>
      </w:pPr>
      <w:rPr>
        <w:rFonts w:hint="default"/>
        <w:b/>
        <w:sz w:val="24"/>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567175FE"/>
    <w:multiLevelType w:val="hybridMultilevel"/>
    <w:tmpl w:val="4922F91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5FFB7A1B"/>
    <w:multiLevelType w:val="hybridMultilevel"/>
    <w:tmpl w:val="B19645D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7" w15:restartNumberingAfterBreak="0">
    <w:nsid w:val="61414801"/>
    <w:multiLevelType w:val="multilevel"/>
    <w:tmpl w:val="36A4BB5C"/>
    <w:lvl w:ilvl="0">
      <w:start w:val="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3A1EDB"/>
    <w:multiLevelType w:val="multilevel"/>
    <w:tmpl w:val="CCFC7E28"/>
    <w:lvl w:ilvl="0">
      <w:start w:val="7"/>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06F1E88"/>
    <w:multiLevelType w:val="hybridMultilevel"/>
    <w:tmpl w:val="4470DC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3CE65E6"/>
    <w:multiLevelType w:val="multilevel"/>
    <w:tmpl w:val="EB5E0F5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44718D1"/>
    <w:multiLevelType w:val="hybridMultilevel"/>
    <w:tmpl w:val="B7F480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2" w15:restartNumberingAfterBreak="0">
    <w:nsid w:val="75F804EA"/>
    <w:multiLevelType w:val="hybridMultilevel"/>
    <w:tmpl w:val="5D36387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3" w15:restartNumberingAfterBreak="0">
    <w:nsid w:val="769D4019"/>
    <w:multiLevelType w:val="multilevel"/>
    <w:tmpl w:val="A3765D50"/>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8E664E1"/>
    <w:multiLevelType w:val="hybridMultilevel"/>
    <w:tmpl w:val="C1FA3AC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45" w15:restartNumberingAfterBreak="0">
    <w:nsid w:val="7D464261"/>
    <w:multiLevelType w:val="multilevel"/>
    <w:tmpl w:val="9676A8A6"/>
    <w:lvl w:ilvl="0">
      <w:start w:val="1"/>
      <w:numFmt w:val="decimal"/>
      <w:lvlText w:val="%1."/>
      <w:lvlJc w:val="left"/>
      <w:pPr>
        <w:ind w:left="360" w:hanging="360"/>
      </w:pPr>
      <w:rPr>
        <w:rFonts w:hint="default"/>
        <w:color w:val="FFFFFF" w:themeColor="background1"/>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7D630F91"/>
    <w:multiLevelType w:val="hybridMultilevel"/>
    <w:tmpl w:val="C76883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7" w15:restartNumberingAfterBreak="0">
    <w:nsid w:val="7DB72346"/>
    <w:multiLevelType w:val="hybridMultilevel"/>
    <w:tmpl w:val="BBD0A99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48" w15:restartNumberingAfterBreak="0">
    <w:nsid w:val="7EAA0C51"/>
    <w:multiLevelType w:val="hybridMultilevel"/>
    <w:tmpl w:val="3CA60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28"/>
  </w:num>
  <w:num w:numId="3">
    <w:abstractNumId w:val="33"/>
  </w:num>
  <w:num w:numId="4">
    <w:abstractNumId w:val="21"/>
  </w:num>
  <w:num w:numId="5">
    <w:abstractNumId w:val="27"/>
  </w:num>
  <w:num w:numId="6">
    <w:abstractNumId w:val="44"/>
  </w:num>
  <w:num w:numId="7">
    <w:abstractNumId w:val="19"/>
  </w:num>
  <w:num w:numId="8">
    <w:abstractNumId w:val="34"/>
  </w:num>
  <w:num w:numId="9">
    <w:abstractNumId w:val="46"/>
  </w:num>
  <w:num w:numId="10">
    <w:abstractNumId w:val="22"/>
  </w:num>
  <w:num w:numId="11">
    <w:abstractNumId w:val="7"/>
  </w:num>
  <w:num w:numId="12">
    <w:abstractNumId w:val="10"/>
  </w:num>
  <w:num w:numId="13">
    <w:abstractNumId w:val="4"/>
  </w:num>
  <w:num w:numId="14">
    <w:abstractNumId w:val="31"/>
  </w:num>
  <w:num w:numId="15">
    <w:abstractNumId w:val="1"/>
  </w:num>
  <w:num w:numId="16">
    <w:abstractNumId w:val="2"/>
  </w:num>
  <w:num w:numId="17">
    <w:abstractNumId w:val="6"/>
  </w:num>
  <w:num w:numId="18">
    <w:abstractNumId w:val="11"/>
  </w:num>
  <w:num w:numId="19">
    <w:abstractNumId w:val="24"/>
  </w:num>
  <w:num w:numId="20">
    <w:abstractNumId w:val="3"/>
  </w:num>
  <w:num w:numId="21">
    <w:abstractNumId w:val="42"/>
  </w:num>
  <w:num w:numId="22">
    <w:abstractNumId w:val="30"/>
  </w:num>
  <w:num w:numId="23">
    <w:abstractNumId w:val="36"/>
  </w:num>
  <w:num w:numId="24">
    <w:abstractNumId w:val="16"/>
  </w:num>
  <w:num w:numId="25">
    <w:abstractNumId w:val="0"/>
  </w:num>
  <w:num w:numId="26">
    <w:abstractNumId w:val="17"/>
  </w:num>
  <w:num w:numId="27">
    <w:abstractNumId w:val="29"/>
  </w:num>
  <w:num w:numId="28">
    <w:abstractNumId w:val="20"/>
  </w:num>
  <w:num w:numId="29">
    <w:abstractNumId w:val="18"/>
  </w:num>
  <w:num w:numId="30">
    <w:abstractNumId w:val="9"/>
  </w:num>
  <w:num w:numId="31">
    <w:abstractNumId w:val="48"/>
  </w:num>
  <w:num w:numId="32">
    <w:abstractNumId w:val="39"/>
  </w:num>
  <w:num w:numId="33">
    <w:abstractNumId w:val="25"/>
  </w:num>
  <w:num w:numId="34">
    <w:abstractNumId w:val="32"/>
  </w:num>
  <w:num w:numId="35">
    <w:abstractNumId w:val="37"/>
  </w:num>
  <w:num w:numId="36">
    <w:abstractNumId w:val="35"/>
  </w:num>
  <w:num w:numId="37">
    <w:abstractNumId w:val="14"/>
  </w:num>
  <w:num w:numId="38">
    <w:abstractNumId w:val="15"/>
  </w:num>
  <w:num w:numId="39">
    <w:abstractNumId w:val="47"/>
  </w:num>
  <w:num w:numId="40">
    <w:abstractNumId w:val="5"/>
  </w:num>
  <w:num w:numId="41">
    <w:abstractNumId w:val="45"/>
  </w:num>
  <w:num w:numId="42">
    <w:abstractNumId w:val="8"/>
  </w:num>
  <w:num w:numId="43">
    <w:abstractNumId w:val="26"/>
  </w:num>
  <w:num w:numId="44">
    <w:abstractNumId w:val="38"/>
  </w:num>
  <w:num w:numId="45">
    <w:abstractNumId w:val="40"/>
  </w:num>
  <w:num w:numId="46">
    <w:abstractNumId w:val="41"/>
  </w:num>
  <w:num w:numId="47">
    <w:abstractNumId w:val="43"/>
  </w:num>
  <w:num w:numId="48">
    <w:abstractNumId w:val="12"/>
  </w:num>
  <w:num w:numId="49">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72"/>
    <w:rsid w:val="000002C4"/>
    <w:rsid w:val="00000363"/>
    <w:rsid w:val="00000416"/>
    <w:rsid w:val="00000672"/>
    <w:rsid w:val="000006B8"/>
    <w:rsid w:val="000009ED"/>
    <w:rsid w:val="00000B1F"/>
    <w:rsid w:val="00000BA9"/>
    <w:rsid w:val="00000BDF"/>
    <w:rsid w:val="00000F0D"/>
    <w:rsid w:val="00000FCA"/>
    <w:rsid w:val="000011BB"/>
    <w:rsid w:val="00001823"/>
    <w:rsid w:val="0000198A"/>
    <w:rsid w:val="00001B27"/>
    <w:rsid w:val="000023B4"/>
    <w:rsid w:val="000026A5"/>
    <w:rsid w:val="000028E2"/>
    <w:rsid w:val="0000292A"/>
    <w:rsid w:val="0000294A"/>
    <w:rsid w:val="00002C9C"/>
    <w:rsid w:val="00002EFA"/>
    <w:rsid w:val="000032E5"/>
    <w:rsid w:val="00003446"/>
    <w:rsid w:val="000035DE"/>
    <w:rsid w:val="000038CC"/>
    <w:rsid w:val="00003B5E"/>
    <w:rsid w:val="00003C7D"/>
    <w:rsid w:val="00003CDA"/>
    <w:rsid w:val="00004447"/>
    <w:rsid w:val="000045DF"/>
    <w:rsid w:val="000048E8"/>
    <w:rsid w:val="000049F3"/>
    <w:rsid w:val="00004A2A"/>
    <w:rsid w:val="00004A84"/>
    <w:rsid w:val="00004A8C"/>
    <w:rsid w:val="00004B3B"/>
    <w:rsid w:val="00004DF7"/>
    <w:rsid w:val="00004E27"/>
    <w:rsid w:val="00004E40"/>
    <w:rsid w:val="00004F1E"/>
    <w:rsid w:val="00005276"/>
    <w:rsid w:val="00005444"/>
    <w:rsid w:val="000059B9"/>
    <w:rsid w:val="00005E77"/>
    <w:rsid w:val="00005EA9"/>
    <w:rsid w:val="00005EEC"/>
    <w:rsid w:val="000061FC"/>
    <w:rsid w:val="000063C5"/>
    <w:rsid w:val="0000641A"/>
    <w:rsid w:val="000064B0"/>
    <w:rsid w:val="000065EC"/>
    <w:rsid w:val="000066BF"/>
    <w:rsid w:val="00006810"/>
    <w:rsid w:val="00006FA7"/>
    <w:rsid w:val="000072CA"/>
    <w:rsid w:val="000073F8"/>
    <w:rsid w:val="00007663"/>
    <w:rsid w:val="00007C72"/>
    <w:rsid w:val="00007EE0"/>
    <w:rsid w:val="00010137"/>
    <w:rsid w:val="000104E7"/>
    <w:rsid w:val="00010599"/>
    <w:rsid w:val="00010658"/>
    <w:rsid w:val="00010843"/>
    <w:rsid w:val="000108ED"/>
    <w:rsid w:val="00010951"/>
    <w:rsid w:val="00010ABF"/>
    <w:rsid w:val="00010B7E"/>
    <w:rsid w:val="00010E1E"/>
    <w:rsid w:val="0001123D"/>
    <w:rsid w:val="0001142B"/>
    <w:rsid w:val="0001148F"/>
    <w:rsid w:val="0001178D"/>
    <w:rsid w:val="00011C24"/>
    <w:rsid w:val="00011D73"/>
    <w:rsid w:val="00011F52"/>
    <w:rsid w:val="00011F60"/>
    <w:rsid w:val="00011FEA"/>
    <w:rsid w:val="0001210C"/>
    <w:rsid w:val="00012319"/>
    <w:rsid w:val="00012510"/>
    <w:rsid w:val="000126EF"/>
    <w:rsid w:val="00012835"/>
    <w:rsid w:val="00012951"/>
    <w:rsid w:val="00012A5C"/>
    <w:rsid w:val="00012BD1"/>
    <w:rsid w:val="00012D93"/>
    <w:rsid w:val="00013454"/>
    <w:rsid w:val="00013891"/>
    <w:rsid w:val="00013D84"/>
    <w:rsid w:val="00013E9B"/>
    <w:rsid w:val="00013FF9"/>
    <w:rsid w:val="000144D7"/>
    <w:rsid w:val="000145EB"/>
    <w:rsid w:val="00014618"/>
    <w:rsid w:val="00014CA9"/>
    <w:rsid w:val="000151E1"/>
    <w:rsid w:val="0001539A"/>
    <w:rsid w:val="000153B3"/>
    <w:rsid w:val="0001541F"/>
    <w:rsid w:val="000156D3"/>
    <w:rsid w:val="00015D1B"/>
    <w:rsid w:val="00015E95"/>
    <w:rsid w:val="000160DE"/>
    <w:rsid w:val="000162CC"/>
    <w:rsid w:val="00016412"/>
    <w:rsid w:val="00016536"/>
    <w:rsid w:val="00016653"/>
    <w:rsid w:val="00016B10"/>
    <w:rsid w:val="000171B0"/>
    <w:rsid w:val="00017C08"/>
    <w:rsid w:val="00017C1C"/>
    <w:rsid w:val="00017CC5"/>
    <w:rsid w:val="00020298"/>
    <w:rsid w:val="00020387"/>
    <w:rsid w:val="00020732"/>
    <w:rsid w:val="00020A0A"/>
    <w:rsid w:val="00020C39"/>
    <w:rsid w:val="00020FDE"/>
    <w:rsid w:val="00021692"/>
    <w:rsid w:val="00021A00"/>
    <w:rsid w:val="00021ABF"/>
    <w:rsid w:val="00021D28"/>
    <w:rsid w:val="00022166"/>
    <w:rsid w:val="0002233D"/>
    <w:rsid w:val="0002250B"/>
    <w:rsid w:val="000227AC"/>
    <w:rsid w:val="00022B73"/>
    <w:rsid w:val="00022C7E"/>
    <w:rsid w:val="00022CEA"/>
    <w:rsid w:val="000230B1"/>
    <w:rsid w:val="0002377A"/>
    <w:rsid w:val="00023836"/>
    <w:rsid w:val="000239CD"/>
    <w:rsid w:val="00023A32"/>
    <w:rsid w:val="00023D1B"/>
    <w:rsid w:val="00023DBB"/>
    <w:rsid w:val="00023F5E"/>
    <w:rsid w:val="000242A7"/>
    <w:rsid w:val="00024456"/>
    <w:rsid w:val="000244E8"/>
    <w:rsid w:val="00024B5A"/>
    <w:rsid w:val="00024C36"/>
    <w:rsid w:val="000250D9"/>
    <w:rsid w:val="000252CE"/>
    <w:rsid w:val="0002560E"/>
    <w:rsid w:val="00025649"/>
    <w:rsid w:val="0002569E"/>
    <w:rsid w:val="000262AF"/>
    <w:rsid w:val="000266DB"/>
    <w:rsid w:val="000266E2"/>
    <w:rsid w:val="00026762"/>
    <w:rsid w:val="00026928"/>
    <w:rsid w:val="000269F6"/>
    <w:rsid w:val="00026A70"/>
    <w:rsid w:val="00026B0C"/>
    <w:rsid w:val="00026DBF"/>
    <w:rsid w:val="000273DC"/>
    <w:rsid w:val="000274A0"/>
    <w:rsid w:val="0002751D"/>
    <w:rsid w:val="0002797F"/>
    <w:rsid w:val="00027A0C"/>
    <w:rsid w:val="00027A2E"/>
    <w:rsid w:val="00027B3C"/>
    <w:rsid w:val="00027CBE"/>
    <w:rsid w:val="00027D1A"/>
    <w:rsid w:val="00027FE9"/>
    <w:rsid w:val="00030089"/>
    <w:rsid w:val="000300AE"/>
    <w:rsid w:val="000300D8"/>
    <w:rsid w:val="000302F6"/>
    <w:rsid w:val="00030444"/>
    <w:rsid w:val="00030518"/>
    <w:rsid w:val="00030894"/>
    <w:rsid w:val="00030A6E"/>
    <w:rsid w:val="00030B48"/>
    <w:rsid w:val="00030C0B"/>
    <w:rsid w:val="00030F9B"/>
    <w:rsid w:val="00030FCC"/>
    <w:rsid w:val="0003108C"/>
    <w:rsid w:val="000310DB"/>
    <w:rsid w:val="0003164F"/>
    <w:rsid w:val="000316EC"/>
    <w:rsid w:val="00031862"/>
    <w:rsid w:val="000318F9"/>
    <w:rsid w:val="00031C58"/>
    <w:rsid w:val="00031C5D"/>
    <w:rsid w:val="00031D7E"/>
    <w:rsid w:val="00031F14"/>
    <w:rsid w:val="00032A02"/>
    <w:rsid w:val="00032C9C"/>
    <w:rsid w:val="00032D5F"/>
    <w:rsid w:val="00032F56"/>
    <w:rsid w:val="00032F6B"/>
    <w:rsid w:val="000330F1"/>
    <w:rsid w:val="00033109"/>
    <w:rsid w:val="00033115"/>
    <w:rsid w:val="00033234"/>
    <w:rsid w:val="00033238"/>
    <w:rsid w:val="000332F5"/>
    <w:rsid w:val="0003380F"/>
    <w:rsid w:val="0003384A"/>
    <w:rsid w:val="00033D67"/>
    <w:rsid w:val="00033D7B"/>
    <w:rsid w:val="000342A1"/>
    <w:rsid w:val="000342F8"/>
    <w:rsid w:val="000344C1"/>
    <w:rsid w:val="00034596"/>
    <w:rsid w:val="00034727"/>
    <w:rsid w:val="00034967"/>
    <w:rsid w:val="00034983"/>
    <w:rsid w:val="000349A4"/>
    <w:rsid w:val="00034B4D"/>
    <w:rsid w:val="00034C25"/>
    <w:rsid w:val="00034D91"/>
    <w:rsid w:val="00034DD0"/>
    <w:rsid w:val="00035191"/>
    <w:rsid w:val="00035327"/>
    <w:rsid w:val="000353E8"/>
    <w:rsid w:val="000354DE"/>
    <w:rsid w:val="0003565A"/>
    <w:rsid w:val="00035665"/>
    <w:rsid w:val="0003572C"/>
    <w:rsid w:val="0003581D"/>
    <w:rsid w:val="0003597E"/>
    <w:rsid w:val="000359AB"/>
    <w:rsid w:val="00035E54"/>
    <w:rsid w:val="00035FF8"/>
    <w:rsid w:val="0003615B"/>
    <w:rsid w:val="00036385"/>
    <w:rsid w:val="00036525"/>
    <w:rsid w:val="00036931"/>
    <w:rsid w:val="00036A09"/>
    <w:rsid w:val="00036A9B"/>
    <w:rsid w:val="0003711D"/>
    <w:rsid w:val="000371C4"/>
    <w:rsid w:val="00037298"/>
    <w:rsid w:val="000374FC"/>
    <w:rsid w:val="0003759B"/>
    <w:rsid w:val="000375A0"/>
    <w:rsid w:val="000377DC"/>
    <w:rsid w:val="00037874"/>
    <w:rsid w:val="0003794B"/>
    <w:rsid w:val="00037A26"/>
    <w:rsid w:val="00037B03"/>
    <w:rsid w:val="00037BD2"/>
    <w:rsid w:val="00037C62"/>
    <w:rsid w:val="00037CF4"/>
    <w:rsid w:val="00037E95"/>
    <w:rsid w:val="0004010B"/>
    <w:rsid w:val="000402AB"/>
    <w:rsid w:val="0004098F"/>
    <w:rsid w:val="000409DB"/>
    <w:rsid w:val="0004114A"/>
    <w:rsid w:val="00041158"/>
    <w:rsid w:val="0004122E"/>
    <w:rsid w:val="00041447"/>
    <w:rsid w:val="00041453"/>
    <w:rsid w:val="00041AA4"/>
    <w:rsid w:val="00041B41"/>
    <w:rsid w:val="00041BEA"/>
    <w:rsid w:val="00041ED4"/>
    <w:rsid w:val="00041F02"/>
    <w:rsid w:val="00042070"/>
    <w:rsid w:val="0004245F"/>
    <w:rsid w:val="0004270D"/>
    <w:rsid w:val="00042937"/>
    <w:rsid w:val="000429BA"/>
    <w:rsid w:val="00042CEC"/>
    <w:rsid w:val="00042FD6"/>
    <w:rsid w:val="00043519"/>
    <w:rsid w:val="00043570"/>
    <w:rsid w:val="00043720"/>
    <w:rsid w:val="00043A85"/>
    <w:rsid w:val="00043B92"/>
    <w:rsid w:val="00043BFD"/>
    <w:rsid w:val="00043D49"/>
    <w:rsid w:val="00044436"/>
    <w:rsid w:val="000444C5"/>
    <w:rsid w:val="000445DB"/>
    <w:rsid w:val="00044706"/>
    <w:rsid w:val="0004482B"/>
    <w:rsid w:val="000448D0"/>
    <w:rsid w:val="00044F6E"/>
    <w:rsid w:val="0004569D"/>
    <w:rsid w:val="00045980"/>
    <w:rsid w:val="00045B46"/>
    <w:rsid w:val="00045CB3"/>
    <w:rsid w:val="00045DFD"/>
    <w:rsid w:val="0004604E"/>
    <w:rsid w:val="000460E6"/>
    <w:rsid w:val="0004641D"/>
    <w:rsid w:val="00046898"/>
    <w:rsid w:val="00047299"/>
    <w:rsid w:val="00047367"/>
    <w:rsid w:val="00047407"/>
    <w:rsid w:val="00047766"/>
    <w:rsid w:val="000477B5"/>
    <w:rsid w:val="00047A02"/>
    <w:rsid w:val="00047A2A"/>
    <w:rsid w:val="00047A8F"/>
    <w:rsid w:val="00047F35"/>
    <w:rsid w:val="00050061"/>
    <w:rsid w:val="000501D8"/>
    <w:rsid w:val="00050B4B"/>
    <w:rsid w:val="00050B9C"/>
    <w:rsid w:val="00050CD0"/>
    <w:rsid w:val="00050E64"/>
    <w:rsid w:val="0005113B"/>
    <w:rsid w:val="000511ED"/>
    <w:rsid w:val="00051478"/>
    <w:rsid w:val="00051537"/>
    <w:rsid w:val="00051702"/>
    <w:rsid w:val="00051843"/>
    <w:rsid w:val="000518AD"/>
    <w:rsid w:val="000520B8"/>
    <w:rsid w:val="000520E1"/>
    <w:rsid w:val="000521A9"/>
    <w:rsid w:val="000525A1"/>
    <w:rsid w:val="00053181"/>
    <w:rsid w:val="000531E7"/>
    <w:rsid w:val="000533F6"/>
    <w:rsid w:val="00053518"/>
    <w:rsid w:val="0005372D"/>
    <w:rsid w:val="00053FC8"/>
    <w:rsid w:val="0005406B"/>
    <w:rsid w:val="00054170"/>
    <w:rsid w:val="0005429A"/>
    <w:rsid w:val="00054367"/>
    <w:rsid w:val="00054617"/>
    <w:rsid w:val="00054696"/>
    <w:rsid w:val="00054A0C"/>
    <w:rsid w:val="00054A12"/>
    <w:rsid w:val="00055B77"/>
    <w:rsid w:val="00055BE9"/>
    <w:rsid w:val="0005612D"/>
    <w:rsid w:val="00056417"/>
    <w:rsid w:val="00056A17"/>
    <w:rsid w:val="00056C0F"/>
    <w:rsid w:val="00056D64"/>
    <w:rsid w:val="00056E7C"/>
    <w:rsid w:val="0005717B"/>
    <w:rsid w:val="0005785C"/>
    <w:rsid w:val="00057A2B"/>
    <w:rsid w:val="00057C88"/>
    <w:rsid w:val="00057D5E"/>
    <w:rsid w:val="00057DFC"/>
    <w:rsid w:val="0006001D"/>
    <w:rsid w:val="00060127"/>
    <w:rsid w:val="000607C6"/>
    <w:rsid w:val="000608B3"/>
    <w:rsid w:val="00060A36"/>
    <w:rsid w:val="00060CB1"/>
    <w:rsid w:val="00060D3E"/>
    <w:rsid w:val="00061471"/>
    <w:rsid w:val="000614D4"/>
    <w:rsid w:val="00061629"/>
    <w:rsid w:val="0006163D"/>
    <w:rsid w:val="00061B70"/>
    <w:rsid w:val="00061BDC"/>
    <w:rsid w:val="00061DF7"/>
    <w:rsid w:val="000620B4"/>
    <w:rsid w:val="000620BB"/>
    <w:rsid w:val="000620DE"/>
    <w:rsid w:val="000625A4"/>
    <w:rsid w:val="00062681"/>
    <w:rsid w:val="00062B71"/>
    <w:rsid w:val="00062BD8"/>
    <w:rsid w:val="00062C54"/>
    <w:rsid w:val="00062D31"/>
    <w:rsid w:val="00062F0C"/>
    <w:rsid w:val="000630A1"/>
    <w:rsid w:val="000630BD"/>
    <w:rsid w:val="00063203"/>
    <w:rsid w:val="00063523"/>
    <w:rsid w:val="00063A31"/>
    <w:rsid w:val="00063A93"/>
    <w:rsid w:val="00063EEB"/>
    <w:rsid w:val="00064CAC"/>
    <w:rsid w:val="00065688"/>
    <w:rsid w:val="000656D1"/>
    <w:rsid w:val="00065949"/>
    <w:rsid w:val="00065B73"/>
    <w:rsid w:val="00065C40"/>
    <w:rsid w:val="00065C69"/>
    <w:rsid w:val="00065CFD"/>
    <w:rsid w:val="000660DE"/>
    <w:rsid w:val="00066E26"/>
    <w:rsid w:val="000673AD"/>
    <w:rsid w:val="0006753B"/>
    <w:rsid w:val="0006753C"/>
    <w:rsid w:val="0006755F"/>
    <w:rsid w:val="000679AB"/>
    <w:rsid w:val="00070093"/>
    <w:rsid w:val="00070177"/>
    <w:rsid w:val="000703AD"/>
    <w:rsid w:val="00070647"/>
    <w:rsid w:val="00070C32"/>
    <w:rsid w:val="00070FD8"/>
    <w:rsid w:val="000718C5"/>
    <w:rsid w:val="0007192E"/>
    <w:rsid w:val="00071936"/>
    <w:rsid w:val="00071A91"/>
    <w:rsid w:val="00071ACE"/>
    <w:rsid w:val="000720C7"/>
    <w:rsid w:val="00072265"/>
    <w:rsid w:val="000725DC"/>
    <w:rsid w:val="0007260C"/>
    <w:rsid w:val="000727C7"/>
    <w:rsid w:val="00072A90"/>
    <w:rsid w:val="00072CE4"/>
    <w:rsid w:val="00072D76"/>
    <w:rsid w:val="000730CD"/>
    <w:rsid w:val="00073455"/>
    <w:rsid w:val="000735EA"/>
    <w:rsid w:val="0007364B"/>
    <w:rsid w:val="00073A3A"/>
    <w:rsid w:val="000744EC"/>
    <w:rsid w:val="000745FF"/>
    <w:rsid w:val="00074786"/>
    <w:rsid w:val="00074C96"/>
    <w:rsid w:val="000752D9"/>
    <w:rsid w:val="00075346"/>
    <w:rsid w:val="000753D4"/>
    <w:rsid w:val="00075495"/>
    <w:rsid w:val="000754A5"/>
    <w:rsid w:val="0007582F"/>
    <w:rsid w:val="0007594E"/>
    <w:rsid w:val="00076779"/>
    <w:rsid w:val="000767EE"/>
    <w:rsid w:val="000769EC"/>
    <w:rsid w:val="00076C76"/>
    <w:rsid w:val="00076D5E"/>
    <w:rsid w:val="00076F45"/>
    <w:rsid w:val="00077004"/>
    <w:rsid w:val="00077044"/>
    <w:rsid w:val="000778E2"/>
    <w:rsid w:val="000779B9"/>
    <w:rsid w:val="00077E9B"/>
    <w:rsid w:val="000800EF"/>
    <w:rsid w:val="000801BB"/>
    <w:rsid w:val="00080621"/>
    <w:rsid w:val="00080935"/>
    <w:rsid w:val="000811AF"/>
    <w:rsid w:val="000811C9"/>
    <w:rsid w:val="00081771"/>
    <w:rsid w:val="00081802"/>
    <w:rsid w:val="00081A8E"/>
    <w:rsid w:val="00081CA1"/>
    <w:rsid w:val="00081FAC"/>
    <w:rsid w:val="000821DB"/>
    <w:rsid w:val="0008234E"/>
    <w:rsid w:val="00082395"/>
    <w:rsid w:val="00082422"/>
    <w:rsid w:val="000827B3"/>
    <w:rsid w:val="00082894"/>
    <w:rsid w:val="000829C0"/>
    <w:rsid w:val="00082A09"/>
    <w:rsid w:val="00082BF2"/>
    <w:rsid w:val="00082D0E"/>
    <w:rsid w:val="00082D67"/>
    <w:rsid w:val="00082F8F"/>
    <w:rsid w:val="000835B2"/>
    <w:rsid w:val="0008371C"/>
    <w:rsid w:val="00083756"/>
    <w:rsid w:val="0008378D"/>
    <w:rsid w:val="00083B42"/>
    <w:rsid w:val="00083D05"/>
    <w:rsid w:val="00083DD7"/>
    <w:rsid w:val="00083E2E"/>
    <w:rsid w:val="000844C6"/>
    <w:rsid w:val="0008457E"/>
    <w:rsid w:val="000845DC"/>
    <w:rsid w:val="000846AB"/>
    <w:rsid w:val="00084963"/>
    <w:rsid w:val="00084970"/>
    <w:rsid w:val="00084982"/>
    <w:rsid w:val="00084A57"/>
    <w:rsid w:val="00084CF7"/>
    <w:rsid w:val="00084E74"/>
    <w:rsid w:val="00084F23"/>
    <w:rsid w:val="00085009"/>
    <w:rsid w:val="000850F8"/>
    <w:rsid w:val="0008550B"/>
    <w:rsid w:val="0008572B"/>
    <w:rsid w:val="00085D62"/>
    <w:rsid w:val="0008606A"/>
    <w:rsid w:val="000861ED"/>
    <w:rsid w:val="000864CA"/>
    <w:rsid w:val="000866AA"/>
    <w:rsid w:val="000868E6"/>
    <w:rsid w:val="000869DA"/>
    <w:rsid w:val="00086C00"/>
    <w:rsid w:val="00086E67"/>
    <w:rsid w:val="00086EA9"/>
    <w:rsid w:val="000870D2"/>
    <w:rsid w:val="000875A2"/>
    <w:rsid w:val="00087838"/>
    <w:rsid w:val="00087BD2"/>
    <w:rsid w:val="00087FB2"/>
    <w:rsid w:val="00087FE8"/>
    <w:rsid w:val="00090131"/>
    <w:rsid w:val="00090140"/>
    <w:rsid w:val="00090183"/>
    <w:rsid w:val="0009020D"/>
    <w:rsid w:val="0009039E"/>
    <w:rsid w:val="0009062E"/>
    <w:rsid w:val="0009088A"/>
    <w:rsid w:val="000909CC"/>
    <w:rsid w:val="00090BE1"/>
    <w:rsid w:val="00090CD3"/>
    <w:rsid w:val="00090ECA"/>
    <w:rsid w:val="00090F14"/>
    <w:rsid w:val="000911EE"/>
    <w:rsid w:val="00091B40"/>
    <w:rsid w:val="00091C46"/>
    <w:rsid w:val="00091C8A"/>
    <w:rsid w:val="00091EA4"/>
    <w:rsid w:val="00092077"/>
    <w:rsid w:val="000921B8"/>
    <w:rsid w:val="00092349"/>
    <w:rsid w:val="0009265D"/>
    <w:rsid w:val="00092666"/>
    <w:rsid w:val="0009280D"/>
    <w:rsid w:val="000928A0"/>
    <w:rsid w:val="000928FC"/>
    <w:rsid w:val="000929C2"/>
    <w:rsid w:val="00092AF9"/>
    <w:rsid w:val="00092DB9"/>
    <w:rsid w:val="00092E58"/>
    <w:rsid w:val="0009323F"/>
    <w:rsid w:val="0009363B"/>
    <w:rsid w:val="00093AD1"/>
    <w:rsid w:val="00093F7D"/>
    <w:rsid w:val="0009451C"/>
    <w:rsid w:val="00094792"/>
    <w:rsid w:val="000948AF"/>
    <w:rsid w:val="00094A2C"/>
    <w:rsid w:val="00094A7E"/>
    <w:rsid w:val="00094AE9"/>
    <w:rsid w:val="00094B37"/>
    <w:rsid w:val="00094E51"/>
    <w:rsid w:val="00094EB0"/>
    <w:rsid w:val="00094F2F"/>
    <w:rsid w:val="00095A64"/>
    <w:rsid w:val="00095E4E"/>
    <w:rsid w:val="000963B1"/>
    <w:rsid w:val="00096596"/>
    <w:rsid w:val="000967E8"/>
    <w:rsid w:val="00096AAD"/>
    <w:rsid w:val="00096E86"/>
    <w:rsid w:val="00096FAA"/>
    <w:rsid w:val="00096FE7"/>
    <w:rsid w:val="0009714D"/>
    <w:rsid w:val="0009728E"/>
    <w:rsid w:val="000972A1"/>
    <w:rsid w:val="000972A2"/>
    <w:rsid w:val="000973C7"/>
    <w:rsid w:val="000973E1"/>
    <w:rsid w:val="000973F8"/>
    <w:rsid w:val="00097422"/>
    <w:rsid w:val="00097792"/>
    <w:rsid w:val="000979D2"/>
    <w:rsid w:val="00097C40"/>
    <w:rsid w:val="00097EE4"/>
    <w:rsid w:val="00097FF6"/>
    <w:rsid w:val="000A0203"/>
    <w:rsid w:val="000A0239"/>
    <w:rsid w:val="000A0731"/>
    <w:rsid w:val="000A0841"/>
    <w:rsid w:val="000A09A0"/>
    <w:rsid w:val="000A1681"/>
    <w:rsid w:val="000A1711"/>
    <w:rsid w:val="000A172E"/>
    <w:rsid w:val="000A1789"/>
    <w:rsid w:val="000A1A99"/>
    <w:rsid w:val="000A1E6D"/>
    <w:rsid w:val="000A21B1"/>
    <w:rsid w:val="000A2295"/>
    <w:rsid w:val="000A229A"/>
    <w:rsid w:val="000A27D1"/>
    <w:rsid w:val="000A2840"/>
    <w:rsid w:val="000A291F"/>
    <w:rsid w:val="000A29F6"/>
    <w:rsid w:val="000A2A02"/>
    <w:rsid w:val="000A2A34"/>
    <w:rsid w:val="000A2D2F"/>
    <w:rsid w:val="000A2D4E"/>
    <w:rsid w:val="000A33AB"/>
    <w:rsid w:val="000A33C8"/>
    <w:rsid w:val="000A38F7"/>
    <w:rsid w:val="000A3C8C"/>
    <w:rsid w:val="000A3FCB"/>
    <w:rsid w:val="000A43AF"/>
    <w:rsid w:val="000A45B1"/>
    <w:rsid w:val="000A46A6"/>
    <w:rsid w:val="000A4977"/>
    <w:rsid w:val="000A4B40"/>
    <w:rsid w:val="000A518F"/>
    <w:rsid w:val="000A536D"/>
    <w:rsid w:val="000A5384"/>
    <w:rsid w:val="000A5482"/>
    <w:rsid w:val="000A591F"/>
    <w:rsid w:val="000A5E6A"/>
    <w:rsid w:val="000A5EAA"/>
    <w:rsid w:val="000A6113"/>
    <w:rsid w:val="000A63B2"/>
    <w:rsid w:val="000A63CD"/>
    <w:rsid w:val="000A6466"/>
    <w:rsid w:val="000A65A6"/>
    <w:rsid w:val="000A696D"/>
    <w:rsid w:val="000A6A80"/>
    <w:rsid w:val="000A6BDC"/>
    <w:rsid w:val="000A6E46"/>
    <w:rsid w:val="000A6E52"/>
    <w:rsid w:val="000A70E6"/>
    <w:rsid w:val="000A70E9"/>
    <w:rsid w:val="000A7203"/>
    <w:rsid w:val="000A72BC"/>
    <w:rsid w:val="000A7465"/>
    <w:rsid w:val="000A7563"/>
    <w:rsid w:val="000A771C"/>
    <w:rsid w:val="000A78F9"/>
    <w:rsid w:val="000A7A29"/>
    <w:rsid w:val="000A7A30"/>
    <w:rsid w:val="000A7C2E"/>
    <w:rsid w:val="000B0124"/>
    <w:rsid w:val="000B03E0"/>
    <w:rsid w:val="000B0D74"/>
    <w:rsid w:val="000B0DDD"/>
    <w:rsid w:val="000B0E44"/>
    <w:rsid w:val="000B17DE"/>
    <w:rsid w:val="000B1847"/>
    <w:rsid w:val="000B1A03"/>
    <w:rsid w:val="000B1C1B"/>
    <w:rsid w:val="000B1D89"/>
    <w:rsid w:val="000B21B5"/>
    <w:rsid w:val="000B26C6"/>
    <w:rsid w:val="000B2853"/>
    <w:rsid w:val="000B2867"/>
    <w:rsid w:val="000B2915"/>
    <w:rsid w:val="000B2EDD"/>
    <w:rsid w:val="000B312C"/>
    <w:rsid w:val="000B3275"/>
    <w:rsid w:val="000B3CDB"/>
    <w:rsid w:val="000B41F3"/>
    <w:rsid w:val="000B4333"/>
    <w:rsid w:val="000B4550"/>
    <w:rsid w:val="000B4938"/>
    <w:rsid w:val="000B49F5"/>
    <w:rsid w:val="000B4BFF"/>
    <w:rsid w:val="000B4DF3"/>
    <w:rsid w:val="000B4F5A"/>
    <w:rsid w:val="000B4F80"/>
    <w:rsid w:val="000B5525"/>
    <w:rsid w:val="000B5A25"/>
    <w:rsid w:val="000B5ABC"/>
    <w:rsid w:val="000B5BA7"/>
    <w:rsid w:val="000B6038"/>
    <w:rsid w:val="000B634D"/>
    <w:rsid w:val="000B6603"/>
    <w:rsid w:val="000B6770"/>
    <w:rsid w:val="000B6CB8"/>
    <w:rsid w:val="000B6DEC"/>
    <w:rsid w:val="000B6DF7"/>
    <w:rsid w:val="000B7059"/>
    <w:rsid w:val="000B773D"/>
    <w:rsid w:val="000B7758"/>
    <w:rsid w:val="000B77E8"/>
    <w:rsid w:val="000B7B9E"/>
    <w:rsid w:val="000C033E"/>
    <w:rsid w:val="000C03A2"/>
    <w:rsid w:val="000C0901"/>
    <w:rsid w:val="000C0CB8"/>
    <w:rsid w:val="000C0FF5"/>
    <w:rsid w:val="000C1024"/>
    <w:rsid w:val="000C181A"/>
    <w:rsid w:val="000C18EA"/>
    <w:rsid w:val="000C1A95"/>
    <w:rsid w:val="000C1DFC"/>
    <w:rsid w:val="000C2168"/>
    <w:rsid w:val="000C28EE"/>
    <w:rsid w:val="000C31E5"/>
    <w:rsid w:val="000C3322"/>
    <w:rsid w:val="000C3528"/>
    <w:rsid w:val="000C35B2"/>
    <w:rsid w:val="000C36A0"/>
    <w:rsid w:val="000C38F1"/>
    <w:rsid w:val="000C3BBC"/>
    <w:rsid w:val="000C411B"/>
    <w:rsid w:val="000C418A"/>
    <w:rsid w:val="000C4784"/>
    <w:rsid w:val="000C49CC"/>
    <w:rsid w:val="000C4A52"/>
    <w:rsid w:val="000C4A9C"/>
    <w:rsid w:val="000C4AE2"/>
    <w:rsid w:val="000C4D0A"/>
    <w:rsid w:val="000C4F5D"/>
    <w:rsid w:val="000C53FD"/>
    <w:rsid w:val="000C58A4"/>
    <w:rsid w:val="000C5AC5"/>
    <w:rsid w:val="000C5BB9"/>
    <w:rsid w:val="000C63C2"/>
    <w:rsid w:val="000C6517"/>
    <w:rsid w:val="000C65AB"/>
    <w:rsid w:val="000C6793"/>
    <w:rsid w:val="000C6842"/>
    <w:rsid w:val="000C69C7"/>
    <w:rsid w:val="000C69D6"/>
    <w:rsid w:val="000C6FC8"/>
    <w:rsid w:val="000C7583"/>
    <w:rsid w:val="000C78F7"/>
    <w:rsid w:val="000C7A4C"/>
    <w:rsid w:val="000D0086"/>
    <w:rsid w:val="000D00F0"/>
    <w:rsid w:val="000D014C"/>
    <w:rsid w:val="000D037B"/>
    <w:rsid w:val="000D084E"/>
    <w:rsid w:val="000D09FE"/>
    <w:rsid w:val="000D0AC2"/>
    <w:rsid w:val="000D0C2E"/>
    <w:rsid w:val="000D0EAF"/>
    <w:rsid w:val="000D1070"/>
    <w:rsid w:val="000D11A8"/>
    <w:rsid w:val="000D11C4"/>
    <w:rsid w:val="000D13B3"/>
    <w:rsid w:val="000D183D"/>
    <w:rsid w:val="000D18C8"/>
    <w:rsid w:val="000D1AE2"/>
    <w:rsid w:val="000D1D43"/>
    <w:rsid w:val="000D1DE6"/>
    <w:rsid w:val="000D21A3"/>
    <w:rsid w:val="000D2257"/>
    <w:rsid w:val="000D2D64"/>
    <w:rsid w:val="000D2EA8"/>
    <w:rsid w:val="000D2FAA"/>
    <w:rsid w:val="000D303D"/>
    <w:rsid w:val="000D3577"/>
    <w:rsid w:val="000D38A6"/>
    <w:rsid w:val="000D3B6F"/>
    <w:rsid w:val="000D4000"/>
    <w:rsid w:val="000D4075"/>
    <w:rsid w:val="000D40EC"/>
    <w:rsid w:val="000D4629"/>
    <w:rsid w:val="000D4855"/>
    <w:rsid w:val="000D49ED"/>
    <w:rsid w:val="000D4DCE"/>
    <w:rsid w:val="000D4E3C"/>
    <w:rsid w:val="000D5028"/>
    <w:rsid w:val="000D5336"/>
    <w:rsid w:val="000D5743"/>
    <w:rsid w:val="000D5A68"/>
    <w:rsid w:val="000D5F69"/>
    <w:rsid w:val="000D6060"/>
    <w:rsid w:val="000D60B2"/>
    <w:rsid w:val="000D6320"/>
    <w:rsid w:val="000D648B"/>
    <w:rsid w:val="000D6530"/>
    <w:rsid w:val="000D66F0"/>
    <w:rsid w:val="000D6841"/>
    <w:rsid w:val="000D6A45"/>
    <w:rsid w:val="000D6C30"/>
    <w:rsid w:val="000D6CA3"/>
    <w:rsid w:val="000D6DD9"/>
    <w:rsid w:val="000D6E17"/>
    <w:rsid w:val="000D6EFC"/>
    <w:rsid w:val="000D6F33"/>
    <w:rsid w:val="000D71B1"/>
    <w:rsid w:val="000D72EB"/>
    <w:rsid w:val="000D7815"/>
    <w:rsid w:val="000D784F"/>
    <w:rsid w:val="000D7E49"/>
    <w:rsid w:val="000D7F99"/>
    <w:rsid w:val="000E0317"/>
    <w:rsid w:val="000E047D"/>
    <w:rsid w:val="000E0700"/>
    <w:rsid w:val="000E075A"/>
    <w:rsid w:val="000E0804"/>
    <w:rsid w:val="000E0AD2"/>
    <w:rsid w:val="000E0BA8"/>
    <w:rsid w:val="000E0C07"/>
    <w:rsid w:val="000E0EE7"/>
    <w:rsid w:val="000E11E8"/>
    <w:rsid w:val="000E126A"/>
    <w:rsid w:val="000E179A"/>
    <w:rsid w:val="000E1880"/>
    <w:rsid w:val="000E19C1"/>
    <w:rsid w:val="000E1D33"/>
    <w:rsid w:val="000E20CF"/>
    <w:rsid w:val="000E2710"/>
    <w:rsid w:val="000E2851"/>
    <w:rsid w:val="000E299F"/>
    <w:rsid w:val="000E29A4"/>
    <w:rsid w:val="000E29BB"/>
    <w:rsid w:val="000E2C21"/>
    <w:rsid w:val="000E2C2B"/>
    <w:rsid w:val="000E2EBD"/>
    <w:rsid w:val="000E33AC"/>
    <w:rsid w:val="000E38F8"/>
    <w:rsid w:val="000E399C"/>
    <w:rsid w:val="000E3ABA"/>
    <w:rsid w:val="000E3BCF"/>
    <w:rsid w:val="000E3DBD"/>
    <w:rsid w:val="000E405F"/>
    <w:rsid w:val="000E4121"/>
    <w:rsid w:val="000E4429"/>
    <w:rsid w:val="000E445F"/>
    <w:rsid w:val="000E46A3"/>
    <w:rsid w:val="000E4850"/>
    <w:rsid w:val="000E4898"/>
    <w:rsid w:val="000E4942"/>
    <w:rsid w:val="000E4A80"/>
    <w:rsid w:val="000E4E5C"/>
    <w:rsid w:val="000E4EFF"/>
    <w:rsid w:val="000E57B0"/>
    <w:rsid w:val="000E5A1E"/>
    <w:rsid w:val="000E5AEB"/>
    <w:rsid w:val="000E6034"/>
    <w:rsid w:val="000E60C3"/>
    <w:rsid w:val="000E6191"/>
    <w:rsid w:val="000E61BE"/>
    <w:rsid w:val="000E64AE"/>
    <w:rsid w:val="000E6687"/>
    <w:rsid w:val="000E6A22"/>
    <w:rsid w:val="000E6C51"/>
    <w:rsid w:val="000E7088"/>
    <w:rsid w:val="000E7175"/>
    <w:rsid w:val="000E71A6"/>
    <w:rsid w:val="000E71B1"/>
    <w:rsid w:val="000E728C"/>
    <w:rsid w:val="000E7930"/>
    <w:rsid w:val="000E7B63"/>
    <w:rsid w:val="000E7DE4"/>
    <w:rsid w:val="000E7F25"/>
    <w:rsid w:val="000E7F3A"/>
    <w:rsid w:val="000F005E"/>
    <w:rsid w:val="000F014A"/>
    <w:rsid w:val="000F0323"/>
    <w:rsid w:val="000F085B"/>
    <w:rsid w:val="000F09D0"/>
    <w:rsid w:val="000F0B21"/>
    <w:rsid w:val="000F0CF6"/>
    <w:rsid w:val="000F1208"/>
    <w:rsid w:val="000F1416"/>
    <w:rsid w:val="000F171A"/>
    <w:rsid w:val="000F1CB0"/>
    <w:rsid w:val="000F1D92"/>
    <w:rsid w:val="000F1F8B"/>
    <w:rsid w:val="000F2284"/>
    <w:rsid w:val="000F22C8"/>
    <w:rsid w:val="000F2475"/>
    <w:rsid w:val="000F2A04"/>
    <w:rsid w:val="000F3083"/>
    <w:rsid w:val="000F3084"/>
    <w:rsid w:val="000F330E"/>
    <w:rsid w:val="000F35DF"/>
    <w:rsid w:val="000F378A"/>
    <w:rsid w:val="000F3975"/>
    <w:rsid w:val="000F3EF9"/>
    <w:rsid w:val="000F3F2D"/>
    <w:rsid w:val="000F4005"/>
    <w:rsid w:val="000F433C"/>
    <w:rsid w:val="000F43FE"/>
    <w:rsid w:val="000F46A7"/>
    <w:rsid w:val="000F46C8"/>
    <w:rsid w:val="000F46E5"/>
    <w:rsid w:val="000F48E4"/>
    <w:rsid w:val="000F4B86"/>
    <w:rsid w:val="000F4D19"/>
    <w:rsid w:val="000F4EB5"/>
    <w:rsid w:val="000F5251"/>
    <w:rsid w:val="000F5798"/>
    <w:rsid w:val="000F5B0C"/>
    <w:rsid w:val="000F5F61"/>
    <w:rsid w:val="000F6104"/>
    <w:rsid w:val="000F660F"/>
    <w:rsid w:val="000F693C"/>
    <w:rsid w:val="000F6B99"/>
    <w:rsid w:val="000F6C84"/>
    <w:rsid w:val="000F719E"/>
    <w:rsid w:val="000F71AA"/>
    <w:rsid w:val="000F71E9"/>
    <w:rsid w:val="000F73E7"/>
    <w:rsid w:val="000F7653"/>
    <w:rsid w:val="000F7AC1"/>
    <w:rsid w:val="000F7AC6"/>
    <w:rsid w:val="00100126"/>
    <w:rsid w:val="00100327"/>
    <w:rsid w:val="001003C9"/>
    <w:rsid w:val="00100A21"/>
    <w:rsid w:val="00100BA0"/>
    <w:rsid w:val="00100E3D"/>
    <w:rsid w:val="00101425"/>
    <w:rsid w:val="0010145C"/>
    <w:rsid w:val="0010157B"/>
    <w:rsid w:val="001016B3"/>
    <w:rsid w:val="00101A9C"/>
    <w:rsid w:val="00101E65"/>
    <w:rsid w:val="00101F75"/>
    <w:rsid w:val="00102556"/>
    <w:rsid w:val="001025FF"/>
    <w:rsid w:val="00102603"/>
    <w:rsid w:val="00102DCB"/>
    <w:rsid w:val="001031FB"/>
    <w:rsid w:val="00103285"/>
    <w:rsid w:val="00103485"/>
    <w:rsid w:val="001036AA"/>
    <w:rsid w:val="001037B5"/>
    <w:rsid w:val="001038C8"/>
    <w:rsid w:val="0010393E"/>
    <w:rsid w:val="00103BC5"/>
    <w:rsid w:val="00103E4D"/>
    <w:rsid w:val="001040F8"/>
    <w:rsid w:val="001044BD"/>
    <w:rsid w:val="00104623"/>
    <w:rsid w:val="0010468C"/>
    <w:rsid w:val="00104963"/>
    <w:rsid w:val="001049B6"/>
    <w:rsid w:val="00105343"/>
    <w:rsid w:val="00105413"/>
    <w:rsid w:val="00105524"/>
    <w:rsid w:val="0010598A"/>
    <w:rsid w:val="00105AD9"/>
    <w:rsid w:val="00105B84"/>
    <w:rsid w:val="00105F49"/>
    <w:rsid w:val="0010605F"/>
    <w:rsid w:val="00106465"/>
    <w:rsid w:val="0010650D"/>
    <w:rsid w:val="001068E4"/>
    <w:rsid w:val="00106B7E"/>
    <w:rsid w:val="00106D61"/>
    <w:rsid w:val="00106DAE"/>
    <w:rsid w:val="00106E4C"/>
    <w:rsid w:val="00107631"/>
    <w:rsid w:val="0010772A"/>
    <w:rsid w:val="001078D7"/>
    <w:rsid w:val="00107936"/>
    <w:rsid w:val="00107E01"/>
    <w:rsid w:val="00107F93"/>
    <w:rsid w:val="00110109"/>
    <w:rsid w:val="00110378"/>
    <w:rsid w:val="00110473"/>
    <w:rsid w:val="00110864"/>
    <w:rsid w:val="001109E4"/>
    <w:rsid w:val="00110A81"/>
    <w:rsid w:val="00110E24"/>
    <w:rsid w:val="00111076"/>
    <w:rsid w:val="00111080"/>
    <w:rsid w:val="001112E1"/>
    <w:rsid w:val="0011170C"/>
    <w:rsid w:val="00111DF8"/>
    <w:rsid w:val="0011240C"/>
    <w:rsid w:val="00112422"/>
    <w:rsid w:val="001127A6"/>
    <w:rsid w:val="0011284B"/>
    <w:rsid w:val="00112AB9"/>
    <w:rsid w:val="00113371"/>
    <w:rsid w:val="001134C7"/>
    <w:rsid w:val="00113636"/>
    <w:rsid w:val="0011384C"/>
    <w:rsid w:val="00113985"/>
    <w:rsid w:val="001139E7"/>
    <w:rsid w:val="001139EE"/>
    <w:rsid w:val="00113BA7"/>
    <w:rsid w:val="00113C16"/>
    <w:rsid w:val="00113CD8"/>
    <w:rsid w:val="001140E7"/>
    <w:rsid w:val="0011413D"/>
    <w:rsid w:val="00114AE7"/>
    <w:rsid w:val="00114E9C"/>
    <w:rsid w:val="001150A8"/>
    <w:rsid w:val="00115415"/>
    <w:rsid w:val="0011548C"/>
    <w:rsid w:val="0011574E"/>
    <w:rsid w:val="00115958"/>
    <w:rsid w:val="00115B03"/>
    <w:rsid w:val="00115B0A"/>
    <w:rsid w:val="00115CBA"/>
    <w:rsid w:val="00115E70"/>
    <w:rsid w:val="0011617B"/>
    <w:rsid w:val="001161DA"/>
    <w:rsid w:val="001162C8"/>
    <w:rsid w:val="001166C2"/>
    <w:rsid w:val="00116E6E"/>
    <w:rsid w:val="00117231"/>
    <w:rsid w:val="001172F6"/>
    <w:rsid w:val="00117389"/>
    <w:rsid w:val="00117425"/>
    <w:rsid w:val="001175CE"/>
    <w:rsid w:val="0011768C"/>
    <w:rsid w:val="00117D80"/>
    <w:rsid w:val="00117F46"/>
    <w:rsid w:val="00117F5A"/>
    <w:rsid w:val="001200E7"/>
    <w:rsid w:val="00120503"/>
    <w:rsid w:val="001208C8"/>
    <w:rsid w:val="0012096E"/>
    <w:rsid w:val="00120980"/>
    <w:rsid w:val="001209AC"/>
    <w:rsid w:val="001209EB"/>
    <w:rsid w:val="00120E1F"/>
    <w:rsid w:val="00120FF3"/>
    <w:rsid w:val="0012113A"/>
    <w:rsid w:val="00121281"/>
    <w:rsid w:val="001214F8"/>
    <w:rsid w:val="0012187C"/>
    <w:rsid w:val="00121A95"/>
    <w:rsid w:val="00121CF4"/>
    <w:rsid w:val="00121FB7"/>
    <w:rsid w:val="00122144"/>
    <w:rsid w:val="001223A2"/>
    <w:rsid w:val="00122B67"/>
    <w:rsid w:val="00122CDF"/>
    <w:rsid w:val="00122EC1"/>
    <w:rsid w:val="00122F9C"/>
    <w:rsid w:val="001232B5"/>
    <w:rsid w:val="001232BD"/>
    <w:rsid w:val="001233D3"/>
    <w:rsid w:val="0012374A"/>
    <w:rsid w:val="00123868"/>
    <w:rsid w:val="00123CD1"/>
    <w:rsid w:val="00123DD5"/>
    <w:rsid w:val="0012405B"/>
    <w:rsid w:val="00124203"/>
    <w:rsid w:val="0012421F"/>
    <w:rsid w:val="0012458D"/>
    <w:rsid w:val="0012481F"/>
    <w:rsid w:val="0012499E"/>
    <w:rsid w:val="00124B5A"/>
    <w:rsid w:val="00124BC1"/>
    <w:rsid w:val="00124E61"/>
    <w:rsid w:val="00125005"/>
    <w:rsid w:val="00125335"/>
    <w:rsid w:val="00125352"/>
    <w:rsid w:val="001254E7"/>
    <w:rsid w:val="00125716"/>
    <w:rsid w:val="00125A08"/>
    <w:rsid w:val="00125C37"/>
    <w:rsid w:val="00125CEB"/>
    <w:rsid w:val="00125F01"/>
    <w:rsid w:val="001260B8"/>
    <w:rsid w:val="001260BA"/>
    <w:rsid w:val="00126244"/>
    <w:rsid w:val="00126279"/>
    <w:rsid w:val="0012637D"/>
    <w:rsid w:val="00126733"/>
    <w:rsid w:val="00126D08"/>
    <w:rsid w:val="00126DED"/>
    <w:rsid w:val="00126E08"/>
    <w:rsid w:val="00126E18"/>
    <w:rsid w:val="00127461"/>
    <w:rsid w:val="00127591"/>
    <w:rsid w:val="00127849"/>
    <w:rsid w:val="00127921"/>
    <w:rsid w:val="001279BD"/>
    <w:rsid w:val="00127C1B"/>
    <w:rsid w:val="00127C70"/>
    <w:rsid w:val="00127DE1"/>
    <w:rsid w:val="00127F03"/>
    <w:rsid w:val="00130097"/>
    <w:rsid w:val="0013025E"/>
    <w:rsid w:val="0013038E"/>
    <w:rsid w:val="001305BD"/>
    <w:rsid w:val="00130A2F"/>
    <w:rsid w:val="00130A42"/>
    <w:rsid w:val="00130B50"/>
    <w:rsid w:val="00130C73"/>
    <w:rsid w:val="00130CCF"/>
    <w:rsid w:val="001311D6"/>
    <w:rsid w:val="001311E8"/>
    <w:rsid w:val="0013128C"/>
    <w:rsid w:val="001313D1"/>
    <w:rsid w:val="001314BB"/>
    <w:rsid w:val="001316CA"/>
    <w:rsid w:val="00131A3E"/>
    <w:rsid w:val="00131BD6"/>
    <w:rsid w:val="00131BF7"/>
    <w:rsid w:val="00131E00"/>
    <w:rsid w:val="00132411"/>
    <w:rsid w:val="00132430"/>
    <w:rsid w:val="001326E4"/>
    <w:rsid w:val="00132C59"/>
    <w:rsid w:val="00132E3A"/>
    <w:rsid w:val="00132E8C"/>
    <w:rsid w:val="00133106"/>
    <w:rsid w:val="00133151"/>
    <w:rsid w:val="001333F3"/>
    <w:rsid w:val="00133504"/>
    <w:rsid w:val="001337E6"/>
    <w:rsid w:val="0013380E"/>
    <w:rsid w:val="001339D2"/>
    <w:rsid w:val="00133A2E"/>
    <w:rsid w:val="00133CE0"/>
    <w:rsid w:val="00134211"/>
    <w:rsid w:val="00134324"/>
    <w:rsid w:val="00134473"/>
    <w:rsid w:val="00134821"/>
    <w:rsid w:val="00135128"/>
    <w:rsid w:val="00135284"/>
    <w:rsid w:val="00135CC4"/>
    <w:rsid w:val="00135DEF"/>
    <w:rsid w:val="00135E0F"/>
    <w:rsid w:val="00135F16"/>
    <w:rsid w:val="001363B4"/>
    <w:rsid w:val="0013650D"/>
    <w:rsid w:val="00136705"/>
    <w:rsid w:val="001368CC"/>
    <w:rsid w:val="0013695A"/>
    <w:rsid w:val="00136A26"/>
    <w:rsid w:val="00136D82"/>
    <w:rsid w:val="00136F4B"/>
    <w:rsid w:val="00137153"/>
    <w:rsid w:val="001374A7"/>
    <w:rsid w:val="00137525"/>
    <w:rsid w:val="0013768A"/>
    <w:rsid w:val="00137706"/>
    <w:rsid w:val="00137834"/>
    <w:rsid w:val="00137A90"/>
    <w:rsid w:val="00137B5B"/>
    <w:rsid w:val="001401AF"/>
    <w:rsid w:val="0014048B"/>
    <w:rsid w:val="001407DE"/>
    <w:rsid w:val="00140EBD"/>
    <w:rsid w:val="0014105A"/>
    <w:rsid w:val="001411C8"/>
    <w:rsid w:val="00141477"/>
    <w:rsid w:val="001414A2"/>
    <w:rsid w:val="0014181E"/>
    <w:rsid w:val="001419B2"/>
    <w:rsid w:val="00141C2D"/>
    <w:rsid w:val="00141E5A"/>
    <w:rsid w:val="0014227A"/>
    <w:rsid w:val="0014227C"/>
    <w:rsid w:val="00142333"/>
    <w:rsid w:val="0014235D"/>
    <w:rsid w:val="0014253B"/>
    <w:rsid w:val="00142AD8"/>
    <w:rsid w:val="00142B15"/>
    <w:rsid w:val="00142B3B"/>
    <w:rsid w:val="00142C99"/>
    <w:rsid w:val="00142D5F"/>
    <w:rsid w:val="001430D6"/>
    <w:rsid w:val="001436AB"/>
    <w:rsid w:val="00143949"/>
    <w:rsid w:val="00143B9B"/>
    <w:rsid w:val="001440BF"/>
    <w:rsid w:val="00144178"/>
    <w:rsid w:val="0014442B"/>
    <w:rsid w:val="001445EC"/>
    <w:rsid w:val="00144974"/>
    <w:rsid w:val="00144A75"/>
    <w:rsid w:val="00144B79"/>
    <w:rsid w:val="00144EE0"/>
    <w:rsid w:val="00144F26"/>
    <w:rsid w:val="0014501A"/>
    <w:rsid w:val="00145156"/>
    <w:rsid w:val="00145B17"/>
    <w:rsid w:val="00145B53"/>
    <w:rsid w:val="00145DA9"/>
    <w:rsid w:val="00146217"/>
    <w:rsid w:val="001463E8"/>
    <w:rsid w:val="0014656E"/>
    <w:rsid w:val="00146620"/>
    <w:rsid w:val="00146702"/>
    <w:rsid w:val="0014690D"/>
    <w:rsid w:val="00146E58"/>
    <w:rsid w:val="0014708E"/>
    <w:rsid w:val="001473FD"/>
    <w:rsid w:val="001474D5"/>
    <w:rsid w:val="001478AC"/>
    <w:rsid w:val="00150928"/>
    <w:rsid w:val="00150967"/>
    <w:rsid w:val="00150D64"/>
    <w:rsid w:val="001510F0"/>
    <w:rsid w:val="001513C1"/>
    <w:rsid w:val="001513D7"/>
    <w:rsid w:val="0015142E"/>
    <w:rsid w:val="0015154D"/>
    <w:rsid w:val="001515F8"/>
    <w:rsid w:val="001519CD"/>
    <w:rsid w:val="001519E1"/>
    <w:rsid w:val="00151B33"/>
    <w:rsid w:val="00151B78"/>
    <w:rsid w:val="00151EFF"/>
    <w:rsid w:val="001521F6"/>
    <w:rsid w:val="001524BB"/>
    <w:rsid w:val="00152953"/>
    <w:rsid w:val="00152AA2"/>
    <w:rsid w:val="00152D56"/>
    <w:rsid w:val="00152E40"/>
    <w:rsid w:val="0015314C"/>
    <w:rsid w:val="00153256"/>
    <w:rsid w:val="001533D0"/>
    <w:rsid w:val="0015373D"/>
    <w:rsid w:val="0015379E"/>
    <w:rsid w:val="0015396B"/>
    <w:rsid w:val="00153ED3"/>
    <w:rsid w:val="00153F45"/>
    <w:rsid w:val="001541D1"/>
    <w:rsid w:val="0015485F"/>
    <w:rsid w:val="00155295"/>
    <w:rsid w:val="001554EC"/>
    <w:rsid w:val="00155645"/>
    <w:rsid w:val="00155666"/>
    <w:rsid w:val="001556C8"/>
    <w:rsid w:val="001556D9"/>
    <w:rsid w:val="00155715"/>
    <w:rsid w:val="00155877"/>
    <w:rsid w:val="00155D85"/>
    <w:rsid w:val="001561A5"/>
    <w:rsid w:val="00156227"/>
    <w:rsid w:val="001562EC"/>
    <w:rsid w:val="00156322"/>
    <w:rsid w:val="001565EC"/>
    <w:rsid w:val="001566C2"/>
    <w:rsid w:val="001567A6"/>
    <w:rsid w:val="00156927"/>
    <w:rsid w:val="00156F78"/>
    <w:rsid w:val="00157244"/>
    <w:rsid w:val="00157269"/>
    <w:rsid w:val="001572BF"/>
    <w:rsid w:val="001573AA"/>
    <w:rsid w:val="0015757A"/>
    <w:rsid w:val="00157859"/>
    <w:rsid w:val="0015792B"/>
    <w:rsid w:val="001579D8"/>
    <w:rsid w:val="00157C8A"/>
    <w:rsid w:val="00157CFA"/>
    <w:rsid w:val="00157EFE"/>
    <w:rsid w:val="0016003F"/>
    <w:rsid w:val="00160251"/>
    <w:rsid w:val="0016043F"/>
    <w:rsid w:val="00160678"/>
    <w:rsid w:val="00160723"/>
    <w:rsid w:val="00160CA0"/>
    <w:rsid w:val="00160FAC"/>
    <w:rsid w:val="0016137C"/>
    <w:rsid w:val="001613A0"/>
    <w:rsid w:val="001614B2"/>
    <w:rsid w:val="001614D6"/>
    <w:rsid w:val="00161BE5"/>
    <w:rsid w:val="00161BFB"/>
    <w:rsid w:val="00161EB4"/>
    <w:rsid w:val="00162065"/>
    <w:rsid w:val="001620DF"/>
    <w:rsid w:val="001620F5"/>
    <w:rsid w:val="001620FC"/>
    <w:rsid w:val="001621C8"/>
    <w:rsid w:val="001623F8"/>
    <w:rsid w:val="00162474"/>
    <w:rsid w:val="0016267E"/>
    <w:rsid w:val="001629E1"/>
    <w:rsid w:val="00162BA3"/>
    <w:rsid w:val="00162DBF"/>
    <w:rsid w:val="0016321E"/>
    <w:rsid w:val="0016392A"/>
    <w:rsid w:val="00163958"/>
    <w:rsid w:val="00164012"/>
    <w:rsid w:val="0016415D"/>
    <w:rsid w:val="0016456B"/>
    <w:rsid w:val="0016471A"/>
    <w:rsid w:val="0016478F"/>
    <w:rsid w:val="001648F9"/>
    <w:rsid w:val="00164A3C"/>
    <w:rsid w:val="00164AE8"/>
    <w:rsid w:val="00164B30"/>
    <w:rsid w:val="00164E71"/>
    <w:rsid w:val="00165055"/>
    <w:rsid w:val="0016507B"/>
    <w:rsid w:val="00165FB9"/>
    <w:rsid w:val="001664FC"/>
    <w:rsid w:val="001668D6"/>
    <w:rsid w:val="00166CE7"/>
    <w:rsid w:val="00166DFA"/>
    <w:rsid w:val="00166E97"/>
    <w:rsid w:val="00166F28"/>
    <w:rsid w:val="0016711A"/>
    <w:rsid w:val="001678A0"/>
    <w:rsid w:val="00167B67"/>
    <w:rsid w:val="0017036B"/>
    <w:rsid w:val="0017074B"/>
    <w:rsid w:val="00171017"/>
    <w:rsid w:val="0017150C"/>
    <w:rsid w:val="00171561"/>
    <w:rsid w:val="0017162F"/>
    <w:rsid w:val="001717F4"/>
    <w:rsid w:val="00171AB6"/>
    <w:rsid w:val="00172321"/>
    <w:rsid w:val="001723D5"/>
    <w:rsid w:val="001724E8"/>
    <w:rsid w:val="001725AD"/>
    <w:rsid w:val="0017268D"/>
    <w:rsid w:val="0017284B"/>
    <w:rsid w:val="00172B59"/>
    <w:rsid w:val="00172DB3"/>
    <w:rsid w:val="00172E1D"/>
    <w:rsid w:val="00172ECF"/>
    <w:rsid w:val="001731A2"/>
    <w:rsid w:val="001732CF"/>
    <w:rsid w:val="001732D5"/>
    <w:rsid w:val="001737F3"/>
    <w:rsid w:val="001739E8"/>
    <w:rsid w:val="00173A45"/>
    <w:rsid w:val="00173BB1"/>
    <w:rsid w:val="00173DC8"/>
    <w:rsid w:val="00174044"/>
    <w:rsid w:val="0017423E"/>
    <w:rsid w:val="001742A2"/>
    <w:rsid w:val="00174575"/>
    <w:rsid w:val="00174753"/>
    <w:rsid w:val="00174766"/>
    <w:rsid w:val="00174A70"/>
    <w:rsid w:val="00174B0D"/>
    <w:rsid w:val="00174BCF"/>
    <w:rsid w:val="00174DDD"/>
    <w:rsid w:val="00175572"/>
    <w:rsid w:val="001757DD"/>
    <w:rsid w:val="00175806"/>
    <w:rsid w:val="00175C8A"/>
    <w:rsid w:val="00176479"/>
    <w:rsid w:val="0017664A"/>
    <w:rsid w:val="0017687D"/>
    <w:rsid w:val="00176B39"/>
    <w:rsid w:val="00176C2B"/>
    <w:rsid w:val="001774C1"/>
    <w:rsid w:val="00177642"/>
    <w:rsid w:val="00177676"/>
    <w:rsid w:val="00177D55"/>
    <w:rsid w:val="00177E1F"/>
    <w:rsid w:val="001800D1"/>
    <w:rsid w:val="001802B0"/>
    <w:rsid w:val="00180592"/>
    <w:rsid w:val="0018063C"/>
    <w:rsid w:val="00180663"/>
    <w:rsid w:val="001807A5"/>
    <w:rsid w:val="00180841"/>
    <w:rsid w:val="00180B54"/>
    <w:rsid w:val="00180C76"/>
    <w:rsid w:val="00180D86"/>
    <w:rsid w:val="0018130E"/>
    <w:rsid w:val="0018181B"/>
    <w:rsid w:val="00181888"/>
    <w:rsid w:val="00181B85"/>
    <w:rsid w:val="00181C21"/>
    <w:rsid w:val="00181C90"/>
    <w:rsid w:val="00181F9C"/>
    <w:rsid w:val="0018200A"/>
    <w:rsid w:val="0018227D"/>
    <w:rsid w:val="00182546"/>
    <w:rsid w:val="0018295F"/>
    <w:rsid w:val="001829A6"/>
    <w:rsid w:val="001829EA"/>
    <w:rsid w:val="00182B14"/>
    <w:rsid w:val="00182CF3"/>
    <w:rsid w:val="001831A9"/>
    <w:rsid w:val="0018320C"/>
    <w:rsid w:val="00183344"/>
    <w:rsid w:val="00183371"/>
    <w:rsid w:val="00183A80"/>
    <w:rsid w:val="00183C1C"/>
    <w:rsid w:val="00183C6F"/>
    <w:rsid w:val="00183F9B"/>
    <w:rsid w:val="00184451"/>
    <w:rsid w:val="001844F5"/>
    <w:rsid w:val="00184522"/>
    <w:rsid w:val="001845EF"/>
    <w:rsid w:val="001845F2"/>
    <w:rsid w:val="0018470F"/>
    <w:rsid w:val="00184B72"/>
    <w:rsid w:val="00185065"/>
    <w:rsid w:val="001850ED"/>
    <w:rsid w:val="00185192"/>
    <w:rsid w:val="0018583C"/>
    <w:rsid w:val="001858A9"/>
    <w:rsid w:val="001858F3"/>
    <w:rsid w:val="00185B1D"/>
    <w:rsid w:val="00185B95"/>
    <w:rsid w:val="00185CC0"/>
    <w:rsid w:val="00185DA4"/>
    <w:rsid w:val="00185DF5"/>
    <w:rsid w:val="00185E3E"/>
    <w:rsid w:val="00186055"/>
    <w:rsid w:val="00186202"/>
    <w:rsid w:val="0018634B"/>
    <w:rsid w:val="001864FB"/>
    <w:rsid w:val="00186915"/>
    <w:rsid w:val="00186A1B"/>
    <w:rsid w:val="001871F3"/>
    <w:rsid w:val="00187363"/>
    <w:rsid w:val="00187562"/>
    <w:rsid w:val="001876D1"/>
    <w:rsid w:val="001876D7"/>
    <w:rsid w:val="00187886"/>
    <w:rsid w:val="00187A1D"/>
    <w:rsid w:val="00187B6C"/>
    <w:rsid w:val="00187BE0"/>
    <w:rsid w:val="00187D5B"/>
    <w:rsid w:val="00187E04"/>
    <w:rsid w:val="00187F25"/>
    <w:rsid w:val="0019042E"/>
    <w:rsid w:val="00190752"/>
    <w:rsid w:val="0019090B"/>
    <w:rsid w:val="00190B57"/>
    <w:rsid w:val="00190D0D"/>
    <w:rsid w:val="00190D99"/>
    <w:rsid w:val="00190DF3"/>
    <w:rsid w:val="00190DFA"/>
    <w:rsid w:val="0019117F"/>
    <w:rsid w:val="001912D7"/>
    <w:rsid w:val="00191340"/>
    <w:rsid w:val="00191503"/>
    <w:rsid w:val="00191566"/>
    <w:rsid w:val="00191979"/>
    <w:rsid w:val="00191D5E"/>
    <w:rsid w:val="00191DA0"/>
    <w:rsid w:val="0019227A"/>
    <w:rsid w:val="00192438"/>
    <w:rsid w:val="001926EE"/>
    <w:rsid w:val="00192A91"/>
    <w:rsid w:val="00193094"/>
    <w:rsid w:val="0019313F"/>
    <w:rsid w:val="00193790"/>
    <w:rsid w:val="0019380B"/>
    <w:rsid w:val="0019393E"/>
    <w:rsid w:val="001939E3"/>
    <w:rsid w:val="00193AB6"/>
    <w:rsid w:val="00193AD1"/>
    <w:rsid w:val="00193B45"/>
    <w:rsid w:val="00193BD9"/>
    <w:rsid w:val="0019437A"/>
    <w:rsid w:val="00194423"/>
    <w:rsid w:val="001947A0"/>
    <w:rsid w:val="00194923"/>
    <w:rsid w:val="00194AF8"/>
    <w:rsid w:val="00194D88"/>
    <w:rsid w:val="00194FBA"/>
    <w:rsid w:val="001951D0"/>
    <w:rsid w:val="0019569B"/>
    <w:rsid w:val="001957B4"/>
    <w:rsid w:val="00195AA9"/>
    <w:rsid w:val="001960DD"/>
    <w:rsid w:val="00196165"/>
    <w:rsid w:val="00196496"/>
    <w:rsid w:val="00196540"/>
    <w:rsid w:val="00196618"/>
    <w:rsid w:val="00196A39"/>
    <w:rsid w:val="00196B3B"/>
    <w:rsid w:val="00196B88"/>
    <w:rsid w:val="00196BD4"/>
    <w:rsid w:val="00196E0B"/>
    <w:rsid w:val="00196FBE"/>
    <w:rsid w:val="001970E3"/>
    <w:rsid w:val="001971B0"/>
    <w:rsid w:val="0019722E"/>
    <w:rsid w:val="001972B2"/>
    <w:rsid w:val="00197348"/>
    <w:rsid w:val="00197809"/>
    <w:rsid w:val="001A02E1"/>
    <w:rsid w:val="001A0535"/>
    <w:rsid w:val="001A0678"/>
    <w:rsid w:val="001A0740"/>
    <w:rsid w:val="001A0754"/>
    <w:rsid w:val="001A184D"/>
    <w:rsid w:val="001A18CB"/>
    <w:rsid w:val="001A193D"/>
    <w:rsid w:val="001A199C"/>
    <w:rsid w:val="001A19A3"/>
    <w:rsid w:val="001A1B9B"/>
    <w:rsid w:val="001A1DE0"/>
    <w:rsid w:val="001A1E85"/>
    <w:rsid w:val="001A2001"/>
    <w:rsid w:val="001A2159"/>
    <w:rsid w:val="001A231A"/>
    <w:rsid w:val="001A2450"/>
    <w:rsid w:val="001A27E8"/>
    <w:rsid w:val="001A2A18"/>
    <w:rsid w:val="001A2E6B"/>
    <w:rsid w:val="001A2EA8"/>
    <w:rsid w:val="001A2FE7"/>
    <w:rsid w:val="001A3140"/>
    <w:rsid w:val="001A3468"/>
    <w:rsid w:val="001A3504"/>
    <w:rsid w:val="001A3683"/>
    <w:rsid w:val="001A37B8"/>
    <w:rsid w:val="001A3A19"/>
    <w:rsid w:val="001A3E7F"/>
    <w:rsid w:val="001A3E9B"/>
    <w:rsid w:val="001A40FB"/>
    <w:rsid w:val="001A4101"/>
    <w:rsid w:val="001A468F"/>
    <w:rsid w:val="001A49CA"/>
    <w:rsid w:val="001A4B04"/>
    <w:rsid w:val="001A4B0B"/>
    <w:rsid w:val="001A4D1F"/>
    <w:rsid w:val="001A4DEE"/>
    <w:rsid w:val="001A4EA3"/>
    <w:rsid w:val="001A5135"/>
    <w:rsid w:val="001A5243"/>
    <w:rsid w:val="001A5405"/>
    <w:rsid w:val="001A5DE3"/>
    <w:rsid w:val="001A5FC6"/>
    <w:rsid w:val="001A5FEB"/>
    <w:rsid w:val="001A631F"/>
    <w:rsid w:val="001A63AC"/>
    <w:rsid w:val="001A63DB"/>
    <w:rsid w:val="001A6418"/>
    <w:rsid w:val="001A6584"/>
    <w:rsid w:val="001A6CD7"/>
    <w:rsid w:val="001A6DB3"/>
    <w:rsid w:val="001A6E53"/>
    <w:rsid w:val="001A6EFB"/>
    <w:rsid w:val="001A6F12"/>
    <w:rsid w:val="001A70CA"/>
    <w:rsid w:val="001A719C"/>
    <w:rsid w:val="001A72BD"/>
    <w:rsid w:val="001A75B7"/>
    <w:rsid w:val="001A767B"/>
    <w:rsid w:val="001A7D42"/>
    <w:rsid w:val="001A7DD6"/>
    <w:rsid w:val="001A7EE7"/>
    <w:rsid w:val="001B0091"/>
    <w:rsid w:val="001B00EA"/>
    <w:rsid w:val="001B0320"/>
    <w:rsid w:val="001B0849"/>
    <w:rsid w:val="001B095C"/>
    <w:rsid w:val="001B0E84"/>
    <w:rsid w:val="001B1100"/>
    <w:rsid w:val="001B1256"/>
    <w:rsid w:val="001B1466"/>
    <w:rsid w:val="001B1553"/>
    <w:rsid w:val="001B16D8"/>
    <w:rsid w:val="001B190D"/>
    <w:rsid w:val="001B2123"/>
    <w:rsid w:val="001B24C0"/>
    <w:rsid w:val="001B24F4"/>
    <w:rsid w:val="001B286E"/>
    <w:rsid w:val="001B2892"/>
    <w:rsid w:val="001B2A16"/>
    <w:rsid w:val="001B2F3C"/>
    <w:rsid w:val="001B2FD0"/>
    <w:rsid w:val="001B3549"/>
    <w:rsid w:val="001B379C"/>
    <w:rsid w:val="001B3830"/>
    <w:rsid w:val="001B38BB"/>
    <w:rsid w:val="001B3A82"/>
    <w:rsid w:val="001B3A9B"/>
    <w:rsid w:val="001B3DCF"/>
    <w:rsid w:val="001B4082"/>
    <w:rsid w:val="001B4165"/>
    <w:rsid w:val="001B44DE"/>
    <w:rsid w:val="001B4528"/>
    <w:rsid w:val="001B46D1"/>
    <w:rsid w:val="001B49F9"/>
    <w:rsid w:val="001B4C0B"/>
    <w:rsid w:val="001B4C78"/>
    <w:rsid w:val="001B5043"/>
    <w:rsid w:val="001B54CD"/>
    <w:rsid w:val="001B57AB"/>
    <w:rsid w:val="001B585B"/>
    <w:rsid w:val="001B5C6F"/>
    <w:rsid w:val="001B5EBD"/>
    <w:rsid w:val="001B6324"/>
    <w:rsid w:val="001B652A"/>
    <w:rsid w:val="001B6AD0"/>
    <w:rsid w:val="001B6DD6"/>
    <w:rsid w:val="001B702E"/>
    <w:rsid w:val="001B780E"/>
    <w:rsid w:val="001B7C59"/>
    <w:rsid w:val="001B7DF0"/>
    <w:rsid w:val="001B7DF8"/>
    <w:rsid w:val="001C089B"/>
    <w:rsid w:val="001C0B5F"/>
    <w:rsid w:val="001C0ECC"/>
    <w:rsid w:val="001C0F69"/>
    <w:rsid w:val="001C1244"/>
    <w:rsid w:val="001C19B1"/>
    <w:rsid w:val="001C1F87"/>
    <w:rsid w:val="001C2325"/>
    <w:rsid w:val="001C2332"/>
    <w:rsid w:val="001C2379"/>
    <w:rsid w:val="001C26EC"/>
    <w:rsid w:val="001C2702"/>
    <w:rsid w:val="001C2EA9"/>
    <w:rsid w:val="001C2F1F"/>
    <w:rsid w:val="001C2F69"/>
    <w:rsid w:val="001C3246"/>
    <w:rsid w:val="001C32E9"/>
    <w:rsid w:val="001C33F2"/>
    <w:rsid w:val="001C3540"/>
    <w:rsid w:val="001C36ED"/>
    <w:rsid w:val="001C38D2"/>
    <w:rsid w:val="001C38E0"/>
    <w:rsid w:val="001C39F4"/>
    <w:rsid w:val="001C3C77"/>
    <w:rsid w:val="001C4256"/>
    <w:rsid w:val="001C4781"/>
    <w:rsid w:val="001C4916"/>
    <w:rsid w:val="001C4976"/>
    <w:rsid w:val="001C4A36"/>
    <w:rsid w:val="001C51FB"/>
    <w:rsid w:val="001C571F"/>
    <w:rsid w:val="001C57A8"/>
    <w:rsid w:val="001C5988"/>
    <w:rsid w:val="001C5DE6"/>
    <w:rsid w:val="001C5DFD"/>
    <w:rsid w:val="001C5FA7"/>
    <w:rsid w:val="001C642E"/>
    <w:rsid w:val="001C6571"/>
    <w:rsid w:val="001C65CD"/>
    <w:rsid w:val="001C65D4"/>
    <w:rsid w:val="001C688A"/>
    <w:rsid w:val="001C69DD"/>
    <w:rsid w:val="001C6A3D"/>
    <w:rsid w:val="001C6C9A"/>
    <w:rsid w:val="001C6D39"/>
    <w:rsid w:val="001C7006"/>
    <w:rsid w:val="001C76DF"/>
    <w:rsid w:val="001C7B81"/>
    <w:rsid w:val="001C7D9E"/>
    <w:rsid w:val="001C7ED7"/>
    <w:rsid w:val="001C7FAE"/>
    <w:rsid w:val="001D0546"/>
    <w:rsid w:val="001D05CC"/>
    <w:rsid w:val="001D084B"/>
    <w:rsid w:val="001D1052"/>
    <w:rsid w:val="001D12A1"/>
    <w:rsid w:val="001D12D1"/>
    <w:rsid w:val="001D13BE"/>
    <w:rsid w:val="001D168B"/>
    <w:rsid w:val="001D18A2"/>
    <w:rsid w:val="001D1E6F"/>
    <w:rsid w:val="001D2067"/>
    <w:rsid w:val="001D22EB"/>
    <w:rsid w:val="001D24F0"/>
    <w:rsid w:val="001D2937"/>
    <w:rsid w:val="001D2C10"/>
    <w:rsid w:val="001D2E13"/>
    <w:rsid w:val="001D31E7"/>
    <w:rsid w:val="001D355F"/>
    <w:rsid w:val="001D3A87"/>
    <w:rsid w:val="001D3B13"/>
    <w:rsid w:val="001D3DE5"/>
    <w:rsid w:val="001D3DE7"/>
    <w:rsid w:val="001D3FD1"/>
    <w:rsid w:val="001D4833"/>
    <w:rsid w:val="001D4876"/>
    <w:rsid w:val="001D4992"/>
    <w:rsid w:val="001D4BFC"/>
    <w:rsid w:val="001D4FCB"/>
    <w:rsid w:val="001D4FD8"/>
    <w:rsid w:val="001D5068"/>
    <w:rsid w:val="001D519B"/>
    <w:rsid w:val="001D531C"/>
    <w:rsid w:val="001D5923"/>
    <w:rsid w:val="001D5B38"/>
    <w:rsid w:val="001D5C05"/>
    <w:rsid w:val="001D5D2D"/>
    <w:rsid w:val="001D5F96"/>
    <w:rsid w:val="001D5FB2"/>
    <w:rsid w:val="001D5FEB"/>
    <w:rsid w:val="001D61AA"/>
    <w:rsid w:val="001D62C6"/>
    <w:rsid w:val="001D6423"/>
    <w:rsid w:val="001D645A"/>
    <w:rsid w:val="001D6480"/>
    <w:rsid w:val="001D65A4"/>
    <w:rsid w:val="001D665C"/>
    <w:rsid w:val="001D693E"/>
    <w:rsid w:val="001D6EAF"/>
    <w:rsid w:val="001D72D4"/>
    <w:rsid w:val="001D74C8"/>
    <w:rsid w:val="001D74CA"/>
    <w:rsid w:val="001D76FF"/>
    <w:rsid w:val="001D7870"/>
    <w:rsid w:val="001D7CCD"/>
    <w:rsid w:val="001D7EF4"/>
    <w:rsid w:val="001E004B"/>
    <w:rsid w:val="001E01F6"/>
    <w:rsid w:val="001E0339"/>
    <w:rsid w:val="001E0567"/>
    <w:rsid w:val="001E05EB"/>
    <w:rsid w:val="001E0D89"/>
    <w:rsid w:val="001E0FC8"/>
    <w:rsid w:val="001E0FF7"/>
    <w:rsid w:val="001E102A"/>
    <w:rsid w:val="001E103F"/>
    <w:rsid w:val="001E106B"/>
    <w:rsid w:val="001E127E"/>
    <w:rsid w:val="001E12B3"/>
    <w:rsid w:val="001E1371"/>
    <w:rsid w:val="001E146E"/>
    <w:rsid w:val="001E16C2"/>
    <w:rsid w:val="001E2012"/>
    <w:rsid w:val="001E2203"/>
    <w:rsid w:val="001E23C8"/>
    <w:rsid w:val="001E266C"/>
    <w:rsid w:val="001E26DF"/>
    <w:rsid w:val="001E280D"/>
    <w:rsid w:val="001E286C"/>
    <w:rsid w:val="001E2C57"/>
    <w:rsid w:val="001E3037"/>
    <w:rsid w:val="001E3092"/>
    <w:rsid w:val="001E3120"/>
    <w:rsid w:val="001E3182"/>
    <w:rsid w:val="001E323E"/>
    <w:rsid w:val="001E35F9"/>
    <w:rsid w:val="001E365B"/>
    <w:rsid w:val="001E3736"/>
    <w:rsid w:val="001E3AF4"/>
    <w:rsid w:val="001E3BC6"/>
    <w:rsid w:val="001E3E93"/>
    <w:rsid w:val="001E4386"/>
    <w:rsid w:val="001E453F"/>
    <w:rsid w:val="001E4592"/>
    <w:rsid w:val="001E4A8A"/>
    <w:rsid w:val="001E521F"/>
    <w:rsid w:val="001E5358"/>
    <w:rsid w:val="001E5572"/>
    <w:rsid w:val="001E5C4D"/>
    <w:rsid w:val="001E5D68"/>
    <w:rsid w:val="001E6182"/>
    <w:rsid w:val="001E6549"/>
    <w:rsid w:val="001E6CA7"/>
    <w:rsid w:val="001E6DAC"/>
    <w:rsid w:val="001E6EB5"/>
    <w:rsid w:val="001E7561"/>
    <w:rsid w:val="001E763C"/>
    <w:rsid w:val="001E77E5"/>
    <w:rsid w:val="001E7840"/>
    <w:rsid w:val="001E7A32"/>
    <w:rsid w:val="001E7AB5"/>
    <w:rsid w:val="001E7CE7"/>
    <w:rsid w:val="001E7CEC"/>
    <w:rsid w:val="001E7CFF"/>
    <w:rsid w:val="001E7DE8"/>
    <w:rsid w:val="001E7DF9"/>
    <w:rsid w:val="001E7ED4"/>
    <w:rsid w:val="001F006A"/>
    <w:rsid w:val="001F0096"/>
    <w:rsid w:val="001F0099"/>
    <w:rsid w:val="001F0188"/>
    <w:rsid w:val="001F0328"/>
    <w:rsid w:val="001F0363"/>
    <w:rsid w:val="001F0635"/>
    <w:rsid w:val="001F06AD"/>
    <w:rsid w:val="001F08CB"/>
    <w:rsid w:val="001F0B2A"/>
    <w:rsid w:val="001F0DE4"/>
    <w:rsid w:val="001F1001"/>
    <w:rsid w:val="001F1864"/>
    <w:rsid w:val="001F19F2"/>
    <w:rsid w:val="001F1AB4"/>
    <w:rsid w:val="001F1DE6"/>
    <w:rsid w:val="001F20A1"/>
    <w:rsid w:val="001F2190"/>
    <w:rsid w:val="001F21D6"/>
    <w:rsid w:val="001F22B5"/>
    <w:rsid w:val="001F23F0"/>
    <w:rsid w:val="001F2507"/>
    <w:rsid w:val="001F27A5"/>
    <w:rsid w:val="001F2BC4"/>
    <w:rsid w:val="001F2C4B"/>
    <w:rsid w:val="001F2FAA"/>
    <w:rsid w:val="001F31AD"/>
    <w:rsid w:val="001F366E"/>
    <w:rsid w:val="001F36B4"/>
    <w:rsid w:val="001F36E7"/>
    <w:rsid w:val="001F3784"/>
    <w:rsid w:val="001F37C7"/>
    <w:rsid w:val="001F3898"/>
    <w:rsid w:val="001F3EBC"/>
    <w:rsid w:val="001F3F59"/>
    <w:rsid w:val="001F4246"/>
    <w:rsid w:val="001F492C"/>
    <w:rsid w:val="001F493C"/>
    <w:rsid w:val="001F4B9C"/>
    <w:rsid w:val="001F4C87"/>
    <w:rsid w:val="001F4E97"/>
    <w:rsid w:val="001F539C"/>
    <w:rsid w:val="001F57AB"/>
    <w:rsid w:val="001F5BC2"/>
    <w:rsid w:val="001F5D54"/>
    <w:rsid w:val="001F6185"/>
    <w:rsid w:val="001F634F"/>
    <w:rsid w:val="001F6558"/>
    <w:rsid w:val="001F6623"/>
    <w:rsid w:val="001F68B2"/>
    <w:rsid w:val="001F68D7"/>
    <w:rsid w:val="001F6A06"/>
    <w:rsid w:val="001F6A5A"/>
    <w:rsid w:val="001F6BEC"/>
    <w:rsid w:val="001F6C8E"/>
    <w:rsid w:val="001F6CBF"/>
    <w:rsid w:val="001F7125"/>
    <w:rsid w:val="001F71D2"/>
    <w:rsid w:val="001F7250"/>
    <w:rsid w:val="001F741A"/>
    <w:rsid w:val="001F74DB"/>
    <w:rsid w:val="001F754C"/>
    <w:rsid w:val="001F77F9"/>
    <w:rsid w:val="001F78C0"/>
    <w:rsid w:val="001F7947"/>
    <w:rsid w:val="001F7964"/>
    <w:rsid w:val="001F7A28"/>
    <w:rsid w:val="001F7AE5"/>
    <w:rsid w:val="001F7B03"/>
    <w:rsid w:val="001F7E64"/>
    <w:rsid w:val="002005B3"/>
    <w:rsid w:val="002007D6"/>
    <w:rsid w:val="002008A5"/>
    <w:rsid w:val="00200948"/>
    <w:rsid w:val="00200FE5"/>
    <w:rsid w:val="0020111B"/>
    <w:rsid w:val="0020127E"/>
    <w:rsid w:val="002013DD"/>
    <w:rsid w:val="00201644"/>
    <w:rsid w:val="002016BF"/>
    <w:rsid w:val="002017FC"/>
    <w:rsid w:val="0020188D"/>
    <w:rsid w:val="00201CD6"/>
    <w:rsid w:val="00201D17"/>
    <w:rsid w:val="00201EDA"/>
    <w:rsid w:val="00201F17"/>
    <w:rsid w:val="002026B1"/>
    <w:rsid w:val="00202775"/>
    <w:rsid w:val="002027EF"/>
    <w:rsid w:val="00202918"/>
    <w:rsid w:val="00202B2F"/>
    <w:rsid w:val="00202F30"/>
    <w:rsid w:val="0020305F"/>
    <w:rsid w:val="0020323D"/>
    <w:rsid w:val="002032EA"/>
    <w:rsid w:val="00203676"/>
    <w:rsid w:val="00203810"/>
    <w:rsid w:val="0020383A"/>
    <w:rsid w:val="00203929"/>
    <w:rsid w:val="00203987"/>
    <w:rsid w:val="002039F0"/>
    <w:rsid w:val="00203A20"/>
    <w:rsid w:val="00203BC1"/>
    <w:rsid w:val="00204031"/>
    <w:rsid w:val="002043B6"/>
    <w:rsid w:val="002045BB"/>
    <w:rsid w:val="0020468D"/>
    <w:rsid w:val="00204863"/>
    <w:rsid w:val="002049CC"/>
    <w:rsid w:val="00204AD2"/>
    <w:rsid w:val="00204BBD"/>
    <w:rsid w:val="00204CE0"/>
    <w:rsid w:val="0020516F"/>
    <w:rsid w:val="0020539E"/>
    <w:rsid w:val="00205546"/>
    <w:rsid w:val="00205619"/>
    <w:rsid w:val="00205638"/>
    <w:rsid w:val="002057F8"/>
    <w:rsid w:val="00205B26"/>
    <w:rsid w:val="00205BFF"/>
    <w:rsid w:val="00205D0E"/>
    <w:rsid w:val="00205EA5"/>
    <w:rsid w:val="0020606D"/>
    <w:rsid w:val="00206150"/>
    <w:rsid w:val="00206259"/>
    <w:rsid w:val="00206351"/>
    <w:rsid w:val="00206433"/>
    <w:rsid w:val="0020654A"/>
    <w:rsid w:val="00206789"/>
    <w:rsid w:val="002068E9"/>
    <w:rsid w:val="002069BB"/>
    <w:rsid w:val="00206A72"/>
    <w:rsid w:val="00206CEE"/>
    <w:rsid w:val="00206F0C"/>
    <w:rsid w:val="002071F4"/>
    <w:rsid w:val="00207445"/>
    <w:rsid w:val="0020747D"/>
    <w:rsid w:val="002074E3"/>
    <w:rsid w:val="002077B4"/>
    <w:rsid w:val="00207B8A"/>
    <w:rsid w:val="00207C6A"/>
    <w:rsid w:val="00210AFB"/>
    <w:rsid w:val="00210BF1"/>
    <w:rsid w:val="00210FD2"/>
    <w:rsid w:val="002111E2"/>
    <w:rsid w:val="002113B9"/>
    <w:rsid w:val="00211549"/>
    <w:rsid w:val="0021158C"/>
    <w:rsid w:val="00211616"/>
    <w:rsid w:val="00211721"/>
    <w:rsid w:val="002117EB"/>
    <w:rsid w:val="00211824"/>
    <w:rsid w:val="002118DA"/>
    <w:rsid w:val="00211AFD"/>
    <w:rsid w:val="00211D42"/>
    <w:rsid w:val="00212575"/>
    <w:rsid w:val="002127A4"/>
    <w:rsid w:val="00212B3C"/>
    <w:rsid w:val="00212E1D"/>
    <w:rsid w:val="00212F97"/>
    <w:rsid w:val="002130AF"/>
    <w:rsid w:val="002130F1"/>
    <w:rsid w:val="00213455"/>
    <w:rsid w:val="00213D12"/>
    <w:rsid w:val="00213F18"/>
    <w:rsid w:val="00214006"/>
    <w:rsid w:val="0021405D"/>
    <w:rsid w:val="002140AE"/>
    <w:rsid w:val="00214370"/>
    <w:rsid w:val="00214803"/>
    <w:rsid w:val="00214D78"/>
    <w:rsid w:val="00214F54"/>
    <w:rsid w:val="0021536E"/>
    <w:rsid w:val="002154A0"/>
    <w:rsid w:val="002156A3"/>
    <w:rsid w:val="00215799"/>
    <w:rsid w:val="002158B4"/>
    <w:rsid w:val="002158C2"/>
    <w:rsid w:val="00215A03"/>
    <w:rsid w:val="00215B33"/>
    <w:rsid w:val="00215C9C"/>
    <w:rsid w:val="00215CA4"/>
    <w:rsid w:val="00215CE2"/>
    <w:rsid w:val="00215DD2"/>
    <w:rsid w:val="002161B1"/>
    <w:rsid w:val="00216619"/>
    <w:rsid w:val="002166D4"/>
    <w:rsid w:val="00216911"/>
    <w:rsid w:val="00216DF0"/>
    <w:rsid w:val="00216E33"/>
    <w:rsid w:val="00217349"/>
    <w:rsid w:val="0021774B"/>
    <w:rsid w:val="002177B3"/>
    <w:rsid w:val="00217AB8"/>
    <w:rsid w:val="00217BE2"/>
    <w:rsid w:val="00217CC9"/>
    <w:rsid w:val="00217F3D"/>
    <w:rsid w:val="002200B1"/>
    <w:rsid w:val="0022014B"/>
    <w:rsid w:val="00220313"/>
    <w:rsid w:val="002203BF"/>
    <w:rsid w:val="00220433"/>
    <w:rsid w:val="0022080F"/>
    <w:rsid w:val="002208EE"/>
    <w:rsid w:val="002208F0"/>
    <w:rsid w:val="00220ED8"/>
    <w:rsid w:val="00221399"/>
    <w:rsid w:val="0022153A"/>
    <w:rsid w:val="00221611"/>
    <w:rsid w:val="00221848"/>
    <w:rsid w:val="002218EA"/>
    <w:rsid w:val="0022190D"/>
    <w:rsid w:val="0022190F"/>
    <w:rsid w:val="00221971"/>
    <w:rsid w:val="00221A6B"/>
    <w:rsid w:val="00221A94"/>
    <w:rsid w:val="00221AE6"/>
    <w:rsid w:val="00221D0C"/>
    <w:rsid w:val="00221D4C"/>
    <w:rsid w:val="00221FEF"/>
    <w:rsid w:val="00222053"/>
    <w:rsid w:val="00222513"/>
    <w:rsid w:val="0022260F"/>
    <w:rsid w:val="00222747"/>
    <w:rsid w:val="002228B4"/>
    <w:rsid w:val="00222980"/>
    <w:rsid w:val="00222C3F"/>
    <w:rsid w:val="00222D07"/>
    <w:rsid w:val="00222DF0"/>
    <w:rsid w:val="00223140"/>
    <w:rsid w:val="002231B7"/>
    <w:rsid w:val="00223304"/>
    <w:rsid w:val="00223659"/>
    <w:rsid w:val="002236EA"/>
    <w:rsid w:val="0022386A"/>
    <w:rsid w:val="00223B03"/>
    <w:rsid w:val="00223B73"/>
    <w:rsid w:val="00223CD6"/>
    <w:rsid w:val="00223F27"/>
    <w:rsid w:val="0022430C"/>
    <w:rsid w:val="00224FDA"/>
    <w:rsid w:val="00225026"/>
    <w:rsid w:val="002250AC"/>
    <w:rsid w:val="002251B6"/>
    <w:rsid w:val="00225204"/>
    <w:rsid w:val="00225361"/>
    <w:rsid w:val="00225B92"/>
    <w:rsid w:val="00225BC9"/>
    <w:rsid w:val="00225CB3"/>
    <w:rsid w:val="002262B8"/>
    <w:rsid w:val="002265D3"/>
    <w:rsid w:val="00226656"/>
    <w:rsid w:val="002269CF"/>
    <w:rsid w:val="00226D10"/>
    <w:rsid w:val="00226E8C"/>
    <w:rsid w:val="002271E7"/>
    <w:rsid w:val="002271FB"/>
    <w:rsid w:val="00227215"/>
    <w:rsid w:val="002272EA"/>
    <w:rsid w:val="00227538"/>
    <w:rsid w:val="00227756"/>
    <w:rsid w:val="00227862"/>
    <w:rsid w:val="00227AA7"/>
    <w:rsid w:val="00227CD0"/>
    <w:rsid w:val="00227FB4"/>
    <w:rsid w:val="00230096"/>
    <w:rsid w:val="0023013D"/>
    <w:rsid w:val="002302AF"/>
    <w:rsid w:val="002304ED"/>
    <w:rsid w:val="002305E8"/>
    <w:rsid w:val="0023072F"/>
    <w:rsid w:val="00230811"/>
    <w:rsid w:val="00230AF8"/>
    <w:rsid w:val="00230BD1"/>
    <w:rsid w:val="00230C37"/>
    <w:rsid w:val="00230F3B"/>
    <w:rsid w:val="00231090"/>
    <w:rsid w:val="002311C0"/>
    <w:rsid w:val="002311D9"/>
    <w:rsid w:val="00231297"/>
    <w:rsid w:val="002315D4"/>
    <w:rsid w:val="002317D3"/>
    <w:rsid w:val="002317FC"/>
    <w:rsid w:val="002319E7"/>
    <w:rsid w:val="00232027"/>
    <w:rsid w:val="00232149"/>
    <w:rsid w:val="00232170"/>
    <w:rsid w:val="0023238D"/>
    <w:rsid w:val="002323C9"/>
    <w:rsid w:val="002323CD"/>
    <w:rsid w:val="00232515"/>
    <w:rsid w:val="00232525"/>
    <w:rsid w:val="00232768"/>
    <w:rsid w:val="002327EE"/>
    <w:rsid w:val="00232A53"/>
    <w:rsid w:val="00232C4A"/>
    <w:rsid w:val="00232F28"/>
    <w:rsid w:val="00233421"/>
    <w:rsid w:val="00233A1E"/>
    <w:rsid w:val="00233ABD"/>
    <w:rsid w:val="00233C35"/>
    <w:rsid w:val="00233CAE"/>
    <w:rsid w:val="00233D31"/>
    <w:rsid w:val="00233DCE"/>
    <w:rsid w:val="00234311"/>
    <w:rsid w:val="00234518"/>
    <w:rsid w:val="00234699"/>
    <w:rsid w:val="0023499B"/>
    <w:rsid w:val="00234E61"/>
    <w:rsid w:val="0023512B"/>
    <w:rsid w:val="002351A8"/>
    <w:rsid w:val="002352C6"/>
    <w:rsid w:val="0023551B"/>
    <w:rsid w:val="00235544"/>
    <w:rsid w:val="0023585A"/>
    <w:rsid w:val="0023593B"/>
    <w:rsid w:val="00235A28"/>
    <w:rsid w:val="00235A81"/>
    <w:rsid w:val="00235BCD"/>
    <w:rsid w:val="00235D9F"/>
    <w:rsid w:val="00236268"/>
    <w:rsid w:val="002364A6"/>
    <w:rsid w:val="002364A7"/>
    <w:rsid w:val="00236BE8"/>
    <w:rsid w:val="00236E8B"/>
    <w:rsid w:val="00236FCE"/>
    <w:rsid w:val="002373D2"/>
    <w:rsid w:val="002374C6"/>
    <w:rsid w:val="00237BAC"/>
    <w:rsid w:val="00237BBB"/>
    <w:rsid w:val="00237BD1"/>
    <w:rsid w:val="002401FA"/>
    <w:rsid w:val="00240568"/>
    <w:rsid w:val="00240750"/>
    <w:rsid w:val="00240884"/>
    <w:rsid w:val="00240A4D"/>
    <w:rsid w:val="00240BC7"/>
    <w:rsid w:val="00240D1A"/>
    <w:rsid w:val="00241001"/>
    <w:rsid w:val="00241017"/>
    <w:rsid w:val="00241277"/>
    <w:rsid w:val="002416BC"/>
    <w:rsid w:val="00241713"/>
    <w:rsid w:val="002417AB"/>
    <w:rsid w:val="00241DF0"/>
    <w:rsid w:val="002422B2"/>
    <w:rsid w:val="00242461"/>
    <w:rsid w:val="00242528"/>
    <w:rsid w:val="00242683"/>
    <w:rsid w:val="0024285F"/>
    <w:rsid w:val="00242B38"/>
    <w:rsid w:val="00242BF4"/>
    <w:rsid w:val="00242CAE"/>
    <w:rsid w:val="00242E36"/>
    <w:rsid w:val="00242FE5"/>
    <w:rsid w:val="002430CC"/>
    <w:rsid w:val="00243247"/>
    <w:rsid w:val="0024334C"/>
    <w:rsid w:val="00243673"/>
    <w:rsid w:val="00243A5A"/>
    <w:rsid w:val="00243B1B"/>
    <w:rsid w:val="00243C6C"/>
    <w:rsid w:val="00243EE7"/>
    <w:rsid w:val="00243F00"/>
    <w:rsid w:val="00244249"/>
    <w:rsid w:val="0024437B"/>
    <w:rsid w:val="00244DD9"/>
    <w:rsid w:val="0024590A"/>
    <w:rsid w:val="00245C96"/>
    <w:rsid w:val="00245DCF"/>
    <w:rsid w:val="002463DA"/>
    <w:rsid w:val="002464DE"/>
    <w:rsid w:val="002465E9"/>
    <w:rsid w:val="00246C64"/>
    <w:rsid w:val="00247100"/>
    <w:rsid w:val="00247514"/>
    <w:rsid w:val="00247692"/>
    <w:rsid w:val="00247765"/>
    <w:rsid w:val="00247CC7"/>
    <w:rsid w:val="002500C5"/>
    <w:rsid w:val="00250179"/>
    <w:rsid w:val="00250403"/>
    <w:rsid w:val="00250414"/>
    <w:rsid w:val="00250485"/>
    <w:rsid w:val="0025069E"/>
    <w:rsid w:val="00250BD2"/>
    <w:rsid w:val="00250C38"/>
    <w:rsid w:val="00250FF3"/>
    <w:rsid w:val="002514A0"/>
    <w:rsid w:val="00251544"/>
    <w:rsid w:val="002516CF"/>
    <w:rsid w:val="0025188E"/>
    <w:rsid w:val="002518A1"/>
    <w:rsid w:val="0025196D"/>
    <w:rsid w:val="002519A1"/>
    <w:rsid w:val="002521BE"/>
    <w:rsid w:val="002523CF"/>
    <w:rsid w:val="00252449"/>
    <w:rsid w:val="002529EA"/>
    <w:rsid w:val="00252B4C"/>
    <w:rsid w:val="00252DF2"/>
    <w:rsid w:val="00253292"/>
    <w:rsid w:val="00253470"/>
    <w:rsid w:val="0025353C"/>
    <w:rsid w:val="0025391D"/>
    <w:rsid w:val="00253936"/>
    <w:rsid w:val="00253B06"/>
    <w:rsid w:val="00253EA6"/>
    <w:rsid w:val="00254067"/>
    <w:rsid w:val="00254251"/>
    <w:rsid w:val="002542BD"/>
    <w:rsid w:val="00254327"/>
    <w:rsid w:val="002543AB"/>
    <w:rsid w:val="0025468F"/>
    <w:rsid w:val="0025494B"/>
    <w:rsid w:val="00254A72"/>
    <w:rsid w:val="00255255"/>
    <w:rsid w:val="00255279"/>
    <w:rsid w:val="002555DB"/>
    <w:rsid w:val="002559D6"/>
    <w:rsid w:val="00256028"/>
    <w:rsid w:val="00256070"/>
    <w:rsid w:val="00256236"/>
    <w:rsid w:val="0025648E"/>
    <w:rsid w:val="00256771"/>
    <w:rsid w:val="00256BC8"/>
    <w:rsid w:val="00256D05"/>
    <w:rsid w:val="00256F66"/>
    <w:rsid w:val="00257449"/>
    <w:rsid w:val="002574CE"/>
    <w:rsid w:val="002577B2"/>
    <w:rsid w:val="00257846"/>
    <w:rsid w:val="00257876"/>
    <w:rsid w:val="00257B3B"/>
    <w:rsid w:val="00257D1F"/>
    <w:rsid w:val="00257DFF"/>
    <w:rsid w:val="00257FFE"/>
    <w:rsid w:val="00260248"/>
    <w:rsid w:val="00260629"/>
    <w:rsid w:val="00260772"/>
    <w:rsid w:val="002607D7"/>
    <w:rsid w:val="00260B6A"/>
    <w:rsid w:val="0026103D"/>
    <w:rsid w:val="002611AF"/>
    <w:rsid w:val="00261219"/>
    <w:rsid w:val="00261495"/>
    <w:rsid w:val="00261912"/>
    <w:rsid w:val="00261B7E"/>
    <w:rsid w:val="00262187"/>
    <w:rsid w:val="002622CD"/>
    <w:rsid w:val="002622D4"/>
    <w:rsid w:val="00262450"/>
    <w:rsid w:val="00262487"/>
    <w:rsid w:val="00262493"/>
    <w:rsid w:val="0026265A"/>
    <w:rsid w:val="0026277B"/>
    <w:rsid w:val="00262930"/>
    <w:rsid w:val="0026311A"/>
    <w:rsid w:val="002637CE"/>
    <w:rsid w:val="002637EA"/>
    <w:rsid w:val="002639FA"/>
    <w:rsid w:val="00263B23"/>
    <w:rsid w:val="00263C4D"/>
    <w:rsid w:val="00263EA7"/>
    <w:rsid w:val="002643D7"/>
    <w:rsid w:val="002645BB"/>
    <w:rsid w:val="002648FD"/>
    <w:rsid w:val="002649E9"/>
    <w:rsid w:val="00264A8C"/>
    <w:rsid w:val="00264D9E"/>
    <w:rsid w:val="00264E80"/>
    <w:rsid w:val="002650B9"/>
    <w:rsid w:val="0026517A"/>
    <w:rsid w:val="002651E2"/>
    <w:rsid w:val="0026528C"/>
    <w:rsid w:val="00265960"/>
    <w:rsid w:val="00265B4B"/>
    <w:rsid w:val="00265BAF"/>
    <w:rsid w:val="00265BF5"/>
    <w:rsid w:val="00265DD3"/>
    <w:rsid w:val="00265FBA"/>
    <w:rsid w:val="0026607A"/>
    <w:rsid w:val="002660FF"/>
    <w:rsid w:val="002664D6"/>
    <w:rsid w:val="002667A1"/>
    <w:rsid w:val="00266B1A"/>
    <w:rsid w:val="00266CEE"/>
    <w:rsid w:val="00266EBC"/>
    <w:rsid w:val="0026724C"/>
    <w:rsid w:val="00267263"/>
    <w:rsid w:val="00267298"/>
    <w:rsid w:val="00267474"/>
    <w:rsid w:val="00267517"/>
    <w:rsid w:val="0026757D"/>
    <w:rsid w:val="00267A2D"/>
    <w:rsid w:val="00270149"/>
    <w:rsid w:val="00270205"/>
    <w:rsid w:val="00270603"/>
    <w:rsid w:val="002708A1"/>
    <w:rsid w:val="002708E3"/>
    <w:rsid w:val="00270C4F"/>
    <w:rsid w:val="00271048"/>
    <w:rsid w:val="00271333"/>
    <w:rsid w:val="00271745"/>
    <w:rsid w:val="002717F3"/>
    <w:rsid w:val="002718B5"/>
    <w:rsid w:val="00271A29"/>
    <w:rsid w:val="002723E9"/>
    <w:rsid w:val="002725C9"/>
    <w:rsid w:val="002726A2"/>
    <w:rsid w:val="002727AB"/>
    <w:rsid w:val="002727C5"/>
    <w:rsid w:val="00272901"/>
    <w:rsid w:val="00272BB4"/>
    <w:rsid w:val="00272C39"/>
    <w:rsid w:val="00272C42"/>
    <w:rsid w:val="00272F00"/>
    <w:rsid w:val="00272F8D"/>
    <w:rsid w:val="0027300D"/>
    <w:rsid w:val="002732A7"/>
    <w:rsid w:val="002733B2"/>
    <w:rsid w:val="002733DF"/>
    <w:rsid w:val="00273585"/>
    <w:rsid w:val="002737EC"/>
    <w:rsid w:val="0027380C"/>
    <w:rsid w:val="002739CA"/>
    <w:rsid w:val="00273BC5"/>
    <w:rsid w:val="00273F82"/>
    <w:rsid w:val="002740DB"/>
    <w:rsid w:val="002746BD"/>
    <w:rsid w:val="002746E3"/>
    <w:rsid w:val="00274720"/>
    <w:rsid w:val="00274A12"/>
    <w:rsid w:val="00274BAC"/>
    <w:rsid w:val="00274C04"/>
    <w:rsid w:val="00274F24"/>
    <w:rsid w:val="0027506B"/>
    <w:rsid w:val="002755E8"/>
    <w:rsid w:val="00275A00"/>
    <w:rsid w:val="00275B1B"/>
    <w:rsid w:val="00275BBE"/>
    <w:rsid w:val="00275CEE"/>
    <w:rsid w:val="00275E73"/>
    <w:rsid w:val="00275EAA"/>
    <w:rsid w:val="00275EF1"/>
    <w:rsid w:val="0027609F"/>
    <w:rsid w:val="00276296"/>
    <w:rsid w:val="00276FFA"/>
    <w:rsid w:val="002770FB"/>
    <w:rsid w:val="00277203"/>
    <w:rsid w:val="002772F1"/>
    <w:rsid w:val="00277419"/>
    <w:rsid w:val="0027741C"/>
    <w:rsid w:val="002779A5"/>
    <w:rsid w:val="00277B4B"/>
    <w:rsid w:val="00277B56"/>
    <w:rsid w:val="00277C32"/>
    <w:rsid w:val="00277C9A"/>
    <w:rsid w:val="00277CF2"/>
    <w:rsid w:val="00277F47"/>
    <w:rsid w:val="00280094"/>
    <w:rsid w:val="002802C8"/>
    <w:rsid w:val="0028046E"/>
    <w:rsid w:val="002806D2"/>
    <w:rsid w:val="002809DA"/>
    <w:rsid w:val="00280A64"/>
    <w:rsid w:val="00280C53"/>
    <w:rsid w:val="00280DFB"/>
    <w:rsid w:val="00280E61"/>
    <w:rsid w:val="002810DE"/>
    <w:rsid w:val="002811A2"/>
    <w:rsid w:val="00281217"/>
    <w:rsid w:val="0028125A"/>
    <w:rsid w:val="0028154A"/>
    <w:rsid w:val="00281BB7"/>
    <w:rsid w:val="00281E3A"/>
    <w:rsid w:val="00282086"/>
    <w:rsid w:val="00282284"/>
    <w:rsid w:val="0028238B"/>
    <w:rsid w:val="0028271E"/>
    <w:rsid w:val="0028281A"/>
    <w:rsid w:val="0028287A"/>
    <w:rsid w:val="002829F8"/>
    <w:rsid w:val="00282D4A"/>
    <w:rsid w:val="00282E97"/>
    <w:rsid w:val="00282F3D"/>
    <w:rsid w:val="00282F6D"/>
    <w:rsid w:val="00282FC1"/>
    <w:rsid w:val="0028327D"/>
    <w:rsid w:val="002837D8"/>
    <w:rsid w:val="00283860"/>
    <w:rsid w:val="00283990"/>
    <w:rsid w:val="00283AC9"/>
    <w:rsid w:val="00283C91"/>
    <w:rsid w:val="00283DEC"/>
    <w:rsid w:val="00283EC2"/>
    <w:rsid w:val="00284E21"/>
    <w:rsid w:val="002851DB"/>
    <w:rsid w:val="002853A1"/>
    <w:rsid w:val="00285685"/>
    <w:rsid w:val="00285A94"/>
    <w:rsid w:val="00285B26"/>
    <w:rsid w:val="00285B96"/>
    <w:rsid w:val="00285DCC"/>
    <w:rsid w:val="002860B5"/>
    <w:rsid w:val="002861A5"/>
    <w:rsid w:val="002865CE"/>
    <w:rsid w:val="00286644"/>
    <w:rsid w:val="0028668C"/>
    <w:rsid w:val="002866A9"/>
    <w:rsid w:val="002869E9"/>
    <w:rsid w:val="00286BCD"/>
    <w:rsid w:val="00287131"/>
    <w:rsid w:val="00287743"/>
    <w:rsid w:val="002877D1"/>
    <w:rsid w:val="002879AF"/>
    <w:rsid w:val="00287A3D"/>
    <w:rsid w:val="00287E7D"/>
    <w:rsid w:val="00287FF2"/>
    <w:rsid w:val="002906B4"/>
    <w:rsid w:val="00290943"/>
    <w:rsid w:val="00290C5B"/>
    <w:rsid w:val="00290DE0"/>
    <w:rsid w:val="00290FA5"/>
    <w:rsid w:val="0029134A"/>
    <w:rsid w:val="00291925"/>
    <w:rsid w:val="00291B43"/>
    <w:rsid w:val="00291C92"/>
    <w:rsid w:val="00291CF6"/>
    <w:rsid w:val="00292512"/>
    <w:rsid w:val="00292613"/>
    <w:rsid w:val="00292631"/>
    <w:rsid w:val="0029269E"/>
    <w:rsid w:val="00292701"/>
    <w:rsid w:val="00292FB0"/>
    <w:rsid w:val="002935E5"/>
    <w:rsid w:val="002938D7"/>
    <w:rsid w:val="00293B3B"/>
    <w:rsid w:val="00293C8B"/>
    <w:rsid w:val="00293F72"/>
    <w:rsid w:val="00294112"/>
    <w:rsid w:val="0029418D"/>
    <w:rsid w:val="0029474E"/>
    <w:rsid w:val="002949FC"/>
    <w:rsid w:val="00294BFD"/>
    <w:rsid w:val="00294C38"/>
    <w:rsid w:val="00295157"/>
    <w:rsid w:val="00295231"/>
    <w:rsid w:val="0029527A"/>
    <w:rsid w:val="0029545C"/>
    <w:rsid w:val="00296312"/>
    <w:rsid w:val="0029635D"/>
    <w:rsid w:val="0029660F"/>
    <w:rsid w:val="00296B44"/>
    <w:rsid w:val="00296B7C"/>
    <w:rsid w:val="00296E05"/>
    <w:rsid w:val="00296E6F"/>
    <w:rsid w:val="00296E8F"/>
    <w:rsid w:val="00297546"/>
    <w:rsid w:val="0029763E"/>
    <w:rsid w:val="002978CE"/>
    <w:rsid w:val="00297944"/>
    <w:rsid w:val="00297AA6"/>
    <w:rsid w:val="00297ADE"/>
    <w:rsid w:val="00297C93"/>
    <w:rsid w:val="00297DAE"/>
    <w:rsid w:val="002A0070"/>
    <w:rsid w:val="002A01EF"/>
    <w:rsid w:val="002A03FB"/>
    <w:rsid w:val="002A0573"/>
    <w:rsid w:val="002A086A"/>
    <w:rsid w:val="002A0BCF"/>
    <w:rsid w:val="002A0FAC"/>
    <w:rsid w:val="002A1239"/>
    <w:rsid w:val="002A1389"/>
    <w:rsid w:val="002A143F"/>
    <w:rsid w:val="002A1552"/>
    <w:rsid w:val="002A15AD"/>
    <w:rsid w:val="002A1694"/>
    <w:rsid w:val="002A16C5"/>
    <w:rsid w:val="002A1848"/>
    <w:rsid w:val="002A1B88"/>
    <w:rsid w:val="002A1C7E"/>
    <w:rsid w:val="002A1FAC"/>
    <w:rsid w:val="002A2181"/>
    <w:rsid w:val="002A23D8"/>
    <w:rsid w:val="002A2477"/>
    <w:rsid w:val="002A2781"/>
    <w:rsid w:val="002A28E7"/>
    <w:rsid w:val="002A294D"/>
    <w:rsid w:val="002A2B16"/>
    <w:rsid w:val="002A2B7D"/>
    <w:rsid w:val="002A2F7B"/>
    <w:rsid w:val="002A3402"/>
    <w:rsid w:val="002A396B"/>
    <w:rsid w:val="002A39CA"/>
    <w:rsid w:val="002A3A04"/>
    <w:rsid w:val="002A3D27"/>
    <w:rsid w:val="002A3EA6"/>
    <w:rsid w:val="002A42A0"/>
    <w:rsid w:val="002A43BA"/>
    <w:rsid w:val="002A44D1"/>
    <w:rsid w:val="002A483F"/>
    <w:rsid w:val="002A489A"/>
    <w:rsid w:val="002A4995"/>
    <w:rsid w:val="002A5329"/>
    <w:rsid w:val="002A5645"/>
    <w:rsid w:val="002A56B2"/>
    <w:rsid w:val="002A59AF"/>
    <w:rsid w:val="002A5A16"/>
    <w:rsid w:val="002A5D22"/>
    <w:rsid w:val="002A5E55"/>
    <w:rsid w:val="002A6055"/>
    <w:rsid w:val="002A60E1"/>
    <w:rsid w:val="002A63A0"/>
    <w:rsid w:val="002A64D6"/>
    <w:rsid w:val="002A698C"/>
    <w:rsid w:val="002A6D0C"/>
    <w:rsid w:val="002A6E23"/>
    <w:rsid w:val="002A6ED1"/>
    <w:rsid w:val="002A70EC"/>
    <w:rsid w:val="002A730F"/>
    <w:rsid w:val="002A75AE"/>
    <w:rsid w:val="002A761C"/>
    <w:rsid w:val="002A7699"/>
    <w:rsid w:val="002A7ABD"/>
    <w:rsid w:val="002A7B8E"/>
    <w:rsid w:val="002A7D60"/>
    <w:rsid w:val="002A7D90"/>
    <w:rsid w:val="002A7DC2"/>
    <w:rsid w:val="002A7E70"/>
    <w:rsid w:val="002B0154"/>
    <w:rsid w:val="002B0432"/>
    <w:rsid w:val="002B049C"/>
    <w:rsid w:val="002B070A"/>
    <w:rsid w:val="002B0816"/>
    <w:rsid w:val="002B0916"/>
    <w:rsid w:val="002B0944"/>
    <w:rsid w:val="002B09CB"/>
    <w:rsid w:val="002B0A98"/>
    <w:rsid w:val="002B12E7"/>
    <w:rsid w:val="002B151E"/>
    <w:rsid w:val="002B19F9"/>
    <w:rsid w:val="002B1F1B"/>
    <w:rsid w:val="002B1F27"/>
    <w:rsid w:val="002B20CE"/>
    <w:rsid w:val="002B24FE"/>
    <w:rsid w:val="002B2710"/>
    <w:rsid w:val="002B2A53"/>
    <w:rsid w:val="002B2C1D"/>
    <w:rsid w:val="002B2D1B"/>
    <w:rsid w:val="002B2FD9"/>
    <w:rsid w:val="002B3401"/>
    <w:rsid w:val="002B3652"/>
    <w:rsid w:val="002B379E"/>
    <w:rsid w:val="002B379F"/>
    <w:rsid w:val="002B3C67"/>
    <w:rsid w:val="002B3D52"/>
    <w:rsid w:val="002B3F39"/>
    <w:rsid w:val="002B400B"/>
    <w:rsid w:val="002B421D"/>
    <w:rsid w:val="002B4285"/>
    <w:rsid w:val="002B449F"/>
    <w:rsid w:val="002B4ADD"/>
    <w:rsid w:val="002B509D"/>
    <w:rsid w:val="002B5202"/>
    <w:rsid w:val="002B5445"/>
    <w:rsid w:val="002B565E"/>
    <w:rsid w:val="002B5BB8"/>
    <w:rsid w:val="002B5C2C"/>
    <w:rsid w:val="002B5D18"/>
    <w:rsid w:val="002B5DB4"/>
    <w:rsid w:val="002B5EE2"/>
    <w:rsid w:val="002B5FF1"/>
    <w:rsid w:val="002B61CB"/>
    <w:rsid w:val="002B6550"/>
    <w:rsid w:val="002B65BB"/>
    <w:rsid w:val="002B6608"/>
    <w:rsid w:val="002B6793"/>
    <w:rsid w:val="002B6AF9"/>
    <w:rsid w:val="002B723D"/>
    <w:rsid w:val="002B7573"/>
    <w:rsid w:val="002B75FE"/>
    <w:rsid w:val="002B7976"/>
    <w:rsid w:val="002B7BF6"/>
    <w:rsid w:val="002B7BFC"/>
    <w:rsid w:val="002B7D88"/>
    <w:rsid w:val="002B7FE9"/>
    <w:rsid w:val="002C0001"/>
    <w:rsid w:val="002C00BE"/>
    <w:rsid w:val="002C03C5"/>
    <w:rsid w:val="002C0744"/>
    <w:rsid w:val="002C09C9"/>
    <w:rsid w:val="002C0DDE"/>
    <w:rsid w:val="002C0EAA"/>
    <w:rsid w:val="002C10B1"/>
    <w:rsid w:val="002C10B2"/>
    <w:rsid w:val="002C120E"/>
    <w:rsid w:val="002C1268"/>
    <w:rsid w:val="002C14EC"/>
    <w:rsid w:val="002C1532"/>
    <w:rsid w:val="002C15BD"/>
    <w:rsid w:val="002C15EF"/>
    <w:rsid w:val="002C165C"/>
    <w:rsid w:val="002C1828"/>
    <w:rsid w:val="002C193E"/>
    <w:rsid w:val="002C1F5A"/>
    <w:rsid w:val="002C1FE7"/>
    <w:rsid w:val="002C21FE"/>
    <w:rsid w:val="002C2640"/>
    <w:rsid w:val="002C2842"/>
    <w:rsid w:val="002C2906"/>
    <w:rsid w:val="002C2A4F"/>
    <w:rsid w:val="002C2B99"/>
    <w:rsid w:val="002C2EBC"/>
    <w:rsid w:val="002C2F38"/>
    <w:rsid w:val="002C3105"/>
    <w:rsid w:val="002C3133"/>
    <w:rsid w:val="002C3288"/>
    <w:rsid w:val="002C347C"/>
    <w:rsid w:val="002C353E"/>
    <w:rsid w:val="002C39F2"/>
    <w:rsid w:val="002C3AE8"/>
    <w:rsid w:val="002C42BD"/>
    <w:rsid w:val="002C44BC"/>
    <w:rsid w:val="002C4AFB"/>
    <w:rsid w:val="002C4D33"/>
    <w:rsid w:val="002C4E0C"/>
    <w:rsid w:val="002C50D6"/>
    <w:rsid w:val="002C53F9"/>
    <w:rsid w:val="002C593C"/>
    <w:rsid w:val="002C5BBD"/>
    <w:rsid w:val="002C5CCB"/>
    <w:rsid w:val="002C5DCC"/>
    <w:rsid w:val="002C60E6"/>
    <w:rsid w:val="002C61EC"/>
    <w:rsid w:val="002C62AB"/>
    <w:rsid w:val="002C689A"/>
    <w:rsid w:val="002C6B39"/>
    <w:rsid w:val="002C6CC8"/>
    <w:rsid w:val="002C6E26"/>
    <w:rsid w:val="002C740C"/>
    <w:rsid w:val="002C7730"/>
    <w:rsid w:val="002C7841"/>
    <w:rsid w:val="002C7AE8"/>
    <w:rsid w:val="002C7BCA"/>
    <w:rsid w:val="002C7BDC"/>
    <w:rsid w:val="002C7FB0"/>
    <w:rsid w:val="002D0195"/>
    <w:rsid w:val="002D01F6"/>
    <w:rsid w:val="002D02AE"/>
    <w:rsid w:val="002D03C8"/>
    <w:rsid w:val="002D04E0"/>
    <w:rsid w:val="002D05E7"/>
    <w:rsid w:val="002D0F12"/>
    <w:rsid w:val="002D11B3"/>
    <w:rsid w:val="002D180B"/>
    <w:rsid w:val="002D1B3E"/>
    <w:rsid w:val="002D1D79"/>
    <w:rsid w:val="002D1F42"/>
    <w:rsid w:val="002D1FC3"/>
    <w:rsid w:val="002D2231"/>
    <w:rsid w:val="002D22BC"/>
    <w:rsid w:val="002D251F"/>
    <w:rsid w:val="002D2746"/>
    <w:rsid w:val="002D2EA1"/>
    <w:rsid w:val="002D3065"/>
    <w:rsid w:val="002D3242"/>
    <w:rsid w:val="002D37F3"/>
    <w:rsid w:val="002D383D"/>
    <w:rsid w:val="002D3C7E"/>
    <w:rsid w:val="002D3C83"/>
    <w:rsid w:val="002D3F47"/>
    <w:rsid w:val="002D4094"/>
    <w:rsid w:val="002D4162"/>
    <w:rsid w:val="002D423A"/>
    <w:rsid w:val="002D4817"/>
    <w:rsid w:val="002D4948"/>
    <w:rsid w:val="002D4E1D"/>
    <w:rsid w:val="002D4ED4"/>
    <w:rsid w:val="002D4FD3"/>
    <w:rsid w:val="002D5178"/>
    <w:rsid w:val="002D5204"/>
    <w:rsid w:val="002D5A43"/>
    <w:rsid w:val="002D5C55"/>
    <w:rsid w:val="002D6276"/>
    <w:rsid w:val="002D6716"/>
    <w:rsid w:val="002D6AAC"/>
    <w:rsid w:val="002D6B4A"/>
    <w:rsid w:val="002D6BF8"/>
    <w:rsid w:val="002D6CEF"/>
    <w:rsid w:val="002D6E50"/>
    <w:rsid w:val="002D6FC7"/>
    <w:rsid w:val="002D7054"/>
    <w:rsid w:val="002D7390"/>
    <w:rsid w:val="002D76F7"/>
    <w:rsid w:val="002E006D"/>
    <w:rsid w:val="002E00BD"/>
    <w:rsid w:val="002E0298"/>
    <w:rsid w:val="002E0369"/>
    <w:rsid w:val="002E04B7"/>
    <w:rsid w:val="002E04D4"/>
    <w:rsid w:val="002E0973"/>
    <w:rsid w:val="002E09E9"/>
    <w:rsid w:val="002E0ADA"/>
    <w:rsid w:val="002E0CD0"/>
    <w:rsid w:val="002E0DA2"/>
    <w:rsid w:val="002E0E6A"/>
    <w:rsid w:val="002E0F23"/>
    <w:rsid w:val="002E130A"/>
    <w:rsid w:val="002E1469"/>
    <w:rsid w:val="002E14FB"/>
    <w:rsid w:val="002E160C"/>
    <w:rsid w:val="002E16AE"/>
    <w:rsid w:val="002E17C6"/>
    <w:rsid w:val="002E1891"/>
    <w:rsid w:val="002E1BF8"/>
    <w:rsid w:val="002E1C94"/>
    <w:rsid w:val="002E1CB8"/>
    <w:rsid w:val="002E21E9"/>
    <w:rsid w:val="002E24B1"/>
    <w:rsid w:val="002E258A"/>
    <w:rsid w:val="002E2635"/>
    <w:rsid w:val="002E269F"/>
    <w:rsid w:val="002E26B1"/>
    <w:rsid w:val="002E2726"/>
    <w:rsid w:val="002E2835"/>
    <w:rsid w:val="002E28DC"/>
    <w:rsid w:val="002E2EEC"/>
    <w:rsid w:val="002E3534"/>
    <w:rsid w:val="002E3919"/>
    <w:rsid w:val="002E3A0D"/>
    <w:rsid w:val="002E3A86"/>
    <w:rsid w:val="002E3C72"/>
    <w:rsid w:val="002E3DCC"/>
    <w:rsid w:val="002E3F48"/>
    <w:rsid w:val="002E444D"/>
    <w:rsid w:val="002E45CE"/>
    <w:rsid w:val="002E46D0"/>
    <w:rsid w:val="002E46FA"/>
    <w:rsid w:val="002E4985"/>
    <w:rsid w:val="002E4ACE"/>
    <w:rsid w:val="002E4B4E"/>
    <w:rsid w:val="002E4CAC"/>
    <w:rsid w:val="002E4ED3"/>
    <w:rsid w:val="002E511E"/>
    <w:rsid w:val="002E54F7"/>
    <w:rsid w:val="002E57E3"/>
    <w:rsid w:val="002E5801"/>
    <w:rsid w:val="002E5E3D"/>
    <w:rsid w:val="002E6071"/>
    <w:rsid w:val="002E62DF"/>
    <w:rsid w:val="002E65FD"/>
    <w:rsid w:val="002E672A"/>
    <w:rsid w:val="002E6B99"/>
    <w:rsid w:val="002E6CC9"/>
    <w:rsid w:val="002E7032"/>
    <w:rsid w:val="002E77AC"/>
    <w:rsid w:val="002E7979"/>
    <w:rsid w:val="002E7CA7"/>
    <w:rsid w:val="002E7CBE"/>
    <w:rsid w:val="002E7CC8"/>
    <w:rsid w:val="002E7D6D"/>
    <w:rsid w:val="002E7E4B"/>
    <w:rsid w:val="002F006B"/>
    <w:rsid w:val="002F00EA"/>
    <w:rsid w:val="002F0545"/>
    <w:rsid w:val="002F0A20"/>
    <w:rsid w:val="002F0AA1"/>
    <w:rsid w:val="002F0B3D"/>
    <w:rsid w:val="002F0DC8"/>
    <w:rsid w:val="002F0F5A"/>
    <w:rsid w:val="002F0F8C"/>
    <w:rsid w:val="002F107E"/>
    <w:rsid w:val="002F11C1"/>
    <w:rsid w:val="002F12C0"/>
    <w:rsid w:val="002F14A2"/>
    <w:rsid w:val="002F1952"/>
    <w:rsid w:val="002F1B30"/>
    <w:rsid w:val="002F1BB2"/>
    <w:rsid w:val="002F1BB8"/>
    <w:rsid w:val="002F1DF6"/>
    <w:rsid w:val="002F1FAB"/>
    <w:rsid w:val="002F21E0"/>
    <w:rsid w:val="002F223F"/>
    <w:rsid w:val="002F234E"/>
    <w:rsid w:val="002F2422"/>
    <w:rsid w:val="002F2595"/>
    <w:rsid w:val="002F25EB"/>
    <w:rsid w:val="002F28D1"/>
    <w:rsid w:val="002F2A65"/>
    <w:rsid w:val="002F2BC9"/>
    <w:rsid w:val="002F2EBC"/>
    <w:rsid w:val="002F306F"/>
    <w:rsid w:val="002F30E0"/>
    <w:rsid w:val="002F3256"/>
    <w:rsid w:val="002F330C"/>
    <w:rsid w:val="002F34D8"/>
    <w:rsid w:val="002F3553"/>
    <w:rsid w:val="002F3729"/>
    <w:rsid w:val="002F3732"/>
    <w:rsid w:val="002F390B"/>
    <w:rsid w:val="002F39D6"/>
    <w:rsid w:val="002F3A7F"/>
    <w:rsid w:val="002F3FD1"/>
    <w:rsid w:val="002F40F2"/>
    <w:rsid w:val="002F413C"/>
    <w:rsid w:val="002F4150"/>
    <w:rsid w:val="002F4238"/>
    <w:rsid w:val="002F4286"/>
    <w:rsid w:val="002F43ED"/>
    <w:rsid w:val="002F4CC0"/>
    <w:rsid w:val="002F4D4F"/>
    <w:rsid w:val="002F4EA2"/>
    <w:rsid w:val="002F4EC4"/>
    <w:rsid w:val="002F53A9"/>
    <w:rsid w:val="002F5405"/>
    <w:rsid w:val="002F5451"/>
    <w:rsid w:val="002F5459"/>
    <w:rsid w:val="002F5882"/>
    <w:rsid w:val="002F58AE"/>
    <w:rsid w:val="002F5B14"/>
    <w:rsid w:val="002F5C0E"/>
    <w:rsid w:val="002F5C57"/>
    <w:rsid w:val="002F5E46"/>
    <w:rsid w:val="002F6211"/>
    <w:rsid w:val="002F623A"/>
    <w:rsid w:val="002F655C"/>
    <w:rsid w:val="002F6694"/>
    <w:rsid w:val="002F6C29"/>
    <w:rsid w:val="002F6F56"/>
    <w:rsid w:val="002F6F90"/>
    <w:rsid w:val="002F744A"/>
    <w:rsid w:val="002F74D0"/>
    <w:rsid w:val="002F7642"/>
    <w:rsid w:val="002F76DF"/>
    <w:rsid w:val="002F7791"/>
    <w:rsid w:val="002F77F8"/>
    <w:rsid w:val="003001AB"/>
    <w:rsid w:val="003003DD"/>
    <w:rsid w:val="00300692"/>
    <w:rsid w:val="0030077F"/>
    <w:rsid w:val="00300F1D"/>
    <w:rsid w:val="00300FC6"/>
    <w:rsid w:val="00301138"/>
    <w:rsid w:val="0030128C"/>
    <w:rsid w:val="00301479"/>
    <w:rsid w:val="00301671"/>
    <w:rsid w:val="00301B71"/>
    <w:rsid w:val="00301B8F"/>
    <w:rsid w:val="00301EE8"/>
    <w:rsid w:val="00301F78"/>
    <w:rsid w:val="00302121"/>
    <w:rsid w:val="003023B1"/>
    <w:rsid w:val="00302415"/>
    <w:rsid w:val="0030249D"/>
    <w:rsid w:val="003024E0"/>
    <w:rsid w:val="003026CE"/>
    <w:rsid w:val="00302A3D"/>
    <w:rsid w:val="00302D99"/>
    <w:rsid w:val="00302DF8"/>
    <w:rsid w:val="00302FB9"/>
    <w:rsid w:val="00303207"/>
    <w:rsid w:val="003033F9"/>
    <w:rsid w:val="00303631"/>
    <w:rsid w:val="00303669"/>
    <w:rsid w:val="00303A3F"/>
    <w:rsid w:val="00303C05"/>
    <w:rsid w:val="00303E25"/>
    <w:rsid w:val="003040E2"/>
    <w:rsid w:val="0030436C"/>
    <w:rsid w:val="00304418"/>
    <w:rsid w:val="00304690"/>
    <w:rsid w:val="0030476D"/>
    <w:rsid w:val="00304B4F"/>
    <w:rsid w:val="00304BD7"/>
    <w:rsid w:val="00304C0C"/>
    <w:rsid w:val="003050BC"/>
    <w:rsid w:val="003050C4"/>
    <w:rsid w:val="003051FF"/>
    <w:rsid w:val="0030522B"/>
    <w:rsid w:val="003055A9"/>
    <w:rsid w:val="00305986"/>
    <w:rsid w:val="00305B25"/>
    <w:rsid w:val="00305C5B"/>
    <w:rsid w:val="00305D25"/>
    <w:rsid w:val="00305F4A"/>
    <w:rsid w:val="003060EE"/>
    <w:rsid w:val="0030619B"/>
    <w:rsid w:val="0030668E"/>
    <w:rsid w:val="00306B4B"/>
    <w:rsid w:val="00306DDA"/>
    <w:rsid w:val="00306EA4"/>
    <w:rsid w:val="0030744A"/>
    <w:rsid w:val="003076DB"/>
    <w:rsid w:val="003078DC"/>
    <w:rsid w:val="00307A0C"/>
    <w:rsid w:val="00307AB5"/>
    <w:rsid w:val="00307C5A"/>
    <w:rsid w:val="00307E82"/>
    <w:rsid w:val="00310198"/>
    <w:rsid w:val="0031032E"/>
    <w:rsid w:val="003103AB"/>
    <w:rsid w:val="00310508"/>
    <w:rsid w:val="0031081F"/>
    <w:rsid w:val="0031090E"/>
    <w:rsid w:val="00310D24"/>
    <w:rsid w:val="0031112A"/>
    <w:rsid w:val="003112D3"/>
    <w:rsid w:val="00311424"/>
    <w:rsid w:val="0031145B"/>
    <w:rsid w:val="0031149C"/>
    <w:rsid w:val="00311679"/>
    <w:rsid w:val="00311CE4"/>
    <w:rsid w:val="00311E58"/>
    <w:rsid w:val="00311F01"/>
    <w:rsid w:val="00311FA1"/>
    <w:rsid w:val="003120F3"/>
    <w:rsid w:val="00312149"/>
    <w:rsid w:val="00312192"/>
    <w:rsid w:val="003121A6"/>
    <w:rsid w:val="003123EF"/>
    <w:rsid w:val="00312561"/>
    <w:rsid w:val="00312610"/>
    <w:rsid w:val="00312C09"/>
    <w:rsid w:val="00312C18"/>
    <w:rsid w:val="00312CBB"/>
    <w:rsid w:val="003130D4"/>
    <w:rsid w:val="0031318A"/>
    <w:rsid w:val="00313FAD"/>
    <w:rsid w:val="003141F7"/>
    <w:rsid w:val="0031434D"/>
    <w:rsid w:val="0031490E"/>
    <w:rsid w:val="003149AB"/>
    <w:rsid w:val="00314B7E"/>
    <w:rsid w:val="00315020"/>
    <w:rsid w:val="00315087"/>
    <w:rsid w:val="0031516B"/>
    <w:rsid w:val="003154A4"/>
    <w:rsid w:val="00315824"/>
    <w:rsid w:val="00315873"/>
    <w:rsid w:val="00315A59"/>
    <w:rsid w:val="00315C20"/>
    <w:rsid w:val="00315CED"/>
    <w:rsid w:val="00315DDF"/>
    <w:rsid w:val="003161AB"/>
    <w:rsid w:val="00316223"/>
    <w:rsid w:val="0031633B"/>
    <w:rsid w:val="00316644"/>
    <w:rsid w:val="0031682F"/>
    <w:rsid w:val="00316EAD"/>
    <w:rsid w:val="003170E5"/>
    <w:rsid w:val="003171F3"/>
    <w:rsid w:val="0031783B"/>
    <w:rsid w:val="0032022A"/>
    <w:rsid w:val="00320242"/>
    <w:rsid w:val="003203BA"/>
    <w:rsid w:val="003205EA"/>
    <w:rsid w:val="00320800"/>
    <w:rsid w:val="00320ACD"/>
    <w:rsid w:val="00320CA2"/>
    <w:rsid w:val="00320CB8"/>
    <w:rsid w:val="00320D07"/>
    <w:rsid w:val="00321208"/>
    <w:rsid w:val="00321382"/>
    <w:rsid w:val="00321F43"/>
    <w:rsid w:val="00322197"/>
    <w:rsid w:val="003221D9"/>
    <w:rsid w:val="00322257"/>
    <w:rsid w:val="00322685"/>
    <w:rsid w:val="00323612"/>
    <w:rsid w:val="003237C3"/>
    <w:rsid w:val="003238C4"/>
    <w:rsid w:val="00323B3D"/>
    <w:rsid w:val="00323C21"/>
    <w:rsid w:val="00323CC6"/>
    <w:rsid w:val="0032428F"/>
    <w:rsid w:val="0032444A"/>
    <w:rsid w:val="00324457"/>
    <w:rsid w:val="0032485D"/>
    <w:rsid w:val="00324897"/>
    <w:rsid w:val="003248ED"/>
    <w:rsid w:val="00324C41"/>
    <w:rsid w:val="00324DD2"/>
    <w:rsid w:val="00324F13"/>
    <w:rsid w:val="00325224"/>
    <w:rsid w:val="0032531C"/>
    <w:rsid w:val="00325340"/>
    <w:rsid w:val="00325495"/>
    <w:rsid w:val="003254C1"/>
    <w:rsid w:val="003258A3"/>
    <w:rsid w:val="003262CE"/>
    <w:rsid w:val="003264C7"/>
    <w:rsid w:val="00326773"/>
    <w:rsid w:val="00326A10"/>
    <w:rsid w:val="00326AE2"/>
    <w:rsid w:val="003272A2"/>
    <w:rsid w:val="003273DD"/>
    <w:rsid w:val="003277CB"/>
    <w:rsid w:val="003277D9"/>
    <w:rsid w:val="003278B3"/>
    <w:rsid w:val="00327A3D"/>
    <w:rsid w:val="00327EA5"/>
    <w:rsid w:val="003300BA"/>
    <w:rsid w:val="00330103"/>
    <w:rsid w:val="00330370"/>
    <w:rsid w:val="0033052A"/>
    <w:rsid w:val="003305EE"/>
    <w:rsid w:val="00330A04"/>
    <w:rsid w:val="00330AB4"/>
    <w:rsid w:val="00330C69"/>
    <w:rsid w:val="00330EB4"/>
    <w:rsid w:val="00331329"/>
    <w:rsid w:val="0033157E"/>
    <w:rsid w:val="00331589"/>
    <w:rsid w:val="00331A33"/>
    <w:rsid w:val="00331EBD"/>
    <w:rsid w:val="00332210"/>
    <w:rsid w:val="00332478"/>
    <w:rsid w:val="003324AC"/>
    <w:rsid w:val="0033254F"/>
    <w:rsid w:val="003325ED"/>
    <w:rsid w:val="00332D3D"/>
    <w:rsid w:val="00332F54"/>
    <w:rsid w:val="003331A3"/>
    <w:rsid w:val="00333738"/>
    <w:rsid w:val="00333773"/>
    <w:rsid w:val="003339C6"/>
    <w:rsid w:val="00333A1A"/>
    <w:rsid w:val="00333CDE"/>
    <w:rsid w:val="00333DAE"/>
    <w:rsid w:val="00333E49"/>
    <w:rsid w:val="00333F11"/>
    <w:rsid w:val="00333F34"/>
    <w:rsid w:val="003347CF"/>
    <w:rsid w:val="003349CF"/>
    <w:rsid w:val="00334DAE"/>
    <w:rsid w:val="00334F4F"/>
    <w:rsid w:val="003350CE"/>
    <w:rsid w:val="00335442"/>
    <w:rsid w:val="00335519"/>
    <w:rsid w:val="00335572"/>
    <w:rsid w:val="0033561D"/>
    <w:rsid w:val="003356C6"/>
    <w:rsid w:val="0033581E"/>
    <w:rsid w:val="00335984"/>
    <w:rsid w:val="00335CA1"/>
    <w:rsid w:val="00335E51"/>
    <w:rsid w:val="00335EE7"/>
    <w:rsid w:val="00335F09"/>
    <w:rsid w:val="00336559"/>
    <w:rsid w:val="003365F9"/>
    <w:rsid w:val="003368AA"/>
    <w:rsid w:val="003369B7"/>
    <w:rsid w:val="00336A84"/>
    <w:rsid w:val="00337064"/>
    <w:rsid w:val="00337105"/>
    <w:rsid w:val="00337201"/>
    <w:rsid w:val="003372D6"/>
    <w:rsid w:val="00337336"/>
    <w:rsid w:val="00337469"/>
    <w:rsid w:val="00337546"/>
    <w:rsid w:val="00337611"/>
    <w:rsid w:val="00337A58"/>
    <w:rsid w:val="00337AC4"/>
    <w:rsid w:val="00340086"/>
    <w:rsid w:val="0034027F"/>
    <w:rsid w:val="003407C5"/>
    <w:rsid w:val="00340809"/>
    <w:rsid w:val="003408C3"/>
    <w:rsid w:val="00340A5B"/>
    <w:rsid w:val="00340AC0"/>
    <w:rsid w:val="003412A4"/>
    <w:rsid w:val="003416A8"/>
    <w:rsid w:val="00341928"/>
    <w:rsid w:val="003419E4"/>
    <w:rsid w:val="00341EB7"/>
    <w:rsid w:val="00341EDC"/>
    <w:rsid w:val="00342007"/>
    <w:rsid w:val="0034229E"/>
    <w:rsid w:val="00342344"/>
    <w:rsid w:val="003425E0"/>
    <w:rsid w:val="003425E6"/>
    <w:rsid w:val="0034269B"/>
    <w:rsid w:val="003427D7"/>
    <w:rsid w:val="00342B7F"/>
    <w:rsid w:val="00342C6A"/>
    <w:rsid w:val="00342CB1"/>
    <w:rsid w:val="00342DAF"/>
    <w:rsid w:val="00343075"/>
    <w:rsid w:val="003433A6"/>
    <w:rsid w:val="0034340D"/>
    <w:rsid w:val="003437AB"/>
    <w:rsid w:val="00343825"/>
    <w:rsid w:val="00343DC3"/>
    <w:rsid w:val="00343E55"/>
    <w:rsid w:val="00343F92"/>
    <w:rsid w:val="00343FC7"/>
    <w:rsid w:val="0034408D"/>
    <w:rsid w:val="003440D8"/>
    <w:rsid w:val="003442BE"/>
    <w:rsid w:val="00344460"/>
    <w:rsid w:val="00344495"/>
    <w:rsid w:val="003444BC"/>
    <w:rsid w:val="00344652"/>
    <w:rsid w:val="003448CE"/>
    <w:rsid w:val="00344A0F"/>
    <w:rsid w:val="00344CA4"/>
    <w:rsid w:val="00344CBE"/>
    <w:rsid w:val="00344F32"/>
    <w:rsid w:val="0034521C"/>
    <w:rsid w:val="0034559A"/>
    <w:rsid w:val="0034572A"/>
    <w:rsid w:val="00345D22"/>
    <w:rsid w:val="00345E91"/>
    <w:rsid w:val="00345ED6"/>
    <w:rsid w:val="0034618D"/>
    <w:rsid w:val="003461C2"/>
    <w:rsid w:val="003461FC"/>
    <w:rsid w:val="00346269"/>
    <w:rsid w:val="00346427"/>
    <w:rsid w:val="003468A7"/>
    <w:rsid w:val="00346A52"/>
    <w:rsid w:val="00347066"/>
    <w:rsid w:val="003471BD"/>
    <w:rsid w:val="003471E6"/>
    <w:rsid w:val="00347207"/>
    <w:rsid w:val="00347246"/>
    <w:rsid w:val="0034741B"/>
    <w:rsid w:val="0034765D"/>
    <w:rsid w:val="00347774"/>
    <w:rsid w:val="00347BBF"/>
    <w:rsid w:val="00347CCD"/>
    <w:rsid w:val="00347EAA"/>
    <w:rsid w:val="003501ED"/>
    <w:rsid w:val="0035050B"/>
    <w:rsid w:val="00350598"/>
    <w:rsid w:val="0035059F"/>
    <w:rsid w:val="003505DC"/>
    <w:rsid w:val="0035078C"/>
    <w:rsid w:val="00350AE4"/>
    <w:rsid w:val="00350B96"/>
    <w:rsid w:val="00350E33"/>
    <w:rsid w:val="00351543"/>
    <w:rsid w:val="00351838"/>
    <w:rsid w:val="0035190F"/>
    <w:rsid w:val="00351936"/>
    <w:rsid w:val="00351971"/>
    <w:rsid w:val="003519E8"/>
    <w:rsid w:val="00351A2D"/>
    <w:rsid w:val="00351FFB"/>
    <w:rsid w:val="0035225B"/>
    <w:rsid w:val="00352369"/>
    <w:rsid w:val="0035238E"/>
    <w:rsid w:val="00352390"/>
    <w:rsid w:val="00352553"/>
    <w:rsid w:val="00352627"/>
    <w:rsid w:val="003526FE"/>
    <w:rsid w:val="00352897"/>
    <w:rsid w:val="00352982"/>
    <w:rsid w:val="00352BDE"/>
    <w:rsid w:val="00352D79"/>
    <w:rsid w:val="00352DE5"/>
    <w:rsid w:val="00352E18"/>
    <w:rsid w:val="00352F16"/>
    <w:rsid w:val="00353130"/>
    <w:rsid w:val="00353352"/>
    <w:rsid w:val="003533A3"/>
    <w:rsid w:val="003536EB"/>
    <w:rsid w:val="00353762"/>
    <w:rsid w:val="003539F0"/>
    <w:rsid w:val="00353CBF"/>
    <w:rsid w:val="00353D5B"/>
    <w:rsid w:val="00353E54"/>
    <w:rsid w:val="003540B0"/>
    <w:rsid w:val="0035455D"/>
    <w:rsid w:val="00354A53"/>
    <w:rsid w:val="00354BE9"/>
    <w:rsid w:val="00354CB4"/>
    <w:rsid w:val="003552F6"/>
    <w:rsid w:val="00355993"/>
    <w:rsid w:val="00355ACC"/>
    <w:rsid w:val="00355D0B"/>
    <w:rsid w:val="00355DD8"/>
    <w:rsid w:val="00355F41"/>
    <w:rsid w:val="003562A8"/>
    <w:rsid w:val="00356329"/>
    <w:rsid w:val="00356408"/>
    <w:rsid w:val="00356726"/>
    <w:rsid w:val="003567C0"/>
    <w:rsid w:val="0035681E"/>
    <w:rsid w:val="00356827"/>
    <w:rsid w:val="003569EA"/>
    <w:rsid w:val="00357000"/>
    <w:rsid w:val="00357030"/>
    <w:rsid w:val="003571AC"/>
    <w:rsid w:val="00357C27"/>
    <w:rsid w:val="00360059"/>
    <w:rsid w:val="003602DC"/>
    <w:rsid w:val="003606F3"/>
    <w:rsid w:val="00360B24"/>
    <w:rsid w:val="00360C81"/>
    <w:rsid w:val="00360CC6"/>
    <w:rsid w:val="00360FEB"/>
    <w:rsid w:val="0036100A"/>
    <w:rsid w:val="0036147C"/>
    <w:rsid w:val="0036166D"/>
    <w:rsid w:val="00361931"/>
    <w:rsid w:val="00361A06"/>
    <w:rsid w:val="00361AE8"/>
    <w:rsid w:val="003624EA"/>
    <w:rsid w:val="0036256F"/>
    <w:rsid w:val="003626B9"/>
    <w:rsid w:val="0036288A"/>
    <w:rsid w:val="003628F6"/>
    <w:rsid w:val="00362C93"/>
    <w:rsid w:val="00362D6E"/>
    <w:rsid w:val="00362DE8"/>
    <w:rsid w:val="00362EFE"/>
    <w:rsid w:val="00362F1A"/>
    <w:rsid w:val="0036304E"/>
    <w:rsid w:val="00363073"/>
    <w:rsid w:val="003630A7"/>
    <w:rsid w:val="003630C5"/>
    <w:rsid w:val="0036324B"/>
    <w:rsid w:val="00363252"/>
    <w:rsid w:val="003632CB"/>
    <w:rsid w:val="00363694"/>
    <w:rsid w:val="00363882"/>
    <w:rsid w:val="00363C78"/>
    <w:rsid w:val="00363E05"/>
    <w:rsid w:val="00364180"/>
    <w:rsid w:val="003641AA"/>
    <w:rsid w:val="003641E4"/>
    <w:rsid w:val="0036444A"/>
    <w:rsid w:val="003646C6"/>
    <w:rsid w:val="0036486E"/>
    <w:rsid w:val="003649E4"/>
    <w:rsid w:val="00364C34"/>
    <w:rsid w:val="00364DF1"/>
    <w:rsid w:val="00364E83"/>
    <w:rsid w:val="00364ED1"/>
    <w:rsid w:val="0036511F"/>
    <w:rsid w:val="0036512E"/>
    <w:rsid w:val="00365152"/>
    <w:rsid w:val="0036527B"/>
    <w:rsid w:val="003652D4"/>
    <w:rsid w:val="003654E9"/>
    <w:rsid w:val="00365639"/>
    <w:rsid w:val="00365768"/>
    <w:rsid w:val="003657D3"/>
    <w:rsid w:val="00365838"/>
    <w:rsid w:val="00365867"/>
    <w:rsid w:val="00365926"/>
    <w:rsid w:val="00365EED"/>
    <w:rsid w:val="00366129"/>
    <w:rsid w:val="00366260"/>
    <w:rsid w:val="00366548"/>
    <w:rsid w:val="00366744"/>
    <w:rsid w:val="00366BE6"/>
    <w:rsid w:val="00366C7A"/>
    <w:rsid w:val="00366CFA"/>
    <w:rsid w:val="00366EE2"/>
    <w:rsid w:val="003676C1"/>
    <w:rsid w:val="0036775C"/>
    <w:rsid w:val="003678A3"/>
    <w:rsid w:val="0036790D"/>
    <w:rsid w:val="00367931"/>
    <w:rsid w:val="00367A77"/>
    <w:rsid w:val="00367EF8"/>
    <w:rsid w:val="00367F1F"/>
    <w:rsid w:val="00370333"/>
    <w:rsid w:val="0037046F"/>
    <w:rsid w:val="003705A6"/>
    <w:rsid w:val="0037128B"/>
    <w:rsid w:val="00371458"/>
    <w:rsid w:val="003717B2"/>
    <w:rsid w:val="00371849"/>
    <w:rsid w:val="00371B45"/>
    <w:rsid w:val="00371BD6"/>
    <w:rsid w:val="00371C09"/>
    <w:rsid w:val="0037201D"/>
    <w:rsid w:val="00372612"/>
    <w:rsid w:val="00372C7E"/>
    <w:rsid w:val="00372F75"/>
    <w:rsid w:val="00372F8F"/>
    <w:rsid w:val="003731DE"/>
    <w:rsid w:val="0037332E"/>
    <w:rsid w:val="0037334F"/>
    <w:rsid w:val="003733E4"/>
    <w:rsid w:val="00373AFD"/>
    <w:rsid w:val="00373C4E"/>
    <w:rsid w:val="00373F1B"/>
    <w:rsid w:val="003741C6"/>
    <w:rsid w:val="00374208"/>
    <w:rsid w:val="00374584"/>
    <w:rsid w:val="003749FC"/>
    <w:rsid w:val="00374A10"/>
    <w:rsid w:val="00374CF1"/>
    <w:rsid w:val="00374E83"/>
    <w:rsid w:val="00375664"/>
    <w:rsid w:val="003757EB"/>
    <w:rsid w:val="003759DD"/>
    <w:rsid w:val="00375C65"/>
    <w:rsid w:val="003766D7"/>
    <w:rsid w:val="00376710"/>
    <w:rsid w:val="0037679A"/>
    <w:rsid w:val="003769C6"/>
    <w:rsid w:val="003770CE"/>
    <w:rsid w:val="003773B0"/>
    <w:rsid w:val="00377593"/>
    <w:rsid w:val="003775D5"/>
    <w:rsid w:val="00377722"/>
    <w:rsid w:val="00377725"/>
    <w:rsid w:val="00377985"/>
    <w:rsid w:val="003779EA"/>
    <w:rsid w:val="00377F64"/>
    <w:rsid w:val="00377FA2"/>
    <w:rsid w:val="003801CD"/>
    <w:rsid w:val="0038040E"/>
    <w:rsid w:val="0038074B"/>
    <w:rsid w:val="003808B7"/>
    <w:rsid w:val="00380A14"/>
    <w:rsid w:val="00380CC1"/>
    <w:rsid w:val="00380E62"/>
    <w:rsid w:val="003812E7"/>
    <w:rsid w:val="00381730"/>
    <w:rsid w:val="0038177E"/>
    <w:rsid w:val="00381AA0"/>
    <w:rsid w:val="00381C8F"/>
    <w:rsid w:val="00381CE3"/>
    <w:rsid w:val="00381EE0"/>
    <w:rsid w:val="003822AC"/>
    <w:rsid w:val="00382532"/>
    <w:rsid w:val="003829CE"/>
    <w:rsid w:val="00382A66"/>
    <w:rsid w:val="00382AB5"/>
    <w:rsid w:val="00382CEE"/>
    <w:rsid w:val="00383051"/>
    <w:rsid w:val="003830AE"/>
    <w:rsid w:val="00383332"/>
    <w:rsid w:val="00383395"/>
    <w:rsid w:val="00383399"/>
    <w:rsid w:val="003835B4"/>
    <w:rsid w:val="0038364F"/>
    <w:rsid w:val="00383748"/>
    <w:rsid w:val="003838D4"/>
    <w:rsid w:val="0038391E"/>
    <w:rsid w:val="00383ABB"/>
    <w:rsid w:val="00383DC5"/>
    <w:rsid w:val="00383E48"/>
    <w:rsid w:val="00384072"/>
    <w:rsid w:val="003842DF"/>
    <w:rsid w:val="0038439F"/>
    <w:rsid w:val="00384513"/>
    <w:rsid w:val="00384B25"/>
    <w:rsid w:val="003853CE"/>
    <w:rsid w:val="00385423"/>
    <w:rsid w:val="00385807"/>
    <w:rsid w:val="00385B25"/>
    <w:rsid w:val="00385D2A"/>
    <w:rsid w:val="00386099"/>
    <w:rsid w:val="00386184"/>
    <w:rsid w:val="00386256"/>
    <w:rsid w:val="00386576"/>
    <w:rsid w:val="003866F4"/>
    <w:rsid w:val="003869AD"/>
    <w:rsid w:val="003869B0"/>
    <w:rsid w:val="00386CC5"/>
    <w:rsid w:val="003872F1"/>
    <w:rsid w:val="00387474"/>
    <w:rsid w:val="003875C7"/>
    <w:rsid w:val="003877CD"/>
    <w:rsid w:val="00387913"/>
    <w:rsid w:val="0038798A"/>
    <w:rsid w:val="003879E2"/>
    <w:rsid w:val="003879F9"/>
    <w:rsid w:val="00387AEB"/>
    <w:rsid w:val="00387B65"/>
    <w:rsid w:val="00387DCB"/>
    <w:rsid w:val="00387E0E"/>
    <w:rsid w:val="00390553"/>
    <w:rsid w:val="00390906"/>
    <w:rsid w:val="00390A06"/>
    <w:rsid w:val="00390DB5"/>
    <w:rsid w:val="00390F1F"/>
    <w:rsid w:val="00391027"/>
    <w:rsid w:val="00391154"/>
    <w:rsid w:val="003912B3"/>
    <w:rsid w:val="00391651"/>
    <w:rsid w:val="003919C0"/>
    <w:rsid w:val="00391A5E"/>
    <w:rsid w:val="00391BC8"/>
    <w:rsid w:val="00391D94"/>
    <w:rsid w:val="00391E05"/>
    <w:rsid w:val="0039207A"/>
    <w:rsid w:val="0039228B"/>
    <w:rsid w:val="003922CA"/>
    <w:rsid w:val="003922F4"/>
    <w:rsid w:val="003924C2"/>
    <w:rsid w:val="00392502"/>
    <w:rsid w:val="00392A05"/>
    <w:rsid w:val="00392D96"/>
    <w:rsid w:val="00393411"/>
    <w:rsid w:val="0039347C"/>
    <w:rsid w:val="0039397E"/>
    <w:rsid w:val="00393A56"/>
    <w:rsid w:val="00393B75"/>
    <w:rsid w:val="00393BAC"/>
    <w:rsid w:val="00393CC9"/>
    <w:rsid w:val="00393E1E"/>
    <w:rsid w:val="00393F25"/>
    <w:rsid w:val="0039430C"/>
    <w:rsid w:val="00394466"/>
    <w:rsid w:val="0039457F"/>
    <w:rsid w:val="0039458E"/>
    <w:rsid w:val="003945E6"/>
    <w:rsid w:val="003946AD"/>
    <w:rsid w:val="003949F1"/>
    <w:rsid w:val="00394A12"/>
    <w:rsid w:val="00394AF0"/>
    <w:rsid w:val="00394BA5"/>
    <w:rsid w:val="00394F4E"/>
    <w:rsid w:val="00395023"/>
    <w:rsid w:val="00395165"/>
    <w:rsid w:val="0039547B"/>
    <w:rsid w:val="003955EC"/>
    <w:rsid w:val="003956AE"/>
    <w:rsid w:val="0039573E"/>
    <w:rsid w:val="00395A72"/>
    <w:rsid w:val="00395F72"/>
    <w:rsid w:val="003961D3"/>
    <w:rsid w:val="0039641B"/>
    <w:rsid w:val="003964F6"/>
    <w:rsid w:val="00396798"/>
    <w:rsid w:val="003967DB"/>
    <w:rsid w:val="003968E1"/>
    <w:rsid w:val="00396A9B"/>
    <w:rsid w:val="00396CD6"/>
    <w:rsid w:val="00396D26"/>
    <w:rsid w:val="00396EBC"/>
    <w:rsid w:val="003971E0"/>
    <w:rsid w:val="003975D3"/>
    <w:rsid w:val="00397766"/>
    <w:rsid w:val="0039782F"/>
    <w:rsid w:val="00397C01"/>
    <w:rsid w:val="00397CDF"/>
    <w:rsid w:val="00397E3D"/>
    <w:rsid w:val="003A0399"/>
    <w:rsid w:val="003A03F6"/>
    <w:rsid w:val="003A04A5"/>
    <w:rsid w:val="003A0947"/>
    <w:rsid w:val="003A0950"/>
    <w:rsid w:val="003A0D21"/>
    <w:rsid w:val="003A0F66"/>
    <w:rsid w:val="003A13ED"/>
    <w:rsid w:val="003A1574"/>
    <w:rsid w:val="003A15C7"/>
    <w:rsid w:val="003A18FD"/>
    <w:rsid w:val="003A1ABD"/>
    <w:rsid w:val="003A1D17"/>
    <w:rsid w:val="003A1FAE"/>
    <w:rsid w:val="003A21CC"/>
    <w:rsid w:val="003A22BE"/>
    <w:rsid w:val="003A23D6"/>
    <w:rsid w:val="003A246B"/>
    <w:rsid w:val="003A250C"/>
    <w:rsid w:val="003A27A5"/>
    <w:rsid w:val="003A2924"/>
    <w:rsid w:val="003A2A42"/>
    <w:rsid w:val="003A2A49"/>
    <w:rsid w:val="003A2A4B"/>
    <w:rsid w:val="003A2D15"/>
    <w:rsid w:val="003A2D17"/>
    <w:rsid w:val="003A3569"/>
    <w:rsid w:val="003A370C"/>
    <w:rsid w:val="003A376C"/>
    <w:rsid w:val="003A3A15"/>
    <w:rsid w:val="003A3B14"/>
    <w:rsid w:val="003A3BBF"/>
    <w:rsid w:val="003A3CD4"/>
    <w:rsid w:val="003A3DDF"/>
    <w:rsid w:val="003A3E2B"/>
    <w:rsid w:val="003A3FCC"/>
    <w:rsid w:val="003A417F"/>
    <w:rsid w:val="003A4203"/>
    <w:rsid w:val="003A4270"/>
    <w:rsid w:val="003A435A"/>
    <w:rsid w:val="003A457B"/>
    <w:rsid w:val="003A4599"/>
    <w:rsid w:val="003A460E"/>
    <w:rsid w:val="003A4920"/>
    <w:rsid w:val="003A4AC2"/>
    <w:rsid w:val="003A4D0F"/>
    <w:rsid w:val="003A4D71"/>
    <w:rsid w:val="003A51B7"/>
    <w:rsid w:val="003A544C"/>
    <w:rsid w:val="003A56A1"/>
    <w:rsid w:val="003A5798"/>
    <w:rsid w:val="003A6196"/>
    <w:rsid w:val="003A621F"/>
    <w:rsid w:val="003A62C7"/>
    <w:rsid w:val="003A64FD"/>
    <w:rsid w:val="003A67B4"/>
    <w:rsid w:val="003A6AEE"/>
    <w:rsid w:val="003A6BC0"/>
    <w:rsid w:val="003A6E06"/>
    <w:rsid w:val="003A6EB2"/>
    <w:rsid w:val="003A73D7"/>
    <w:rsid w:val="003A7929"/>
    <w:rsid w:val="003A7E4B"/>
    <w:rsid w:val="003B014E"/>
    <w:rsid w:val="003B047B"/>
    <w:rsid w:val="003B051F"/>
    <w:rsid w:val="003B058D"/>
    <w:rsid w:val="003B059B"/>
    <w:rsid w:val="003B05D8"/>
    <w:rsid w:val="003B06AC"/>
    <w:rsid w:val="003B077C"/>
    <w:rsid w:val="003B0DCB"/>
    <w:rsid w:val="003B0F74"/>
    <w:rsid w:val="003B1278"/>
    <w:rsid w:val="003B18B6"/>
    <w:rsid w:val="003B1B51"/>
    <w:rsid w:val="003B1C1C"/>
    <w:rsid w:val="003B2096"/>
    <w:rsid w:val="003B20BA"/>
    <w:rsid w:val="003B24CF"/>
    <w:rsid w:val="003B2569"/>
    <w:rsid w:val="003B277C"/>
    <w:rsid w:val="003B2B55"/>
    <w:rsid w:val="003B2B56"/>
    <w:rsid w:val="003B2F1C"/>
    <w:rsid w:val="003B3124"/>
    <w:rsid w:val="003B3479"/>
    <w:rsid w:val="003B37BE"/>
    <w:rsid w:val="003B37C5"/>
    <w:rsid w:val="003B3A91"/>
    <w:rsid w:val="003B3C80"/>
    <w:rsid w:val="003B3CDF"/>
    <w:rsid w:val="003B4876"/>
    <w:rsid w:val="003B499A"/>
    <w:rsid w:val="003B4AC4"/>
    <w:rsid w:val="003B5028"/>
    <w:rsid w:val="003B51AB"/>
    <w:rsid w:val="003B5555"/>
    <w:rsid w:val="003B557E"/>
    <w:rsid w:val="003B5DB4"/>
    <w:rsid w:val="003B6017"/>
    <w:rsid w:val="003B606C"/>
    <w:rsid w:val="003B6193"/>
    <w:rsid w:val="003B61F5"/>
    <w:rsid w:val="003B6284"/>
    <w:rsid w:val="003B6597"/>
    <w:rsid w:val="003B6677"/>
    <w:rsid w:val="003B67AC"/>
    <w:rsid w:val="003B6B2D"/>
    <w:rsid w:val="003B6B55"/>
    <w:rsid w:val="003B6D25"/>
    <w:rsid w:val="003B6FDD"/>
    <w:rsid w:val="003B70AA"/>
    <w:rsid w:val="003B715E"/>
    <w:rsid w:val="003B745E"/>
    <w:rsid w:val="003B753D"/>
    <w:rsid w:val="003B75F2"/>
    <w:rsid w:val="003B76E3"/>
    <w:rsid w:val="003B79BF"/>
    <w:rsid w:val="003B7A17"/>
    <w:rsid w:val="003B7D2E"/>
    <w:rsid w:val="003C0083"/>
    <w:rsid w:val="003C0368"/>
    <w:rsid w:val="003C075F"/>
    <w:rsid w:val="003C0BAA"/>
    <w:rsid w:val="003C0C9C"/>
    <w:rsid w:val="003C1874"/>
    <w:rsid w:val="003C1976"/>
    <w:rsid w:val="003C1A6F"/>
    <w:rsid w:val="003C1AC3"/>
    <w:rsid w:val="003C1AE9"/>
    <w:rsid w:val="003C1B84"/>
    <w:rsid w:val="003C1D52"/>
    <w:rsid w:val="003C1E09"/>
    <w:rsid w:val="003C1ED8"/>
    <w:rsid w:val="003C2658"/>
    <w:rsid w:val="003C2851"/>
    <w:rsid w:val="003C2C1F"/>
    <w:rsid w:val="003C2EA1"/>
    <w:rsid w:val="003C337D"/>
    <w:rsid w:val="003C3468"/>
    <w:rsid w:val="003C36B2"/>
    <w:rsid w:val="003C379B"/>
    <w:rsid w:val="003C37D6"/>
    <w:rsid w:val="003C38CE"/>
    <w:rsid w:val="003C3AC8"/>
    <w:rsid w:val="003C3B16"/>
    <w:rsid w:val="003C3BE1"/>
    <w:rsid w:val="003C3D21"/>
    <w:rsid w:val="003C405C"/>
    <w:rsid w:val="003C425F"/>
    <w:rsid w:val="003C47B4"/>
    <w:rsid w:val="003C497C"/>
    <w:rsid w:val="003C4AD6"/>
    <w:rsid w:val="003C4AFB"/>
    <w:rsid w:val="003C4D9B"/>
    <w:rsid w:val="003C4F1C"/>
    <w:rsid w:val="003C515D"/>
    <w:rsid w:val="003C516E"/>
    <w:rsid w:val="003C54DE"/>
    <w:rsid w:val="003C573D"/>
    <w:rsid w:val="003C5799"/>
    <w:rsid w:val="003C5804"/>
    <w:rsid w:val="003C5937"/>
    <w:rsid w:val="003C5D9E"/>
    <w:rsid w:val="003C5E8A"/>
    <w:rsid w:val="003C5ED4"/>
    <w:rsid w:val="003C5F98"/>
    <w:rsid w:val="003C609B"/>
    <w:rsid w:val="003C62C4"/>
    <w:rsid w:val="003C6309"/>
    <w:rsid w:val="003C654D"/>
    <w:rsid w:val="003C65D9"/>
    <w:rsid w:val="003C6A37"/>
    <w:rsid w:val="003C6BD4"/>
    <w:rsid w:val="003C6CF1"/>
    <w:rsid w:val="003C70B8"/>
    <w:rsid w:val="003C70F3"/>
    <w:rsid w:val="003C71BD"/>
    <w:rsid w:val="003C71EC"/>
    <w:rsid w:val="003C72FA"/>
    <w:rsid w:val="003C7552"/>
    <w:rsid w:val="003C770E"/>
    <w:rsid w:val="003C7750"/>
    <w:rsid w:val="003C77DB"/>
    <w:rsid w:val="003C7A07"/>
    <w:rsid w:val="003C7A7E"/>
    <w:rsid w:val="003C7AF4"/>
    <w:rsid w:val="003C7C1B"/>
    <w:rsid w:val="003C7E03"/>
    <w:rsid w:val="003C7E9E"/>
    <w:rsid w:val="003C7FBF"/>
    <w:rsid w:val="003D00B5"/>
    <w:rsid w:val="003D01DB"/>
    <w:rsid w:val="003D0275"/>
    <w:rsid w:val="003D0870"/>
    <w:rsid w:val="003D08E8"/>
    <w:rsid w:val="003D0C36"/>
    <w:rsid w:val="003D0E43"/>
    <w:rsid w:val="003D0EEF"/>
    <w:rsid w:val="003D114B"/>
    <w:rsid w:val="003D1C6B"/>
    <w:rsid w:val="003D1EAE"/>
    <w:rsid w:val="003D2023"/>
    <w:rsid w:val="003D20B5"/>
    <w:rsid w:val="003D20F8"/>
    <w:rsid w:val="003D21C1"/>
    <w:rsid w:val="003D21E3"/>
    <w:rsid w:val="003D2343"/>
    <w:rsid w:val="003D23BA"/>
    <w:rsid w:val="003D2430"/>
    <w:rsid w:val="003D26BE"/>
    <w:rsid w:val="003D27C6"/>
    <w:rsid w:val="003D28DA"/>
    <w:rsid w:val="003D2ABF"/>
    <w:rsid w:val="003D2BFE"/>
    <w:rsid w:val="003D2C5B"/>
    <w:rsid w:val="003D2CFD"/>
    <w:rsid w:val="003D31B9"/>
    <w:rsid w:val="003D3278"/>
    <w:rsid w:val="003D33C5"/>
    <w:rsid w:val="003D33FE"/>
    <w:rsid w:val="003D357C"/>
    <w:rsid w:val="003D36A1"/>
    <w:rsid w:val="003D36CD"/>
    <w:rsid w:val="003D397F"/>
    <w:rsid w:val="003D3A42"/>
    <w:rsid w:val="003D3BBB"/>
    <w:rsid w:val="003D4047"/>
    <w:rsid w:val="003D45DE"/>
    <w:rsid w:val="003D4701"/>
    <w:rsid w:val="003D4980"/>
    <w:rsid w:val="003D4AD6"/>
    <w:rsid w:val="003D4C19"/>
    <w:rsid w:val="003D56B2"/>
    <w:rsid w:val="003D5B15"/>
    <w:rsid w:val="003D5D51"/>
    <w:rsid w:val="003D6272"/>
    <w:rsid w:val="003D6601"/>
    <w:rsid w:val="003D677D"/>
    <w:rsid w:val="003D68D2"/>
    <w:rsid w:val="003D6B54"/>
    <w:rsid w:val="003D6DB3"/>
    <w:rsid w:val="003D75CA"/>
    <w:rsid w:val="003D7643"/>
    <w:rsid w:val="003D77DD"/>
    <w:rsid w:val="003D7901"/>
    <w:rsid w:val="003D7930"/>
    <w:rsid w:val="003D7B1F"/>
    <w:rsid w:val="003E000A"/>
    <w:rsid w:val="003E0327"/>
    <w:rsid w:val="003E0462"/>
    <w:rsid w:val="003E09B9"/>
    <w:rsid w:val="003E09E8"/>
    <w:rsid w:val="003E0A54"/>
    <w:rsid w:val="003E0ABC"/>
    <w:rsid w:val="003E0CA4"/>
    <w:rsid w:val="003E0F77"/>
    <w:rsid w:val="003E114C"/>
    <w:rsid w:val="003E17A7"/>
    <w:rsid w:val="003E18E3"/>
    <w:rsid w:val="003E194C"/>
    <w:rsid w:val="003E1E74"/>
    <w:rsid w:val="003E24B5"/>
    <w:rsid w:val="003E267E"/>
    <w:rsid w:val="003E26FB"/>
    <w:rsid w:val="003E2798"/>
    <w:rsid w:val="003E279B"/>
    <w:rsid w:val="003E291A"/>
    <w:rsid w:val="003E29EF"/>
    <w:rsid w:val="003E2B3B"/>
    <w:rsid w:val="003E36AA"/>
    <w:rsid w:val="003E3760"/>
    <w:rsid w:val="003E37ED"/>
    <w:rsid w:val="003E3AF9"/>
    <w:rsid w:val="003E3BEA"/>
    <w:rsid w:val="003E3F03"/>
    <w:rsid w:val="003E4172"/>
    <w:rsid w:val="003E4195"/>
    <w:rsid w:val="003E44B1"/>
    <w:rsid w:val="003E450E"/>
    <w:rsid w:val="003E48AF"/>
    <w:rsid w:val="003E48C2"/>
    <w:rsid w:val="003E4AC1"/>
    <w:rsid w:val="003E4D7E"/>
    <w:rsid w:val="003E4E12"/>
    <w:rsid w:val="003E4F3F"/>
    <w:rsid w:val="003E4FF7"/>
    <w:rsid w:val="003E5010"/>
    <w:rsid w:val="003E567B"/>
    <w:rsid w:val="003E5729"/>
    <w:rsid w:val="003E57C8"/>
    <w:rsid w:val="003E5934"/>
    <w:rsid w:val="003E5EB0"/>
    <w:rsid w:val="003E67CD"/>
    <w:rsid w:val="003E6918"/>
    <w:rsid w:val="003E6947"/>
    <w:rsid w:val="003E6DAF"/>
    <w:rsid w:val="003E70FD"/>
    <w:rsid w:val="003E748F"/>
    <w:rsid w:val="003E750F"/>
    <w:rsid w:val="003E7545"/>
    <w:rsid w:val="003E7848"/>
    <w:rsid w:val="003E7DC5"/>
    <w:rsid w:val="003E7FB7"/>
    <w:rsid w:val="003F0371"/>
    <w:rsid w:val="003F04B6"/>
    <w:rsid w:val="003F0680"/>
    <w:rsid w:val="003F0784"/>
    <w:rsid w:val="003F07EC"/>
    <w:rsid w:val="003F08FE"/>
    <w:rsid w:val="003F0D92"/>
    <w:rsid w:val="003F0E7D"/>
    <w:rsid w:val="003F1122"/>
    <w:rsid w:val="003F1874"/>
    <w:rsid w:val="003F1CBD"/>
    <w:rsid w:val="003F1E28"/>
    <w:rsid w:val="003F21F4"/>
    <w:rsid w:val="003F2257"/>
    <w:rsid w:val="003F22FE"/>
    <w:rsid w:val="003F2581"/>
    <w:rsid w:val="003F26A9"/>
    <w:rsid w:val="003F2801"/>
    <w:rsid w:val="003F2819"/>
    <w:rsid w:val="003F2986"/>
    <w:rsid w:val="003F314B"/>
    <w:rsid w:val="003F32E0"/>
    <w:rsid w:val="003F37C0"/>
    <w:rsid w:val="003F37D8"/>
    <w:rsid w:val="003F3862"/>
    <w:rsid w:val="003F3B7E"/>
    <w:rsid w:val="003F3D94"/>
    <w:rsid w:val="003F3E4C"/>
    <w:rsid w:val="003F3F23"/>
    <w:rsid w:val="003F4548"/>
    <w:rsid w:val="003F456A"/>
    <w:rsid w:val="003F4623"/>
    <w:rsid w:val="003F4936"/>
    <w:rsid w:val="003F4B4F"/>
    <w:rsid w:val="003F4E65"/>
    <w:rsid w:val="003F4FB6"/>
    <w:rsid w:val="003F53BF"/>
    <w:rsid w:val="003F57BA"/>
    <w:rsid w:val="003F5866"/>
    <w:rsid w:val="003F64EB"/>
    <w:rsid w:val="003F6508"/>
    <w:rsid w:val="003F67EE"/>
    <w:rsid w:val="003F6940"/>
    <w:rsid w:val="003F69D5"/>
    <w:rsid w:val="003F6A4B"/>
    <w:rsid w:val="003F6BE2"/>
    <w:rsid w:val="003F6D54"/>
    <w:rsid w:val="003F6FF0"/>
    <w:rsid w:val="003F7169"/>
    <w:rsid w:val="003F7252"/>
    <w:rsid w:val="003F727B"/>
    <w:rsid w:val="003F733D"/>
    <w:rsid w:val="003F74DF"/>
    <w:rsid w:val="003F7CC8"/>
    <w:rsid w:val="004002FB"/>
    <w:rsid w:val="004004EB"/>
    <w:rsid w:val="00400720"/>
    <w:rsid w:val="00400B9D"/>
    <w:rsid w:val="00400BF2"/>
    <w:rsid w:val="00400C5A"/>
    <w:rsid w:val="00400F30"/>
    <w:rsid w:val="00400F37"/>
    <w:rsid w:val="0040129A"/>
    <w:rsid w:val="00401397"/>
    <w:rsid w:val="0040193C"/>
    <w:rsid w:val="00401B0F"/>
    <w:rsid w:val="00401CC3"/>
    <w:rsid w:val="00401DFF"/>
    <w:rsid w:val="0040212C"/>
    <w:rsid w:val="00402172"/>
    <w:rsid w:val="0040219D"/>
    <w:rsid w:val="004022D7"/>
    <w:rsid w:val="004024A6"/>
    <w:rsid w:val="0040268E"/>
    <w:rsid w:val="004026CB"/>
    <w:rsid w:val="004029B5"/>
    <w:rsid w:val="004029FD"/>
    <w:rsid w:val="00402EB0"/>
    <w:rsid w:val="00403003"/>
    <w:rsid w:val="00403198"/>
    <w:rsid w:val="004035F4"/>
    <w:rsid w:val="0040393D"/>
    <w:rsid w:val="00403F54"/>
    <w:rsid w:val="00403FEE"/>
    <w:rsid w:val="004043FF"/>
    <w:rsid w:val="004045DC"/>
    <w:rsid w:val="0040474C"/>
    <w:rsid w:val="00404923"/>
    <w:rsid w:val="00405053"/>
    <w:rsid w:val="00405351"/>
    <w:rsid w:val="0040540C"/>
    <w:rsid w:val="0040567F"/>
    <w:rsid w:val="004056CD"/>
    <w:rsid w:val="00405748"/>
    <w:rsid w:val="0040591B"/>
    <w:rsid w:val="00405A08"/>
    <w:rsid w:val="00405A4C"/>
    <w:rsid w:val="00405C63"/>
    <w:rsid w:val="00405C67"/>
    <w:rsid w:val="004062AF"/>
    <w:rsid w:val="004066EB"/>
    <w:rsid w:val="00406AC8"/>
    <w:rsid w:val="00406E57"/>
    <w:rsid w:val="00406FB9"/>
    <w:rsid w:val="004076D7"/>
    <w:rsid w:val="004077C6"/>
    <w:rsid w:val="00407801"/>
    <w:rsid w:val="00407872"/>
    <w:rsid w:val="00407AAC"/>
    <w:rsid w:val="00407B9E"/>
    <w:rsid w:val="00407C09"/>
    <w:rsid w:val="00407EA4"/>
    <w:rsid w:val="004101E6"/>
    <w:rsid w:val="004102D3"/>
    <w:rsid w:val="004105A1"/>
    <w:rsid w:val="00410964"/>
    <w:rsid w:val="00410AE9"/>
    <w:rsid w:val="00410AF3"/>
    <w:rsid w:val="00410D05"/>
    <w:rsid w:val="00410D46"/>
    <w:rsid w:val="00410FF2"/>
    <w:rsid w:val="0041106B"/>
    <w:rsid w:val="00411087"/>
    <w:rsid w:val="00411207"/>
    <w:rsid w:val="004112D9"/>
    <w:rsid w:val="0041203F"/>
    <w:rsid w:val="00412252"/>
    <w:rsid w:val="004124A2"/>
    <w:rsid w:val="004125E6"/>
    <w:rsid w:val="00412C5B"/>
    <w:rsid w:val="00412E49"/>
    <w:rsid w:val="00412E8A"/>
    <w:rsid w:val="004130BF"/>
    <w:rsid w:val="004131EE"/>
    <w:rsid w:val="004135A3"/>
    <w:rsid w:val="004135D0"/>
    <w:rsid w:val="0041368B"/>
    <w:rsid w:val="00413C82"/>
    <w:rsid w:val="00413CB5"/>
    <w:rsid w:val="00413F49"/>
    <w:rsid w:val="00414367"/>
    <w:rsid w:val="0041443E"/>
    <w:rsid w:val="0041451D"/>
    <w:rsid w:val="00414C78"/>
    <w:rsid w:val="00414DC8"/>
    <w:rsid w:val="00414FB2"/>
    <w:rsid w:val="00415082"/>
    <w:rsid w:val="00415230"/>
    <w:rsid w:val="0041562D"/>
    <w:rsid w:val="00415747"/>
    <w:rsid w:val="00415AD4"/>
    <w:rsid w:val="00415B7D"/>
    <w:rsid w:val="00415D1F"/>
    <w:rsid w:val="00416067"/>
    <w:rsid w:val="00416100"/>
    <w:rsid w:val="004164C3"/>
    <w:rsid w:val="00416664"/>
    <w:rsid w:val="004168A1"/>
    <w:rsid w:val="004168C4"/>
    <w:rsid w:val="004169E3"/>
    <w:rsid w:val="00416B75"/>
    <w:rsid w:val="00416B9C"/>
    <w:rsid w:val="00416C60"/>
    <w:rsid w:val="00416D7E"/>
    <w:rsid w:val="00416E11"/>
    <w:rsid w:val="004170D6"/>
    <w:rsid w:val="004172DB"/>
    <w:rsid w:val="004172DC"/>
    <w:rsid w:val="004177C2"/>
    <w:rsid w:val="00417938"/>
    <w:rsid w:val="00417A0C"/>
    <w:rsid w:val="00417C35"/>
    <w:rsid w:val="004200B7"/>
    <w:rsid w:val="00420198"/>
    <w:rsid w:val="00420408"/>
    <w:rsid w:val="00420AD7"/>
    <w:rsid w:val="00420B56"/>
    <w:rsid w:val="00420BDC"/>
    <w:rsid w:val="00420E44"/>
    <w:rsid w:val="00420FE9"/>
    <w:rsid w:val="004210F4"/>
    <w:rsid w:val="004212E1"/>
    <w:rsid w:val="004213BA"/>
    <w:rsid w:val="004214A5"/>
    <w:rsid w:val="004216AD"/>
    <w:rsid w:val="004217B5"/>
    <w:rsid w:val="00421823"/>
    <w:rsid w:val="0042189A"/>
    <w:rsid w:val="00421B35"/>
    <w:rsid w:val="00421CEF"/>
    <w:rsid w:val="00422211"/>
    <w:rsid w:val="00422222"/>
    <w:rsid w:val="00422325"/>
    <w:rsid w:val="00422370"/>
    <w:rsid w:val="00422553"/>
    <w:rsid w:val="00422792"/>
    <w:rsid w:val="00422B54"/>
    <w:rsid w:val="00422BDB"/>
    <w:rsid w:val="00422D23"/>
    <w:rsid w:val="0042316C"/>
    <w:rsid w:val="004231FF"/>
    <w:rsid w:val="00423335"/>
    <w:rsid w:val="0042333A"/>
    <w:rsid w:val="004235E9"/>
    <w:rsid w:val="00423B7E"/>
    <w:rsid w:val="00423D15"/>
    <w:rsid w:val="00423E0E"/>
    <w:rsid w:val="00424530"/>
    <w:rsid w:val="00424564"/>
    <w:rsid w:val="004245AB"/>
    <w:rsid w:val="004245F4"/>
    <w:rsid w:val="00424646"/>
    <w:rsid w:val="00424921"/>
    <w:rsid w:val="00424EAD"/>
    <w:rsid w:val="00424FBE"/>
    <w:rsid w:val="0042505D"/>
    <w:rsid w:val="004257C3"/>
    <w:rsid w:val="00425AB1"/>
    <w:rsid w:val="00425ABD"/>
    <w:rsid w:val="00425CC0"/>
    <w:rsid w:val="004260EF"/>
    <w:rsid w:val="004262F4"/>
    <w:rsid w:val="004264A3"/>
    <w:rsid w:val="0042664F"/>
    <w:rsid w:val="00426715"/>
    <w:rsid w:val="00426894"/>
    <w:rsid w:val="00426A60"/>
    <w:rsid w:val="00427671"/>
    <w:rsid w:val="00427944"/>
    <w:rsid w:val="00427E4B"/>
    <w:rsid w:val="00430385"/>
    <w:rsid w:val="00430657"/>
    <w:rsid w:val="004306F6"/>
    <w:rsid w:val="00430917"/>
    <w:rsid w:val="00430B09"/>
    <w:rsid w:val="00430C6A"/>
    <w:rsid w:val="00430DF3"/>
    <w:rsid w:val="00430E14"/>
    <w:rsid w:val="00431195"/>
    <w:rsid w:val="004312BC"/>
    <w:rsid w:val="004312EC"/>
    <w:rsid w:val="00431491"/>
    <w:rsid w:val="004315E2"/>
    <w:rsid w:val="00431ABA"/>
    <w:rsid w:val="00431D96"/>
    <w:rsid w:val="00431DA7"/>
    <w:rsid w:val="00431FB1"/>
    <w:rsid w:val="00431FB4"/>
    <w:rsid w:val="004320F6"/>
    <w:rsid w:val="004325B3"/>
    <w:rsid w:val="004325FF"/>
    <w:rsid w:val="00432AFE"/>
    <w:rsid w:val="00432DBF"/>
    <w:rsid w:val="00432FC9"/>
    <w:rsid w:val="004331E6"/>
    <w:rsid w:val="0043386C"/>
    <w:rsid w:val="00433A3E"/>
    <w:rsid w:val="00433B40"/>
    <w:rsid w:val="00433D60"/>
    <w:rsid w:val="00433E6E"/>
    <w:rsid w:val="00434009"/>
    <w:rsid w:val="004340D5"/>
    <w:rsid w:val="00434181"/>
    <w:rsid w:val="004342B0"/>
    <w:rsid w:val="004342C3"/>
    <w:rsid w:val="00434313"/>
    <w:rsid w:val="0043435F"/>
    <w:rsid w:val="004344CD"/>
    <w:rsid w:val="0043484A"/>
    <w:rsid w:val="004348FC"/>
    <w:rsid w:val="00434988"/>
    <w:rsid w:val="00434AEF"/>
    <w:rsid w:val="00434C69"/>
    <w:rsid w:val="00434F0F"/>
    <w:rsid w:val="00434F18"/>
    <w:rsid w:val="004351EF"/>
    <w:rsid w:val="004351F3"/>
    <w:rsid w:val="004352F7"/>
    <w:rsid w:val="00435B83"/>
    <w:rsid w:val="00435E8A"/>
    <w:rsid w:val="004365A9"/>
    <w:rsid w:val="0043666B"/>
    <w:rsid w:val="00436949"/>
    <w:rsid w:val="00436B6B"/>
    <w:rsid w:val="00436C94"/>
    <w:rsid w:val="00436D3C"/>
    <w:rsid w:val="00436DD6"/>
    <w:rsid w:val="00437067"/>
    <w:rsid w:val="0043715E"/>
    <w:rsid w:val="00437658"/>
    <w:rsid w:val="004376F2"/>
    <w:rsid w:val="004377A7"/>
    <w:rsid w:val="00437993"/>
    <w:rsid w:val="00437C9F"/>
    <w:rsid w:val="00437F2F"/>
    <w:rsid w:val="00437FAB"/>
    <w:rsid w:val="00440029"/>
    <w:rsid w:val="004402CD"/>
    <w:rsid w:val="00440302"/>
    <w:rsid w:val="004407A8"/>
    <w:rsid w:val="0044094C"/>
    <w:rsid w:val="00440989"/>
    <w:rsid w:val="00440DF7"/>
    <w:rsid w:val="00441019"/>
    <w:rsid w:val="00441508"/>
    <w:rsid w:val="0044155B"/>
    <w:rsid w:val="00441672"/>
    <w:rsid w:val="004419BE"/>
    <w:rsid w:val="0044202C"/>
    <w:rsid w:val="0044262C"/>
    <w:rsid w:val="00442965"/>
    <w:rsid w:val="00442996"/>
    <w:rsid w:val="00442B0D"/>
    <w:rsid w:val="00442C13"/>
    <w:rsid w:val="00442C61"/>
    <w:rsid w:val="00442D50"/>
    <w:rsid w:val="00442F5C"/>
    <w:rsid w:val="0044308A"/>
    <w:rsid w:val="00443160"/>
    <w:rsid w:val="00443270"/>
    <w:rsid w:val="0044336C"/>
    <w:rsid w:val="00443450"/>
    <w:rsid w:val="004439ED"/>
    <w:rsid w:val="00443D01"/>
    <w:rsid w:val="004447B1"/>
    <w:rsid w:val="00444879"/>
    <w:rsid w:val="00444B7A"/>
    <w:rsid w:val="00444C5B"/>
    <w:rsid w:val="00444CDD"/>
    <w:rsid w:val="00444D5D"/>
    <w:rsid w:val="00444E5A"/>
    <w:rsid w:val="004450A2"/>
    <w:rsid w:val="0044535F"/>
    <w:rsid w:val="004457D2"/>
    <w:rsid w:val="00445F1C"/>
    <w:rsid w:val="00446262"/>
    <w:rsid w:val="004463EC"/>
    <w:rsid w:val="0044644D"/>
    <w:rsid w:val="00446535"/>
    <w:rsid w:val="004465C6"/>
    <w:rsid w:val="00446A16"/>
    <w:rsid w:val="00446AAF"/>
    <w:rsid w:val="00446B5F"/>
    <w:rsid w:val="00446E5A"/>
    <w:rsid w:val="004470E8"/>
    <w:rsid w:val="00447175"/>
    <w:rsid w:val="00447290"/>
    <w:rsid w:val="004473CB"/>
    <w:rsid w:val="004473D8"/>
    <w:rsid w:val="0044740D"/>
    <w:rsid w:val="004478FC"/>
    <w:rsid w:val="004479D1"/>
    <w:rsid w:val="00447D78"/>
    <w:rsid w:val="00447DC9"/>
    <w:rsid w:val="00447DCD"/>
    <w:rsid w:val="00447DF2"/>
    <w:rsid w:val="00447F08"/>
    <w:rsid w:val="0045010C"/>
    <w:rsid w:val="004504DC"/>
    <w:rsid w:val="004505FF"/>
    <w:rsid w:val="004508BE"/>
    <w:rsid w:val="004509F8"/>
    <w:rsid w:val="00450A97"/>
    <w:rsid w:val="00450C34"/>
    <w:rsid w:val="00451442"/>
    <w:rsid w:val="00451501"/>
    <w:rsid w:val="004515AF"/>
    <w:rsid w:val="0045172A"/>
    <w:rsid w:val="00451753"/>
    <w:rsid w:val="00451A0E"/>
    <w:rsid w:val="00451C1A"/>
    <w:rsid w:val="00451CA7"/>
    <w:rsid w:val="00451D24"/>
    <w:rsid w:val="00451EE7"/>
    <w:rsid w:val="00452030"/>
    <w:rsid w:val="00452151"/>
    <w:rsid w:val="00452197"/>
    <w:rsid w:val="004521FD"/>
    <w:rsid w:val="00452204"/>
    <w:rsid w:val="004523C4"/>
    <w:rsid w:val="0045250A"/>
    <w:rsid w:val="004526DD"/>
    <w:rsid w:val="0045289C"/>
    <w:rsid w:val="004528C4"/>
    <w:rsid w:val="004529E3"/>
    <w:rsid w:val="00452D6B"/>
    <w:rsid w:val="00452EE2"/>
    <w:rsid w:val="00453AFE"/>
    <w:rsid w:val="00453D3E"/>
    <w:rsid w:val="00454154"/>
    <w:rsid w:val="004544B8"/>
    <w:rsid w:val="004546D0"/>
    <w:rsid w:val="004547FC"/>
    <w:rsid w:val="00454C25"/>
    <w:rsid w:val="00454D6A"/>
    <w:rsid w:val="00454F45"/>
    <w:rsid w:val="0045514F"/>
    <w:rsid w:val="00455163"/>
    <w:rsid w:val="00455219"/>
    <w:rsid w:val="00455368"/>
    <w:rsid w:val="004555A3"/>
    <w:rsid w:val="00455E39"/>
    <w:rsid w:val="00455EE8"/>
    <w:rsid w:val="00455F8B"/>
    <w:rsid w:val="0045629B"/>
    <w:rsid w:val="00456517"/>
    <w:rsid w:val="00456CC4"/>
    <w:rsid w:val="00456DA6"/>
    <w:rsid w:val="00457284"/>
    <w:rsid w:val="00457454"/>
    <w:rsid w:val="0045752D"/>
    <w:rsid w:val="00457594"/>
    <w:rsid w:val="00457E0C"/>
    <w:rsid w:val="00457E4D"/>
    <w:rsid w:val="00457E8E"/>
    <w:rsid w:val="00460850"/>
    <w:rsid w:val="00460990"/>
    <w:rsid w:val="004609FC"/>
    <w:rsid w:val="00460A97"/>
    <w:rsid w:val="00460C7B"/>
    <w:rsid w:val="00460DB3"/>
    <w:rsid w:val="00460E40"/>
    <w:rsid w:val="00460EFA"/>
    <w:rsid w:val="00461211"/>
    <w:rsid w:val="004612EB"/>
    <w:rsid w:val="004613E7"/>
    <w:rsid w:val="004613F9"/>
    <w:rsid w:val="0046143A"/>
    <w:rsid w:val="0046179F"/>
    <w:rsid w:val="00461CB6"/>
    <w:rsid w:val="00461CBA"/>
    <w:rsid w:val="00462208"/>
    <w:rsid w:val="0046235B"/>
    <w:rsid w:val="0046240B"/>
    <w:rsid w:val="0046265C"/>
    <w:rsid w:val="004628E2"/>
    <w:rsid w:val="0046294C"/>
    <w:rsid w:val="00462A57"/>
    <w:rsid w:val="00462D0F"/>
    <w:rsid w:val="00462FF5"/>
    <w:rsid w:val="00463470"/>
    <w:rsid w:val="004635F6"/>
    <w:rsid w:val="0046364D"/>
    <w:rsid w:val="0046364F"/>
    <w:rsid w:val="00463A3E"/>
    <w:rsid w:val="00463D7E"/>
    <w:rsid w:val="00463E53"/>
    <w:rsid w:val="00463E91"/>
    <w:rsid w:val="00464185"/>
    <w:rsid w:val="0046443C"/>
    <w:rsid w:val="004644EC"/>
    <w:rsid w:val="00464504"/>
    <w:rsid w:val="0046473C"/>
    <w:rsid w:val="00464896"/>
    <w:rsid w:val="00464A31"/>
    <w:rsid w:val="00464D11"/>
    <w:rsid w:val="00465038"/>
    <w:rsid w:val="00465308"/>
    <w:rsid w:val="00465786"/>
    <w:rsid w:val="004657C2"/>
    <w:rsid w:val="00465E2F"/>
    <w:rsid w:val="00465F3D"/>
    <w:rsid w:val="00465FF9"/>
    <w:rsid w:val="004663C9"/>
    <w:rsid w:val="00466406"/>
    <w:rsid w:val="0046641B"/>
    <w:rsid w:val="0046690C"/>
    <w:rsid w:val="00466B14"/>
    <w:rsid w:val="00467206"/>
    <w:rsid w:val="0046786B"/>
    <w:rsid w:val="004679A1"/>
    <w:rsid w:val="00467C38"/>
    <w:rsid w:val="00467C40"/>
    <w:rsid w:val="00470240"/>
    <w:rsid w:val="0047054D"/>
    <w:rsid w:val="0047077C"/>
    <w:rsid w:val="00470952"/>
    <w:rsid w:val="00470C0A"/>
    <w:rsid w:val="00471114"/>
    <w:rsid w:val="004712F1"/>
    <w:rsid w:val="004713E7"/>
    <w:rsid w:val="004719EF"/>
    <w:rsid w:val="00471AAB"/>
    <w:rsid w:val="00471D5C"/>
    <w:rsid w:val="00471FC7"/>
    <w:rsid w:val="00472502"/>
    <w:rsid w:val="00472830"/>
    <w:rsid w:val="00472A5B"/>
    <w:rsid w:val="00472DB1"/>
    <w:rsid w:val="00472E1A"/>
    <w:rsid w:val="0047320F"/>
    <w:rsid w:val="0047329D"/>
    <w:rsid w:val="004732C5"/>
    <w:rsid w:val="004732C6"/>
    <w:rsid w:val="0047334D"/>
    <w:rsid w:val="00473AEE"/>
    <w:rsid w:val="00473D56"/>
    <w:rsid w:val="00473D8A"/>
    <w:rsid w:val="00473E62"/>
    <w:rsid w:val="0047421D"/>
    <w:rsid w:val="004745BC"/>
    <w:rsid w:val="00474645"/>
    <w:rsid w:val="00474758"/>
    <w:rsid w:val="004748CB"/>
    <w:rsid w:val="00474AFF"/>
    <w:rsid w:val="00474CC6"/>
    <w:rsid w:val="00474D2D"/>
    <w:rsid w:val="004752FF"/>
    <w:rsid w:val="0047544F"/>
    <w:rsid w:val="004757C5"/>
    <w:rsid w:val="00475C22"/>
    <w:rsid w:val="00475D25"/>
    <w:rsid w:val="00475D6B"/>
    <w:rsid w:val="00475E25"/>
    <w:rsid w:val="00475FF2"/>
    <w:rsid w:val="004765B1"/>
    <w:rsid w:val="00476682"/>
    <w:rsid w:val="004768E8"/>
    <w:rsid w:val="00476D38"/>
    <w:rsid w:val="00476F64"/>
    <w:rsid w:val="004770B8"/>
    <w:rsid w:val="0047743F"/>
    <w:rsid w:val="00477679"/>
    <w:rsid w:val="004776EC"/>
    <w:rsid w:val="00477878"/>
    <w:rsid w:val="00477A34"/>
    <w:rsid w:val="00477D47"/>
    <w:rsid w:val="00477DFE"/>
    <w:rsid w:val="0048010F"/>
    <w:rsid w:val="0048030E"/>
    <w:rsid w:val="0048045A"/>
    <w:rsid w:val="0048046F"/>
    <w:rsid w:val="004805F2"/>
    <w:rsid w:val="0048070D"/>
    <w:rsid w:val="00480829"/>
    <w:rsid w:val="00480AA5"/>
    <w:rsid w:val="00480D86"/>
    <w:rsid w:val="004811AA"/>
    <w:rsid w:val="0048127E"/>
    <w:rsid w:val="00481565"/>
    <w:rsid w:val="0048182B"/>
    <w:rsid w:val="00481A20"/>
    <w:rsid w:val="00481A2F"/>
    <w:rsid w:val="00481C48"/>
    <w:rsid w:val="00481CAB"/>
    <w:rsid w:val="004821DB"/>
    <w:rsid w:val="0048295A"/>
    <w:rsid w:val="00482ED1"/>
    <w:rsid w:val="00482FBC"/>
    <w:rsid w:val="00483590"/>
    <w:rsid w:val="004838D2"/>
    <w:rsid w:val="00483ED6"/>
    <w:rsid w:val="004841B4"/>
    <w:rsid w:val="004844DB"/>
    <w:rsid w:val="004844EA"/>
    <w:rsid w:val="0048483E"/>
    <w:rsid w:val="00484891"/>
    <w:rsid w:val="00484A99"/>
    <w:rsid w:val="00484C66"/>
    <w:rsid w:val="00484E87"/>
    <w:rsid w:val="00485161"/>
    <w:rsid w:val="00485331"/>
    <w:rsid w:val="00485A08"/>
    <w:rsid w:val="00485A6B"/>
    <w:rsid w:val="00485C9B"/>
    <w:rsid w:val="00486052"/>
    <w:rsid w:val="00486071"/>
    <w:rsid w:val="0048617E"/>
    <w:rsid w:val="0048636D"/>
    <w:rsid w:val="0048643C"/>
    <w:rsid w:val="00486486"/>
    <w:rsid w:val="004866A0"/>
    <w:rsid w:val="00486AED"/>
    <w:rsid w:val="00486C07"/>
    <w:rsid w:val="00486CA9"/>
    <w:rsid w:val="00486EA3"/>
    <w:rsid w:val="004872BC"/>
    <w:rsid w:val="0048740D"/>
    <w:rsid w:val="0048750B"/>
    <w:rsid w:val="00487690"/>
    <w:rsid w:val="0049003F"/>
    <w:rsid w:val="00490275"/>
    <w:rsid w:val="0049052C"/>
    <w:rsid w:val="0049069B"/>
    <w:rsid w:val="00490831"/>
    <w:rsid w:val="0049099A"/>
    <w:rsid w:val="00490DEC"/>
    <w:rsid w:val="0049103D"/>
    <w:rsid w:val="00491471"/>
    <w:rsid w:val="00491832"/>
    <w:rsid w:val="00491A08"/>
    <w:rsid w:val="00491E6E"/>
    <w:rsid w:val="00491F68"/>
    <w:rsid w:val="00491FF6"/>
    <w:rsid w:val="0049230B"/>
    <w:rsid w:val="004923E1"/>
    <w:rsid w:val="0049249D"/>
    <w:rsid w:val="004927FE"/>
    <w:rsid w:val="004928C7"/>
    <w:rsid w:val="00493051"/>
    <w:rsid w:val="0049366C"/>
    <w:rsid w:val="00493950"/>
    <w:rsid w:val="00493B1C"/>
    <w:rsid w:val="00493C6B"/>
    <w:rsid w:val="00493C82"/>
    <w:rsid w:val="004943BA"/>
    <w:rsid w:val="00494ACD"/>
    <w:rsid w:val="004951A6"/>
    <w:rsid w:val="004953A0"/>
    <w:rsid w:val="004956AD"/>
    <w:rsid w:val="0049573A"/>
    <w:rsid w:val="00495A15"/>
    <w:rsid w:val="00495CFD"/>
    <w:rsid w:val="00495DEE"/>
    <w:rsid w:val="00495FC4"/>
    <w:rsid w:val="0049633B"/>
    <w:rsid w:val="004963E7"/>
    <w:rsid w:val="004965DD"/>
    <w:rsid w:val="004965FA"/>
    <w:rsid w:val="0049665C"/>
    <w:rsid w:val="004966C7"/>
    <w:rsid w:val="00496839"/>
    <w:rsid w:val="00496850"/>
    <w:rsid w:val="00496886"/>
    <w:rsid w:val="00496A22"/>
    <w:rsid w:val="00496BAC"/>
    <w:rsid w:val="00496BD5"/>
    <w:rsid w:val="00496D11"/>
    <w:rsid w:val="00496E52"/>
    <w:rsid w:val="00497113"/>
    <w:rsid w:val="00497308"/>
    <w:rsid w:val="00497425"/>
    <w:rsid w:val="004975C0"/>
    <w:rsid w:val="0049761E"/>
    <w:rsid w:val="00497D32"/>
    <w:rsid w:val="00497D49"/>
    <w:rsid w:val="00497E33"/>
    <w:rsid w:val="00497F50"/>
    <w:rsid w:val="004A0149"/>
    <w:rsid w:val="004A0188"/>
    <w:rsid w:val="004A053D"/>
    <w:rsid w:val="004A0797"/>
    <w:rsid w:val="004A0866"/>
    <w:rsid w:val="004A0E5D"/>
    <w:rsid w:val="004A0E98"/>
    <w:rsid w:val="004A1200"/>
    <w:rsid w:val="004A12D4"/>
    <w:rsid w:val="004A130B"/>
    <w:rsid w:val="004A13FB"/>
    <w:rsid w:val="004A144A"/>
    <w:rsid w:val="004A1549"/>
    <w:rsid w:val="004A184A"/>
    <w:rsid w:val="004A192A"/>
    <w:rsid w:val="004A1A49"/>
    <w:rsid w:val="004A1B4C"/>
    <w:rsid w:val="004A1CA3"/>
    <w:rsid w:val="004A1CDB"/>
    <w:rsid w:val="004A1F8D"/>
    <w:rsid w:val="004A20CE"/>
    <w:rsid w:val="004A211C"/>
    <w:rsid w:val="004A2CA3"/>
    <w:rsid w:val="004A30F1"/>
    <w:rsid w:val="004A31D7"/>
    <w:rsid w:val="004A3643"/>
    <w:rsid w:val="004A384D"/>
    <w:rsid w:val="004A39F7"/>
    <w:rsid w:val="004A3EC9"/>
    <w:rsid w:val="004A3EF5"/>
    <w:rsid w:val="004A4268"/>
    <w:rsid w:val="004A45D3"/>
    <w:rsid w:val="004A462A"/>
    <w:rsid w:val="004A46B4"/>
    <w:rsid w:val="004A470B"/>
    <w:rsid w:val="004A4F69"/>
    <w:rsid w:val="004A551C"/>
    <w:rsid w:val="004A5998"/>
    <w:rsid w:val="004A5B99"/>
    <w:rsid w:val="004A665F"/>
    <w:rsid w:val="004A6BC1"/>
    <w:rsid w:val="004A6C5F"/>
    <w:rsid w:val="004A6FED"/>
    <w:rsid w:val="004A71AB"/>
    <w:rsid w:val="004A76D3"/>
    <w:rsid w:val="004A789B"/>
    <w:rsid w:val="004A78A7"/>
    <w:rsid w:val="004A7E9D"/>
    <w:rsid w:val="004A7EFB"/>
    <w:rsid w:val="004B020D"/>
    <w:rsid w:val="004B03F5"/>
    <w:rsid w:val="004B0B24"/>
    <w:rsid w:val="004B0B2A"/>
    <w:rsid w:val="004B0C43"/>
    <w:rsid w:val="004B0ED9"/>
    <w:rsid w:val="004B0FC9"/>
    <w:rsid w:val="004B11E6"/>
    <w:rsid w:val="004B1260"/>
    <w:rsid w:val="004B1320"/>
    <w:rsid w:val="004B1449"/>
    <w:rsid w:val="004B14F5"/>
    <w:rsid w:val="004B176F"/>
    <w:rsid w:val="004B17C0"/>
    <w:rsid w:val="004B2261"/>
    <w:rsid w:val="004B23CF"/>
    <w:rsid w:val="004B253D"/>
    <w:rsid w:val="004B27E1"/>
    <w:rsid w:val="004B2852"/>
    <w:rsid w:val="004B2B6D"/>
    <w:rsid w:val="004B2D1E"/>
    <w:rsid w:val="004B2DF2"/>
    <w:rsid w:val="004B2DF6"/>
    <w:rsid w:val="004B3057"/>
    <w:rsid w:val="004B34A2"/>
    <w:rsid w:val="004B376A"/>
    <w:rsid w:val="004B3BF4"/>
    <w:rsid w:val="004B3D67"/>
    <w:rsid w:val="004B3DC8"/>
    <w:rsid w:val="004B3F52"/>
    <w:rsid w:val="004B40BE"/>
    <w:rsid w:val="004B4189"/>
    <w:rsid w:val="004B41FE"/>
    <w:rsid w:val="004B44A4"/>
    <w:rsid w:val="004B451A"/>
    <w:rsid w:val="004B47D9"/>
    <w:rsid w:val="004B48A1"/>
    <w:rsid w:val="004B4903"/>
    <w:rsid w:val="004B4C0B"/>
    <w:rsid w:val="004B4C19"/>
    <w:rsid w:val="004B4E83"/>
    <w:rsid w:val="004B589B"/>
    <w:rsid w:val="004B5965"/>
    <w:rsid w:val="004B5E57"/>
    <w:rsid w:val="004B6138"/>
    <w:rsid w:val="004B62A7"/>
    <w:rsid w:val="004B6363"/>
    <w:rsid w:val="004B6714"/>
    <w:rsid w:val="004B6C73"/>
    <w:rsid w:val="004B6ED9"/>
    <w:rsid w:val="004B762F"/>
    <w:rsid w:val="004B7831"/>
    <w:rsid w:val="004C01F8"/>
    <w:rsid w:val="004C03ED"/>
    <w:rsid w:val="004C051B"/>
    <w:rsid w:val="004C0545"/>
    <w:rsid w:val="004C0BB9"/>
    <w:rsid w:val="004C0BF9"/>
    <w:rsid w:val="004C0CCC"/>
    <w:rsid w:val="004C1439"/>
    <w:rsid w:val="004C150F"/>
    <w:rsid w:val="004C15FC"/>
    <w:rsid w:val="004C16DD"/>
    <w:rsid w:val="004C1747"/>
    <w:rsid w:val="004C20DB"/>
    <w:rsid w:val="004C294E"/>
    <w:rsid w:val="004C2B36"/>
    <w:rsid w:val="004C2DC3"/>
    <w:rsid w:val="004C2F6A"/>
    <w:rsid w:val="004C303E"/>
    <w:rsid w:val="004C32C6"/>
    <w:rsid w:val="004C3460"/>
    <w:rsid w:val="004C36AF"/>
    <w:rsid w:val="004C39B0"/>
    <w:rsid w:val="004C3AAE"/>
    <w:rsid w:val="004C4200"/>
    <w:rsid w:val="004C4260"/>
    <w:rsid w:val="004C4757"/>
    <w:rsid w:val="004C4813"/>
    <w:rsid w:val="004C48DA"/>
    <w:rsid w:val="004C4995"/>
    <w:rsid w:val="004C499A"/>
    <w:rsid w:val="004C4DF7"/>
    <w:rsid w:val="004C5330"/>
    <w:rsid w:val="004C5437"/>
    <w:rsid w:val="004C544F"/>
    <w:rsid w:val="004C54C6"/>
    <w:rsid w:val="004C552A"/>
    <w:rsid w:val="004C5B0C"/>
    <w:rsid w:val="004C5C08"/>
    <w:rsid w:val="004C5D6B"/>
    <w:rsid w:val="004C5D77"/>
    <w:rsid w:val="004C5DA6"/>
    <w:rsid w:val="004C6110"/>
    <w:rsid w:val="004C6144"/>
    <w:rsid w:val="004C624F"/>
    <w:rsid w:val="004C62DF"/>
    <w:rsid w:val="004C62E7"/>
    <w:rsid w:val="004C634C"/>
    <w:rsid w:val="004C665B"/>
    <w:rsid w:val="004C66E3"/>
    <w:rsid w:val="004C6903"/>
    <w:rsid w:val="004C693D"/>
    <w:rsid w:val="004C69A6"/>
    <w:rsid w:val="004C69DC"/>
    <w:rsid w:val="004C6AFB"/>
    <w:rsid w:val="004C6BCB"/>
    <w:rsid w:val="004C7162"/>
    <w:rsid w:val="004C7211"/>
    <w:rsid w:val="004C7604"/>
    <w:rsid w:val="004C764D"/>
    <w:rsid w:val="004C78A0"/>
    <w:rsid w:val="004C78F5"/>
    <w:rsid w:val="004C79CF"/>
    <w:rsid w:val="004C79E5"/>
    <w:rsid w:val="004C7BF4"/>
    <w:rsid w:val="004D00DD"/>
    <w:rsid w:val="004D01DE"/>
    <w:rsid w:val="004D0423"/>
    <w:rsid w:val="004D090D"/>
    <w:rsid w:val="004D0A49"/>
    <w:rsid w:val="004D0C8C"/>
    <w:rsid w:val="004D0CD6"/>
    <w:rsid w:val="004D114F"/>
    <w:rsid w:val="004D133B"/>
    <w:rsid w:val="004D13C7"/>
    <w:rsid w:val="004D18DE"/>
    <w:rsid w:val="004D1A32"/>
    <w:rsid w:val="004D1F9F"/>
    <w:rsid w:val="004D2203"/>
    <w:rsid w:val="004D26A1"/>
    <w:rsid w:val="004D28CB"/>
    <w:rsid w:val="004D291B"/>
    <w:rsid w:val="004D2980"/>
    <w:rsid w:val="004D2A41"/>
    <w:rsid w:val="004D2C19"/>
    <w:rsid w:val="004D3139"/>
    <w:rsid w:val="004D3398"/>
    <w:rsid w:val="004D353D"/>
    <w:rsid w:val="004D37B8"/>
    <w:rsid w:val="004D39B8"/>
    <w:rsid w:val="004D3A94"/>
    <w:rsid w:val="004D3B79"/>
    <w:rsid w:val="004D400B"/>
    <w:rsid w:val="004D408E"/>
    <w:rsid w:val="004D42DB"/>
    <w:rsid w:val="004D4AB6"/>
    <w:rsid w:val="004D4B32"/>
    <w:rsid w:val="004D4BCF"/>
    <w:rsid w:val="004D4D83"/>
    <w:rsid w:val="004D512A"/>
    <w:rsid w:val="004D51FD"/>
    <w:rsid w:val="004D5583"/>
    <w:rsid w:val="004D55BB"/>
    <w:rsid w:val="004D5BFC"/>
    <w:rsid w:val="004D5D43"/>
    <w:rsid w:val="004D61C8"/>
    <w:rsid w:val="004D6476"/>
    <w:rsid w:val="004D68F6"/>
    <w:rsid w:val="004D6C56"/>
    <w:rsid w:val="004D6D0E"/>
    <w:rsid w:val="004D6EFE"/>
    <w:rsid w:val="004D6F60"/>
    <w:rsid w:val="004D7220"/>
    <w:rsid w:val="004D7372"/>
    <w:rsid w:val="004D74A8"/>
    <w:rsid w:val="004D7A27"/>
    <w:rsid w:val="004D7AAD"/>
    <w:rsid w:val="004D7FB0"/>
    <w:rsid w:val="004E005C"/>
    <w:rsid w:val="004E0089"/>
    <w:rsid w:val="004E0182"/>
    <w:rsid w:val="004E02BB"/>
    <w:rsid w:val="004E08BF"/>
    <w:rsid w:val="004E091B"/>
    <w:rsid w:val="004E0C98"/>
    <w:rsid w:val="004E0C9A"/>
    <w:rsid w:val="004E0F61"/>
    <w:rsid w:val="004E18D0"/>
    <w:rsid w:val="004E1D72"/>
    <w:rsid w:val="004E1E28"/>
    <w:rsid w:val="004E232E"/>
    <w:rsid w:val="004E2354"/>
    <w:rsid w:val="004E33B8"/>
    <w:rsid w:val="004E38EE"/>
    <w:rsid w:val="004E38F0"/>
    <w:rsid w:val="004E3912"/>
    <w:rsid w:val="004E3AC5"/>
    <w:rsid w:val="004E3BE9"/>
    <w:rsid w:val="004E40C9"/>
    <w:rsid w:val="004E4695"/>
    <w:rsid w:val="004E47C0"/>
    <w:rsid w:val="004E4EB6"/>
    <w:rsid w:val="004E5090"/>
    <w:rsid w:val="004E50D5"/>
    <w:rsid w:val="004E5105"/>
    <w:rsid w:val="004E5C5E"/>
    <w:rsid w:val="004E5CD4"/>
    <w:rsid w:val="004E61AA"/>
    <w:rsid w:val="004E6585"/>
    <w:rsid w:val="004E65B5"/>
    <w:rsid w:val="004E6689"/>
    <w:rsid w:val="004E67C7"/>
    <w:rsid w:val="004E6989"/>
    <w:rsid w:val="004E69E7"/>
    <w:rsid w:val="004E6BF0"/>
    <w:rsid w:val="004E6C00"/>
    <w:rsid w:val="004E6F15"/>
    <w:rsid w:val="004E746E"/>
    <w:rsid w:val="004E74F6"/>
    <w:rsid w:val="004E7913"/>
    <w:rsid w:val="004E7B1C"/>
    <w:rsid w:val="004E7E22"/>
    <w:rsid w:val="004F00F1"/>
    <w:rsid w:val="004F0151"/>
    <w:rsid w:val="004F0769"/>
    <w:rsid w:val="004F1204"/>
    <w:rsid w:val="004F1906"/>
    <w:rsid w:val="004F1918"/>
    <w:rsid w:val="004F1BE8"/>
    <w:rsid w:val="004F1F19"/>
    <w:rsid w:val="004F1F38"/>
    <w:rsid w:val="004F1F3E"/>
    <w:rsid w:val="004F264C"/>
    <w:rsid w:val="004F2916"/>
    <w:rsid w:val="004F2F40"/>
    <w:rsid w:val="004F30A3"/>
    <w:rsid w:val="004F3464"/>
    <w:rsid w:val="004F3707"/>
    <w:rsid w:val="004F38A3"/>
    <w:rsid w:val="004F3F84"/>
    <w:rsid w:val="004F40D4"/>
    <w:rsid w:val="004F440A"/>
    <w:rsid w:val="004F44CB"/>
    <w:rsid w:val="004F45FA"/>
    <w:rsid w:val="004F47B1"/>
    <w:rsid w:val="004F49BF"/>
    <w:rsid w:val="004F4AEF"/>
    <w:rsid w:val="004F516F"/>
    <w:rsid w:val="004F57E0"/>
    <w:rsid w:val="004F57E6"/>
    <w:rsid w:val="004F591D"/>
    <w:rsid w:val="004F5959"/>
    <w:rsid w:val="004F5DDB"/>
    <w:rsid w:val="004F650D"/>
    <w:rsid w:val="004F66B8"/>
    <w:rsid w:val="004F689B"/>
    <w:rsid w:val="004F68DB"/>
    <w:rsid w:val="004F6983"/>
    <w:rsid w:val="004F6B22"/>
    <w:rsid w:val="004F6CB7"/>
    <w:rsid w:val="004F6E30"/>
    <w:rsid w:val="004F72BB"/>
    <w:rsid w:val="004F73C1"/>
    <w:rsid w:val="004F7890"/>
    <w:rsid w:val="004F7A6D"/>
    <w:rsid w:val="004F7CC7"/>
    <w:rsid w:val="004F7DD9"/>
    <w:rsid w:val="004F7FC1"/>
    <w:rsid w:val="00500010"/>
    <w:rsid w:val="00500300"/>
    <w:rsid w:val="00500474"/>
    <w:rsid w:val="00500566"/>
    <w:rsid w:val="00500766"/>
    <w:rsid w:val="00500818"/>
    <w:rsid w:val="00500830"/>
    <w:rsid w:val="005008C2"/>
    <w:rsid w:val="005009F9"/>
    <w:rsid w:val="00500BCD"/>
    <w:rsid w:val="00501228"/>
    <w:rsid w:val="00501495"/>
    <w:rsid w:val="00501655"/>
    <w:rsid w:val="005016E4"/>
    <w:rsid w:val="00501718"/>
    <w:rsid w:val="00501B60"/>
    <w:rsid w:val="00501C9F"/>
    <w:rsid w:val="00501EA6"/>
    <w:rsid w:val="00502097"/>
    <w:rsid w:val="00502103"/>
    <w:rsid w:val="0050221C"/>
    <w:rsid w:val="00502536"/>
    <w:rsid w:val="00502813"/>
    <w:rsid w:val="00502E81"/>
    <w:rsid w:val="00502E9B"/>
    <w:rsid w:val="00503134"/>
    <w:rsid w:val="005033C1"/>
    <w:rsid w:val="005034A0"/>
    <w:rsid w:val="00503E05"/>
    <w:rsid w:val="005040ED"/>
    <w:rsid w:val="00504474"/>
    <w:rsid w:val="00504575"/>
    <w:rsid w:val="005045BF"/>
    <w:rsid w:val="0050486C"/>
    <w:rsid w:val="00504896"/>
    <w:rsid w:val="0050494A"/>
    <w:rsid w:val="005049FE"/>
    <w:rsid w:val="00504A6A"/>
    <w:rsid w:val="00504D79"/>
    <w:rsid w:val="00505026"/>
    <w:rsid w:val="00505198"/>
    <w:rsid w:val="00505248"/>
    <w:rsid w:val="00505A65"/>
    <w:rsid w:val="00505B52"/>
    <w:rsid w:val="00505DB9"/>
    <w:rsid w:val="00505EB6"/>
    <w:rsid w:val="0050608F"/>
    <w:rsid w:val="0050619F"/>
    <w:rsid w:val="00506233"/>
    <w:rsid w:val="005064D7"/>
    <w:rsid w:val="005067B2"/>
    <w:rsid w:val="0050692E"/>
    <w:rsid w:val="00506BF2"/>
    <w:rsid w:val="00506C26"/>
    <w:rsid w:val="00506CC5"/>
    <w:rsid w:val="00506D42"/>
    <w:rsid w:val="00507103"/>
    <w:rsid w:val="00507225"/>
    <w:rsid w:val="005079A3"/>
    <w:rsid w:val="00507A11"/>
    <w:rsid w:val="00507CE7"/>
    <w:rsid w:val="00507DBF"/>
    <w:rsid w:val="00507FB8"/>
    <w:rsid w:val="00507FC2"/>
    <w:rsid w:val="0051006F"/>
    <w:rsid w:val="0051024C"/>
    <w:rsid w:val="00510453"/>
    <w:rsid w:val="0051045B"/>
    <w:rsid w:val="00510C72"/>
    <w:rsid w:val="00510F67"/>
    <w:rsid w:val="0051150A"/>
    <w:rsid w:val="00511CA1"/>
    <w:rsid w:val="00511EB6"/>
    <w:rsid w:val="00511EEB"/>
    <w:rsid w:val="0051243B"/>
    <w:rsid w:val="005126DC"/>
    <w:rsid w:val="005127FF"/>
    <w:rsid w:val="00512A0C"/>
    <w:rsid w:val="00512A32"/>
    <w:rsid w:val="00512A46"/>
    <w:rsid w:val="00512B30"/>
    <w:rsid w:val="00512D31"/>
    <w:rsid w:val="00512D8C"/>
    <w:rsid w:val="00513062"/>
    <w:rsid w:val="005133EB"/>
    <w:rsid w:val="00513442"/>
    <w:rsid w:val="00513B9C"/>
    <w:rsid w:val="00513BE7"/>
    <w:rsid w:val="00513CA6"/>
    <w:rsid w:val="00513D3B"/>
    <w:rsid w:val="00513EA1"/>
    <w:rsid w:val="00514612"/>
    <w:rsid w:val="00514792"/>
    <w:rsid w:val="0051493C"/>
    <w:rsid w:val="00514A5D"/>
    <w:rsid w:val="00514D11"/>
    <w:rsid w:val="00514E76"/>
    <w:rsid w:val="00514FD7"/>
    <w:rsid w:val="00515063"/>
    <w:rsid w:val="0051518D"/>
    <w:rsid w:val="005151E5"/>
    <w:rsid w:val="005151FA"/>
    <w:rsid w:val="0051526E"/>
    <w:rsid w:val="005152E2"/>
    <w:rsid w:val="005154FD"/>
    <w:rsid w:val="00515757"/>
    <w:rsid w:val="005157BE"/>
    <w:rsid w:val="005159AD"/>
    <w:rsid w:val="00515D3A"/>
    <w:rsid w:val="00515E09"/>
    <w:rsid w:val="00515F7D"/>
    <w:rsid w:val="00516177"/>
    <w:rsid w:val="00516319"/>
    <w:rsid w:val="0051637C"/>
    <w:rsid w:val="005164C4"/>
    <w:rsid w:val="00516716"/>
    <w:rsid w:val="005169D7"/>
    <w:rsid w:val="00516ACE"/>
    <w:rsid w:val="00516C0F"/>
    <w:rsid w:val="00516C93"/>
    <w:rsid w:val="00516EE9"/>
    <w:rsid w:val="00516F2D"/>
    <w:rsid w:val="0051712C"/>
    <w:rsid w:val="00517141"/>
    <w:rsid w:val="00517839"/>
    <w:rsid w:val="00517B87"/>
    <w:rsid w:val="00517C4C"/>
    <w:rsid w:val="0052049B"/>
    <w:rsid w:val="005204C0"/>
    <w:rsid w:val="005205F1"/>
    <w:rsid w:val="00520698"/>
    <w:rsid w:val="005206E9"/>
    <w:rsid w:val="005206FC"/>
    <w:rsid w:val="0052083C"/>
    <w:rsid w:val="00520BAC"/>
    <w:rsid w:val="00520D5E"/>
    <w:rsid w:val="00520D98"/>
    <w:rsid w:val="00520F3D"/>
    <w:rsid w:val="00520FEB"/>
    <w:rsid w:val="00521255"/>
    <w:rsid w:val="00521466"/>
    <w:rsid w:val="005216C4"/>
    <w:rsid w:val="00521B61"/>
    <w:rsid w:val="00521D75"/>
    <w:rsid w:val="0052249C"/>
    <w:rsid w:val="005224FC"/>
    <w:rsid w:val="00522515"/>
    <w:rsid w:val="00522689"/>
    <w:rsid w:val="00522A6F"/>
    <w:rsid w:val="00522B73"/>
    <w:rsid w:val="00522C26"/>
    <w:rsid w:val="00522D6E"/>
    <w:rsid w:val="00522F40"/>
    <w:rsid w:val="00523423"/>
    <w:rsid w:val="005234CA"/>
    <w:rsid w:val="0052364D"/>
    <w:rsid w:val="005236C0"/>
    <w:rsid w:val="005236F8"/>
    <w:rsid w:val="00523793"/>
    <w:rsid w:val="00523AC7"/>
    <w:rsid w:val="00523B20"/>
    <w:rsid w:val="00523B61"/>
    <w:rsid w:val="00523BAF"/>
    <w:rsid w:val="0052435B"/>
    <w:rsid w:val="0052450B"/>
    <w:rsid w:val="0052461C"/>
    <w:rsid w:val="00524713"/>
    <w:rsid w:val="00525519"/>
    <w:rsid w:val="00525646"/>
    <w:rsid w:val="00525DC9"/>
    <w:rsid w:val="00526140"/>
    <w:rsid w:val="0052636A"/>
    <w:rsid w:val="0052638A"/>
    <w:rsid w:val="00526593"/>
    <w:rsid w:val="0052666B"/>
    <w:rsid w:val="005267BF"/>
    <w:rsid w:val="0052695C"/>
    <w:rsid w:val="00526F0B"/>
    <w:rsid w:val="00526FB6"/>
    <w:rsid w:val="00527005"/>
    <w:rsid w:val="005270A2"/>
    <w:rsid w:val="0052727D"/>
    <w:rsid w:val="005273ED"/>
    <w:rsid w:val="005277AE"/>
    <w:rsid w:val="00527851"/>
    <w:rsid w:val="00527C13"/>
    <w:rsid w:val="00527F80"/>
    <w:rsid w:val="00527FF2"/>
    <w:rsid w:val="00530006"/>
    <w:rsid w:val="005302F2"/>
    <w:rsid w:val="005303C0"/>
    <w:rsid w:val="00530722"/>
    <w:rsid w:val="00530B44"/>
    <w:rsid w:val="00530BAE"/>
    <w:rsid w:val="00530C54"/>
    <w:rsid w:val="00531083"/>
    <w:rsid w:val="005313CF"/>
    <w:rsid w:val="00531749"/>
    <w:rsid w:val="005317F0"/>
    <w:rsid w:val="005318EB"/>
    <w:rsid w:val="00531C88"/>
    <w:rsid w:val="00531CBF"/>
    <w:rsid w:val="00531FBC"/>
    <w:rsid w:val="0053216B"/>
    <w:rsid w:val="00532250"/>
    <w:rsid w:val="005325A9"/>
    <w:rsid w:val="005325F5"/>
    <w:rsid w:val="005327A9"/>
    <w:rsid w:val="0053288D"/>
    <w:rsid w:val="0053325D"/>
    <w:rsid w:val="005333BC"/>
    <w:rsid w:val="00533A64"/>
    <w:rsid w:val="00533CE6"/>
    <w:rsid w:val="00533DCD"/>
    <w:rsid w:val="0053403A"/>
    <w:rsid w:val="0053403E"/>
    <w:rsid w:val="00534087"/>
    <w:rsid w:val="0053417F"/>
    <w:rsid w:val="005344A3"/>
    <w:rsid w:val="00534565"/>
    <w:rsid w:val="00534986"/>
    <w:rsid w:val="00534A6C"/>
    <w:rsid w:val="00534AE2"/>
    <w:rsid w:val="00534D1E"/>
    <w:rsid w:val="005354BB"/>
    <w:rsid w:val="00535509"/>
    <w:rsid w:val="00535514"/>
    <w:rsid w:val="00535647"/>
    <w:rsid w:val="005356E5"/>
    <w:rsid w:val="005359A8"/>
    <w:rsid w:val="00535A26"/>
    <w:rsid w:val="00535A4D"/>
    <w:rsid w:val="00535AAE"/>
    <w:rsid w:val="00535CB7"/>
    <w:rsid w:val="00535ED3"/>
    <w:rsid w:val="005361BE"/>
    <w:rsid w:val="005361EB"/>
    <w:rsid w:val="00536278"/>
    <w:rsid w:val="0053644F"/>
    <w:rsid w:val="00536538"/>
    <w:rsid w:val="00536A63"/>
    <w:rsid w:val="00536AD1"/>
    <w:rsid w:val="00536BA9"/>
    <w:rsid w:val="00536D6C"/>
    <w:rsid w:val="0053715B"/>
    <w:rsid w:val="0053717F"/>
    <w:rsid w:val="00537496"/>
    <w:rsid w:val="005374CF"/>
    <w:rsid w:val="00537558"/>
    <w:rsid w:val="00537689"/>
    <w:rsid w:val="005376A1"/>
    <w:rsid w:val="00537853"/>
    <w:rsid w:val="005378DB"/>
    <w:rsid w:val="00537D9E"/>
    <w:rsid w:val="00540110"/>
    <w:rsid w:val="00540191"/>
    <w:rsid w:val="00540283"/>
    <w:rsid w:val="005407DA"/>
    <w:rsid w:val="00540BF8"/>
    <w:rsid w:val="00540FA0"/>
    <w:rsid w:val="00540FF3"/>
    <w:rsid w:val="00541112"/>
    <w:rsid w:val="005411AF"/>
    <w:rsid w:val="00541452"/>
    <w:rsid w:val="005414F5"/>
    <w:rsid w:val="00541638"/>
    <w:rsid w:val="0054164C"/>
    <w:rsid w:val="00541770"/>
    <w:rsid w:val="005419E7"/>
    <w:rsid w:val="00541C1F"/>
    <w:rsid w:val="00541DC9"/>
    <w:rsid w:val="0054208A"/>
    <w:rsid w:val="00542140"/>
    <w:rsid w:val="00542595"/>
    <w:rsid w:val="005425B6"/>
    <w:rsid w:val="005428FF"/>
    <w:rsid w:val="0054310D"/>
    <w:rsid w:val="005434E6"/>
    <w:rsid w:val="005434EE"/>
    <w:rsid w:val="00543B3A"/>
    <w:rsid w:val="00543E64"/>
    <w:rsid w:val="00543E9B"/>
    <w:rsid w:val="00543EB7"/>
    <w:rsid w:val="00543F7F"/>
    <w:rsid w:val="0054408E"/>
    <w:rsid w:val="005441AE"/>
    <w:rsid w:val="005442BC"/>
    <w:rsid w:val="0054441B"/>
    <w:rsid w:val="005446B7"/>
    <w:rsid w:val="00544829"/>
    <w:rsid w:val="00544BEE"/>
    <w:rsid w:val="00545349"/>
    <w:rsid w:val="005457C7"/>
    <w:rsid w:val="005461BC"/>
    <w:rsid w:val="005462B3"/>
    <w:rsid w:val="0054653A"/>
    <w:rsid w:val="00546624"/>
    <w:rsid w:val="00546E89"/>
    <w:rsid w:val="0054702C"/>
    <w:rsid w:val="005471C6"/>
    <w:rsid w:val="00547925"/>
    <w:rsid w:val="005501E4"/>
    <w:rsid w:val="005503C4"/>
    <w:rsid w:val="005503F5"/>
    <w:rsid w:val="005506E7"/>
    <w:rsid w:val="005509AB"/>
    <w:rsid w:val="00550A05"/>
    <w:rsid w:val="00550D67"/>
    <w:rsid w:val="0055100A"/>
    <w:rsid w:val="005513AE"/>
    <w:rsid w:val="00551683"/>
    <w:rsid w:val="0055173E"/>
    <w:rsid w:val="00551A03"/>
    <w:rsid w:val="00552059"/>
    <w:rsid w:val="005522CD"/>
    <w:rsid w:val="0055273E"/>
    <w:rsid w:val="00552D72"/>
    <w:rsid w:val="00552F05"/>
    <w:rsid w:val="0055319A"/>
    <w:rsid w:val="005534D7"/>
    <w:rsid w:val="0055353E"/>
    <w:rsid w:val="00553B5C"/>
    <w:rsid w:val="0055418F"/>
    <w:rsid w:val="00554238"/>
    <w:rsid w:val="005543BD"/>
    <w:rsid w:val="005549DB"/>
    <w:rsid w:val="005549E8"/>
    <w:rsid w:val="00554F83"/>
    <w:rsid w:val="005550D8"/>
    <w:rsid w:val="00555323"/>
    <w:rsid w:val="005558AA"/>
    <w:rsid w:val="00555ABD"/>
    <w:rsid w:val="00556056"/>
    <w:rsid w:val="005561E2"/>
    <w:rsid w:val="00556250"/>
    <w:rsid w:val="0055645E"/>
    <w:rsid w:val="005565D8"/>
    <w:rsid w:val="00556CD5"/>
    <w:rsid w:val="00556DB2"/>
    <w:rsid w:val="00556E84"/>
    <w:rsid w:val="005572F9"/>
    <w:rsid w:val="00557385"/>
    <w:rsid w:val="005573BD"/>
    <w:rsid w:val="005577BC"/>
    <w:rsid w:val="00557871"/>
    <w:rsid w:val="0055787D"/>
    <w:rsid w:val="00557994"/>
    <w:rsid w:val="00557A55"/>
    <w:rsid w:val="00557B02"/>
    <w:rsid w:val="0056002F"/>
    <w:rsid w:val="0056016D"/>
    <w:rsid w:val="00560456"/>
    <w:rsid w:val="0056078F"/>
    <w:rsid w:val="00560B7B"/>
    <w:rsid w:val="00560C2F"/>
    <w:rsid w:val="00561013"/>
    <w:rsid w:val="00561058"/>
    <w:rsid w:val="00561403"/>
    <w:rsid w:val="0056162A"/>
    <w:rsid w:val="00561A39"/>
    <w:rsid w:val="00561A9A"/>
    <w:rsid w:val="00561C4C"/>
    <w:rsid w:val="00561C6B"/>
    <w:rsid w:val="00561C9A"/>
    <w:rsid w:val="00561CB0"/>
    <w:rsid w:val="005621D1"/>
    <w:rsid w:val="00562469"/>
    <w:rsid w:val="005626BE"/>
    <w:rsid w:val="00562CFF"/>
    <w:rsid w:val="00562EC9"/>
    <w:rsid w:val="005633F3"/>
    <w:rsid w:val="005635B3"/>
    <w:rsid w:val="005635F1"/>
    <w:rsid w:val="005638D4"/>
    <w:rsid w:val="00563D3A"/>
    <w:rsid w:val="00563E15"/>
    <w:rsid w:val="00563EC5"/>
    <w:rsid w:val="00563F36"/>
    <w:rsid w:val="00563FA7"/>
    <w:rsid w:val="00564002"/>
    <w:rsid w:val="005644EE"/>
    <w:rsid w:val="0056474B"/>
    <w:rsid w:val="00564F41"/>
    <w:rsid w:val="005650D5"/>
    <w:rsid w:val="0056522D"/>
    <w:rsid w:val="005654E8"/>
    <w:rsid w:val="005655EF"/>
    <w:rsid w:val="00565888"/>
    <w:rsid w:val="00565D66"/>
    <w:rsid w:val="005660D6"/>
    <w:rsid w:val="00566149"/>
    <w:rsid w:val="00566174"/>
    <w:rsid w:val="005662DC"/>
    <w:rsid w:val="00566318"/>
    <w:rsid w:val="00566697"/>
    <w:rsid w:val="005666CB"/>
    <w:rsid w:val="005667F8"/>
    <w:rsid w:val="005668F8"/>
    <w:rsid w:val="00566B35"/>
    <w:rsid w:val="00566BCE"/>
    <w:rsid w:val="00566D8B"/>
    <w:rsid w:val="00567271"/>
    <w:rsid w:val="00567297"/>
    <w:rsid w:val="0056737C"/>
    <w:rsid w:val="005677CF"/>
    <w:rsid w:val="00567C2B"/>
    <w:rsid w:val="005700B5"/>
    <w:rsid w:val="00570266"/>
    <w:rsid w:val="0057060C"/>
    <w:rsid w:val="00570BC8"/>
    <w:rsid w:val="00570DD1"/>
    <w:rsid w:val="005710DC"/>
    <w:rsid w:val="005710FA"/>
    <w:rsid w:val="0057126F"/>
    <w:rsid w:val="00571466"/>
    <w:rsid w:val="0057147D"/>
    <w:rsid w:val="0057185C"/>
    <w:rsid w:val="00571960"/>
    <w:rsid w:val="00571A39"/>
    <w:rsid w:val="00571D5B"/>
    <w:rsid w:val="00571EAC"/>
    <w:rsid w:val="00571F02"/>
    <w:rsid w:val="00572085"/>
    <w:rsid w:val="005721B3"/>
    <w:rsid w:val="0057269A"/>
    <w:rsid w:val="005726F1"/>
    <w:rsid w:val="0057299B"/>
    <w:rsid w:val="00572B36"/>
    <w:rsid w:val="00572F69"/>
    <w:rsid w:val="00573255"/>
    <w:rsid w:val="00573928"/>
    <w:rsid w:val="00573989"/>
    <w:rsid w:val="00573A70"/>
    <w:rsid w:val="00573AB4"/>
    <w:rsid w:val="00573AEE"/>
    <w:rsid w:val="00573B77"/>
    <w:rsid w:val="00573BC6"/>
    <w:rsid w:val="00573D01"/>
    <w:rsid w:val="00573E63"/>
    <w:rsid w:val="00573F50"/>
    <w:rsid w:val="005743D5"/>
    <w:rsid w:val="00574452"/>
    <w:rsid w:val="0057460C"/>
    <w:rsid w:val="00574891"/>
    <w:rsid w:val="0057495A"/>
    <w:rsid w:val="00574AA6"/>
    <w:rsid w:val="00574AF0"/>
    <w:rsid w:val="00574C5C"/>
    <w:rsid w:val="00574EC6"/>
    <w:rsid w:val="00574F99"/>
    <w:rsid w:val="00575406"/>
    <w:rsid w:val="005755B8"/>
    <w:rsid w:val="005755E9"/>
    <w:rsid w:val="0057574C"/>
    <w:rsid w:val="00575832"/>
    <w:rsid w:val="00575B80"/>
    <w:rsid w:val="00575BAD"/>
    <w:rsid w:val="00575DC9"/>
    <w:rsid w:val="00575F53"/>
    <w:rsid w:val="0057667D"/>
    <w:rsid w:val="00576821"/>
    <w:rsid w:val="00576C38"/>
    <w:rsid w:val="00576FA0"/>
    <w:rsid w:val="00576FA1"/>
    <w:rsid w:val="005770A7"/>
    <w:rsid w:val="0057711D"/>
    <w:rsid w:val="005772BC"/>
    <w:rsid w:val="005772EE"/>
    <w:rsid w:val="005774E8"/>
    <w:rsid w:val="00577B43"/>
    <w:rsid w:val="00577B7D"/>
    <w:rsid w:val="00577DBD"/>
    <w:rsid w:val="0058008F"/>
    <w:rsid w:val="00580101"/>
    <w:rsid w:val="00580123"/>
    <w:rsid w:val="0058015B"/>
    <w:rsid w:val="00580341"/>
    <w:rsid w:val="0058062C"/>
    <w:rsid w:val="00580810"/>
    <w:rsid w:val="0058088E"/>
    <w:rsid w:val="005809E4"/>
    <w:rsid w:val="00580A6F"/>
    <w:rsid w:val="00580C0B"/>
    <w:rsid w:val="00580F75"/>
    <w:rsid w:val="005812DA"/>
    <w:rsid w:val="00581319"/>
    <w:rsid w:val="005817A7"/>
    <w:rsid w:val="00581915"/>
    <w:rsid w:val="00581A7C"/>
    <w:rsid w:val="00581B51"/>
    <w:rsid w:val="00581C5F"/>
    <w:rsid w:val="00581E8B"/>
    <w:rsid w:val="0058257B"/>
    <w:rsid w:val="0058266B"/>
    <w:rsid w:val="00582B57"/>
    <w:rsid w:val="00582D6C"/>
    <w:rsid w:val="00582E70"/>
    <w:rsid w:val="00583199"/>
    <w:rsid w:val="005831F1"/>
    <w:rsid w:val="0058336B"/>
    <w:rsid w:val="005833CA"/>
    <w:rsid w:val="00583B8C"/>
    <w:rsid w:val="00583C72"/>
    <w:rsid w:val="00583EBE"/>
    <w:rsid w:val="005840DE"/>
    <w:rsid w:val="005844C5"/>
    <w:rsid w:val="0058466A"/>
    <w:rsid w:val="00584675"/>
    <w:rsid w:val="00584708"/>
    <w:rsid w:val="005847DA"/>
    <w:rsid w:val="00584899"/>
    <w:rsid w:val="00584CD7"/>
    <w:rsid w:val="00584D60"/>
    <w:rsid w:val="00584DA1"/>
    <w:rsid w:val="0058527C"/>
    <w:rsid w:val="005855CB"/>
    <w:rsid w:val="0058574F"/>
    <w:rsid w:val="005857ED"/>
    <w:rsid w:val="00585B64"/>
    <w:rsid w:val="0058611A"/>
    <w:rsid w:val="00586336"/>
    <w:rsid w:val="005864D9"/>
    <w:rsid w:val="005866DE"/>
    <w:rsid w:val="00586766"/>
    <w:rsid w:val="005867A0"/>
    <w:rsid w:val="005867E6"/>
    <w:rsid w:val="00586979"/>
    <w:rsid w:val="005869E4"/>
    <w:rsid w:val="00586A9E"/>
    <w:rsid w:val="005870B6"/>
    <w:rsid w:val="00587686"/>
    <w:rsid w:val="00587BFA"/>
    <w:rsid w:val="00587C76"/>
    <w:rsid w:val="00587E7A"/>
    <w:rsid w:val="00587F4B"/>
    <w:rsid w:val="00587F66"/>
    <w:rsid w:val="00590185"/>
    <w:rsid w:val="00590205"/>
    <w:rsid w:val="005902E9"/>
    <w:rsid w:val="005905AE"/>
    <w:rsid w:val="005907BA"/>
    <w:rsid w:val="005907F4"/>
    <w:rsid w:val="0059080B"/>
    <w:rsid w:val="00590A31"/>
    <w:rsid w:val="00590B16"/>
    <w:rsid w:val="00590D40"/>
    <w:rsid w:val="00590EA5"/>
    <w:rsid w:val="00591264"/>
    <w:rsid w:val="005915AE"/>
    <w:rsid w:val="00591AE3"/>
    <w:rsid w:val="00591B9B"/>
    <w:rsid w:val="00591BB4"/>
    <w:rsid w:val="00591DA1"/>
    <w:rsid w:val="00591EA4"/>
    <w:rsid w:val="0059213C"/>
    <w:rsid w:val="005921B9"/>
    <w:rsid w:val="0059225E"/>
    <w:rsid w:val="005926B8"/>
    <w:rsid w:val="00592776"/>
    <w:rsid w:val="005927DA"/>
    <w:rsid w:val="00592B63"/>
    <w:rsid w:val="00592BD8"/>
    <w:rsid w:val="0059347A"/>
    <w:rsid w:val="00593B08"/>
    <w:rsid w:val="00594203"/>
    <w:rsid w:val="00594218"/>
    <w:rsid w:val="005944B7"/>
    <w:rsid w:val="005944C1"/>
    <w:rsid w:val="005946A2"/>
    <w:rsid w:val="00594796"/>
    <w:rsid w:val="00594824"/>
    <w:rsid w:val="00594AF8"/>
    <w:rsid w:val="00594D3F"/>
    <w:rsid w:val="005950C9"/>
    <w:rsid w:val="005950E5"/>
    <w:rsid w:val="00595179"/>
    <w:rsid w:val="005951B1"/>
    <w:rsid w:val="005952EA"/>
    <w:rsid w:val="005952EE"/>
    <w:rsid w:val="0059534B"/>
    <w:rsid w:val="005954EC"/>
    <w:rsid w:val="005955B5"/>
    <w:rsid w:val="00595747"/>
    <w:rsid w:val="00595F26"/>
    <w:rsid w:val="00595FB3"/>
    <w:rsid w:val="00596DC6"/>
    <w:rsid w:val="00596DC8"/>
    <w:rsid w:val="00596E8D"/>
    <w:rsid w:val="00596FC1"/>
    <w:rsid w:val="00597071"/>
    <w:rsid w:val="005977D3"/>
    <w:rsid w:val="0059786B"/>
    <w:rsid w:val="005978AE"/>
    <w:rsid w:val="005A01B0"/>
    <w:rsid w:val="005A07AF"/>
    <w:rsid w:val="005A091D"/>
    <w:rsid w:val="005A095E"/>
    <w:rsid w:val="005A0962"/>
    <w:rsid w:val="005A0A82"/>
    <w:rsid w:val="005A0AC0"/>
    <w:rsid w:val="005A0B6F"/>
    <w:rsid w:val="005A0B73"/>
    <w:rsid w:val="005A0C66"/>
    <w:rsid w:val="005A0E30"/>
    <w:rsid w:val="005A1253"/>
    <w:rsid w:val="005A1311"/>
    <w:rsid w:val="005A19CC"/>
    <w:rsid w:val="005A19F8"/>
    <w:rsid w:val="005A1C7A"/>
    <w:rsid w:val="005A1CC0"/>
    <w:rsid w:val="005A1D55"/>
    <w:rsid w:val="005A1E8D"/>
    <w:rsid w:val="005A230B"/>
    <w:rsid w:val="005A2B51"/>
    <w:rsid w:val="005A2CC4"/>
    <w:rsid w:val="005A2DC3"/>
    <w:rsid w:val="005A2ECA"/>
    <w:rsid w:val="005A2F45"/>
    <w:rsid w:val="005A3A7A"/>
    <w:rsid w:val="005A3D7A"/>
    <w:rsid w:val="005A3F2F"/>
    <w:rsid w:val="005A40D2"/>
    <w:rsid w:val="005A41EF"/>
    <w:rsid w:val="005A4518"/>
    <w:rsid w:val="005A47BE"/>
    <w:rsid w:val="005A48CD"/>
    <w:rsid w:val="005A4AA2"/>
    <w:rsid w:val="005A4B9F"/>
    <w:rsid w:val="005A4D90"/>
    <w:rsid w:val="005A4D9D"/>
    <w:rsid w:val="005A4E9D"/>
    <w:rsid w:val="005A50B9"/>
    <w:rsid w:val="005A5236"/>
    <w:rsid w:val="005A5359"/>
    <w:rsid w:val="005A5369"/>
    <w:rsid w:val="005A542E"/>
    <w:rsid w:val="005A56ED"/>
    <w:rsid w:val="005A5BB3"/>
    <w:rsid w:val="005A5FE3"/>
    <w:rsid w:val="005A60FA"/>
    <w:rsid w:val="005A6177"/>
    <w:rsid w:val="005A63E5"/>
    <w:rsid w:val="005A6D28"/>
    <w:rsid w:val="005A6D9B"/>
    <w:rsid w:val="005A70EA"/>
    <w:rsid w:val="005A74F5"/>
    <w:rsid w:val="005A78E3"/>
    <w:rsid w:val="005A7B0F"/>
    <w:rsid w:val="005A7C97"/>
    <w:rsid w:val="005A7F22"/>
    <w:rsid w:val="005B0217"/>
    <w:rsid w:val="005B0526"/>
    <w:rsid w:val="005B05D3"/>
    <w:rsid w:val="005B06B1"/>
    <w:rsid w:val="005B0795"/>
    <w:rsid w:val="005B0949"/>
    <w:rsid w:val="005B0A16"/>
    <w:rsid w:val="005B0C2C"/>
    <w:rsid w:val="005B0CF5"/>
    <w:rsid w:val="005B0D95"/>
    <w:rsid w:val="005B118A"/>
    <w:rsid w:val="005B24E4"/>
    <w:rsid w:val="005B25C4"/>
    <w:rsid w:val="005B27AC"/>
    <w:rsid w:val="005B283D"/>
    <w:rsid w:val="005B28D9"/>
    <w:rsid w:val="005B2DCA"/>
    <w:rsid w:val="005B34A3"/>
    <w:rsid w:val="005B375A"/>
    <w:rsid w:val="005B39E5"/>
    <w:rsid w:val="005B3A07"/>
    <w:rsid w:val="005B3AF0"/>
    <w:rsid w:val="005B4193"/>
    <w:rsid w:val="005B4515"/>
    <w:rsid w:val="005B45DD"/>
    <w:rsid w:val="005B45E3"/>
    <w:rsid w:val="005B50A1"/>
    <w:rsid w:val="005B5157"/>
    <w:rsid w:val="005B565A"/>
    <w:rsid w:val="005B573B"/>
    <w:rsid w:val="005B5A27"/>
    <w:rsid w:val="005B6393"/>
    <w:rsid w:val="005B63A4"/>
    <w:rsid w:val="005B645D"/>
    <w:rsid w:val="005B648A"/>
    <w:rsid w:val="005B650A"/>
    <w:rsid w:val="005B675E"/>
    <w:rsid w:val="005B67FC"/>
    <w:rsid w:val="005B6A2E"/>
    <w:rsid w:val="005B6B73"/>
    <w:rsid w:val="005B6B75"/>
    <w:rsid w:val="005B6BD5"/>
    <w:rsid w:val="005B6DB7"/>
    <w:rsid w:val="005B7143"/>
    <w:rsid w:val="005B740A"/>
    <w:rsid w:val="005B746B"/>
    <w:rsid w:val="005B74FC"/>
    <w:rsid w:val="005B7793"/>
    <w:rsid w:val="005B79AA"/>
    <w:rsid w:val="005B7BB4"/>
    <w:rsid w:val="005B7CEF"/>
    <w:rsid w:val="005B7FC5"/>
    <w:rsid w:val="005C0346"/>
    <w:rsid w:val="005C051A"/>
    <w:rsid w:val="005C06C4"/>
    <w:rsid w:val="005C142C"/>
    <w:rsid w:val="005C2026"/>
    <w:rsid w:val="005C2263"/>
    <w:rsid w:val="005C244E"/>
    <w:rsid w:val="005C29E6"/>
    <w:rsid w:val="005C2FFE"/>
    <w:rsid w:val="005C30B4"/>
    <w:rsid w:val="005C31FB"/>
    <w:rsid w:val="005C374C"/>
    <w:rsid w:val="005C397C"/>
    <w:rsid w:val="005C3BF6"/>
    <w:rsid w:val="005C4215"/>
    <w:rsid w:val="005C42AB"/>
    <w:rsid w:val="005C4537"/>
    <w:rsid w:val="005C45F1"/>
    <w:rsid w:val="005C4956"/>
    <w:rsid w:val="005C4993"/>
    <w:rsid w:val="005C4A7C"/>
    <w:rsid w:val="005C4B66"/>
    <w:rsid w:val="005C50DC"/>
    <w:rsid w:val="005C5166"/>
    <w:rsid w:val="005C5587"/>
    <w:rsid w:val="005C55CE"/>
    <w:rsid w:val="005C561B"/>
    <w:rsid w:val="005C56A9"/>
    <w:rsid w:val="005C62AE"/>
    <w:rsid w:val="005C64ED"/>
    <w:rsid w:val="005C669B"/>
    <w:rsid w:val="005C67D3"/>
    <w:rsid w:val="005C68A6"/>
    <w:rsid w:val="005C6A11"/>
    <w:rsid w:val="005C6C04"/>
    <w:rsid w:val="005C7195"/>
    <w:rsid w:val="005C733D"/>
    <w:rsid w:val="005C73C0"/>
    <w:rsid w:val="005C7426"/>
    <w:rsid w:val="005C756C"/>
    <w:rsid w:val="005C78DD"/>
    <w:rsid w:val="005C7BD5"/>
    <w:rsid w:val="005C7CD3"/>
    <w:rsid w:val="005C7EDA"/>
    <w:rsid w:val="005D011D"/>
    <w:rsid w:val="005D023F"/>
    <w:rsid w:val="005D02CE"/>
    <w:rsid w:val="005D05DC"/>
    <w:rsid w:val="005D0BBE"/>
    <w:rsid w:val="005D0CD4"/>
    <w:rsid w:val="005D0D14"/>
    <w:rsid w:val="005D0DB1"/>
    <w:rsid w:val="005D0DB6"/>
    <w:rsid w:val="005D104A"/>
    <w:rsid w:val="005D1901"/>
    <w:rsid w:val="005D1952"/>
    <w:rsid w:val="005D1A3D"/>
    <w:rsid w:val="005D1CB9"/>
    <w:rsid w:val="005D1E9C"/>
    <w:rsid w:val="005D20BF"/>
    <w:rsid w:val="005D2C8D"/>
    <w:rsid w:val="005D2CC8"/>
    <w:rsid w:val="005D2F0F"/>
    <w:rsid w:val="005D3223"/>
    <w:rsid w:val="005D3276"/>
    <w:rsid w:val="005D32B7"/>
    <w:rsid w:val="005D3380"/>
    <w:rsid w:val="005D3395"/>
    <w:rsid w:val="005D3A4B"/>
    <w:rsid w:val="005D3CAF"/>
    <w:rsid w:val="005D3D4F"/>
    <w:rsid w:val="005D3D73"/>
    <w:rsid w:val="005D3DAE"/>
    <w:rsid w:val="005D3DDC"/>
    <w:rsid w:val="005D3ECF"/>
    <w:rsid w:val="005D3EDA"/>
    <w:rsid w:val="005D408E"/>
    <w:rsid w:val="005D4154"/>
    <w:rsid w:val="005D4349"/>
    <w:rsid w:val="005D4443"/>
    <w:rsid w:val="005D44E4"/>
    <w:rsid w:val="005D4794"/>
    <w:rsid w:val="005D48B4"/>
    <w:rsid w:val="005D4ABC"/>
    <w:rsid w:val="005D4C9E"/>
    <w:rsid w:val="005D4E0B"/>
    <w:rsid w:val="005D51B4"/>
    <w:rsid w:val="005D522C"/>
    <w:rsid w:val="005D5265"/>
    <w:rsid w:val="005D5273"/>
    <w:rsid w:val="005D5376"/>
    <w:rsid w:val="005D54B4"/>
    <w:rsid w:val="005D552E"/>
    <w:rsid w:val="005D58D7"/>
    <w:rsid w:val="005D5918"/>
    <w:rsid w:val="005D5964"/>
    <w:rsid w:val="005D5A2A"/>
    <w:rsid w:val="005D62D1"/>
    <w:rsid w:val="005D679F"/>
    <w:rsid w:val="005D6B93"/>
    <w:rsid w:val="005D6BDD"/>
    <w:rsid w:val="005D6C09"/>
    <w:rsid w:val="005D71D5"/>
    <w:rsid w:val="005D72A3"/>
    <w:rsid w:val="005D73DE"/>
    <w:rsid w:val="005D7406"/>
    <w:rsid w:val="005D7514"/>
    <w:rsid w:val="005D76B7"/>
    <w:rsid w:val="005D7A58"/>
    <w:rsid w:val="005D7AEE"/>
    <w:rsid w:val="005D7EC3"/>
    <w:rsid w:val="005D7F51"/>
    <w:rsid w:val="005D7F52"/>
    <w:rsid w:val="005E0428"/>
    <w:rsid w:val="005E0585"/>
    <w:rsid w:val="005E068A"/>
    <w:rsid w:val="005E0832"/>
    <w:rsid w:val="005E0E69"/>
    <w:rsid w:val="005E0FC2"/>
    <w:rsid w:val="005E1251"/>
    <w:rsid w:val="005E1303"/>
    <w:rsid w:val="005E1546"/>
    <w:rsid w:val="005E1682"/>
    <w:rsid w:val="005E1808"/>
    <w:rsid w:val="005E1B22"/>
    <w:rsid w:val="005E1B47"/>
    <w:rsid w:val="005E1B54"/>
    <w:rsid w:val="005E1E4C"/>
    <w:rsid w:val="005E217A"/>
    <w:rsid w:val="005E234D"/>
    <w:rsid w:val="005E242B"/>
    <w:rsid w:val="005E24BD"/>
    <w:rsid w:val="005E269B"/>
    <w:rsid w:val="005E281C"/>
    <w:rsid w:val="005E29E1"/>
    <w:rsid w:val="005E2AE1"/>
    <w:rsid w:val="005E2DDF"/>
    <w:rsid w:val="005E2FA3"/>
    <w:rsid w:val="005E3104"/>
    <w:rsid w:val="005E31DC"/>
    <w:rsid w:val="005E363E"/>
    <w:rsid w:val="005E3700"/>
    <w:rsid w:val="005E3942"/>
    <w:rsid w:val="005E3BB1"/>
    <w:rsid w:val="005E3CFC"/>
    <w:rsid w:val="005E3ECE"/>
    <w:rsid w:val="005E422A"/>
    <w:rsid w:val="005E42B4"/>
    <w:rsid w:val="005E4312"/>
    <w:rsid w:val="005E4370"/>
    <w:rsid w:val="005E44C6"/>
    <w:rsid w:val="005E4830"/>
    <w:rsid w:val="005E48CF"/>
    <w:rsid w:val="005E4998"/>
    <w:rsid w:val="005E49A7"/>
    <w:rsid w:val="005E49B1"/>
    <w:rsid w:val="005E52D3"/>
    <w:rsid w:val="005E5447"/>
    <w:rsid w:val="005E5831"/>
    <w:rsid w:val="005E5839"/>
    <w:rsid w:val="005E5C11"/>
    <w:rsid w:val="005E5FF2"/>
    <w:rsid w:val="005E60AA"/>
    <w:rsid w:val="005E61F4"/>
    <w:rsid w:val="005E61FD"/>
    <w:rsid w:val="005E6490"/>
    <w:rsid w:val="005E65D3"/>
    <w:rsid w:val="005E6719"/>
    <w:rsid w:val="005E6D33"/>
    <w:rsid w:val="005E6D86"/>
    <w:rsid w:val="005E6E6E"/>
    <w:rsid w:val="005E6F27"/>
    <w:rsid w:val="005E7362"/>
    <w:rsid w:val="005E78C1"/>
    <w:rsid w:val="005E7B08"/>
    <w:rsid w:val="005E7CEF"/>
    <w:rsid w:val="005F013C"/>
    <w:rsid w:val="005F02EC"/>
    <w:rsid w:val="005F0544"/>
    <w:rsid w:val="005F0B67"/>
    <w:rsid w:val="005F13A6"/>
    <w:rsid w:val="005F1405"/>
    <w:rsid w:val="005F143D"/>
    <w:rsid w:val="005F1DCB"/>
    <w:rsid w:val="005F1EEB"/>
    <w:rsid w:val="005F1F2F"/>
    <w:rsid w:val="005F20FC"/>
    <w:rsid w:val="005F253C"/>
    <w:rsid w:val="005F2811"/>
    <w:rsid w:val="005F2A17"/>
    <w:rsid w:val="005F3142"/>
    <w:rsid w:val="005F3229"/>
    <w:rsid w:val="005F3401"/>
    <w:rsid w:val="005F367C"/>
    <w:rsid w:val="005F379E"/>
    <w:rsid w:val="005F37DB"/>
    <w:rsid w:val="005F37FF"/>
    <w:rsid w:val="005F39AA"/>
    <w:rsid w:val="005F3C1C"/>
    <w:rsid w:val="005F3C97"/>
    <w:rsid w:val="005F3E1B"/>
    <w:rsid w:val="005F3ECB"/>
    <w:rsid w:val="005F4135"/>
    <w:rsid w:val="005F44DF"/>
    <w:rsid w:val="005F4583"/>
    <w:rsid w:val="005F4620"/>
    <w:rsid w:val="005F467B"/>
    <w:rsid w:val="005F4788"/>
    <w:rsid w:val="005F483F"/>
    <w:rsid w:val="005F48B7"/>
    <w:rsid w:val="005F4CE3"/>
    <w:rsid w:val="005F4CF0"/>
    <w:rsid w:val="005F50FB"/>
    <w:rsid w:val="005F528C"/>
    <w:rsid w:val="005F52FC"/>
    <w:rsid w:val="005F5670"/>
    <w:rsid w:val="005F568C"/>
    <w:rsid w:val="005F56A4"/>
    <w:rsid w:val="005F5705"/>
    <w:rsid w:val="005F593E"/>
    <w:rsid w:val="005F59C8"/>
    <w:rsid w:val="005F5B3B"/>
    <w:rsid w:val="005F5E8A"/>
    <w:rsid w:val="005F6007"/>
    <w:rsid w:val="005F614E"/>
    <w:rsid w:val="005F6292"/>
    <w:rsid w:val="005F6319"/>
    <w:rsid w:val="005F677B"/>
    <w:rsid w:val="005F6DC3"/>
    <w:rsid w:val="005F6F96"/>
    <w:rsid w:val="005F739D"/>
    <w:rsid w:val="005F7A0E"/>
    <w:rsid w:val="005F7AD4"/>
    <w:rsid w:val="005F7B6D"/>
    <w:rsid w:val="005F7E09"/>
    <w:rsid w:val="005F7E32"/>
    <w:rsid w:val="005F7E53"/>
    <w:rsid w:val="005F7F07"/>
    <w:rsid w:val="00600126"/>
    <w:rsid w:val="006001CE"/>
    <w:rsid w:val="006002F0"/>
    <w:rsid w:val="0060046E"/>
    <w:rsid w:val="006005C9"/>
    <w:rsid w:val="006005F8"/>
    <w:rsid w:val="006009F6"/>
    <w:rsid w:val="00600C07"/>
    <w:rsid w:val="00600D72"/>
    <w:rsid w:val="00600DF3"/>
    <w:rsid w:val="00600F12"/>
    <w:rsid w:val="0060113D"/>
    <w:rsid w:val="0060148A"/>
    <w:rsid w:val="006015C6"/>
    <w:rsid w:val="00601760"/>
    <w:rsid w:val="00601BB8"/>
    <w:rsid w:val="00601E72"/>
    <w:rsid w:val="00601EC4"/>
    <w:rsid w:val="00601EE3"/>
    <w:rsid w:val="00601F99"/>
    <w:rsid w:val="0060227C"/>
    <w:rsid w:val="006023B4"/>
    <w:rsid w:val="00602649"/>
    <w:rsid w:val="00602696"/>
    <w:rsid w:val="00602717"/>
    <w:rsid w:val="006027FB"/>
    <w:rsid w:val="006028DC"/>
    <w:rsid w:val="00602A65"/>
    <w:rsid w:val="00602EED"/>
    <w:rsid w:val="00602F1A"/>
    <w:rsid w:val="00603011"/>
    <w:rsid w:val="006035CA"/>
    <w:rsid w:val="00603855"/>
    <w:rsid w:val="00603946"/>
    <w:rsid w:val="00603B7D"/>
    <w:rsid w:val="00603C9D"/>
    <w:rsid w:val="006045F5"/>
    <w:rsid w:val="00604625"/>
    <w:rsid w:val="0060468E"/>
    <w:rsid w:val="00604738"/>
    <w:rsid w:val="006048DC"/>
    <w:rsid w:val="00604928"/>
    <w:rsid w:val="006049AD"/>
    <w:rsid w:val="00604B60"/>
    <w:rsid w:val="00604D1D"/>
    <w:rsid w:val="00604D45"/>
    <w:rsid w:val="00605099"/>
    <w:rsid w:val="00605140"/>
    <w:rsid w:val="0060520A"/>
    <w:rsid w:val="00605314"/>
    <w:rsid w:val="0060544A"/>
    <w:rsid w:val="00605560"/>
    <w:rsid w:val="006059FD"/>
    <w:rsid w:val="00605AE1"/>
    <w:rsid w:val="00605CED"/>
    <w:rsid w:val="00605FFC"/>
    <w:rsid w:val="00606225"/>
    <w:rsid w:val="006066AA"/>
    <w:rsid w:val="006069E6"/>
    <w:rsid w:val="00607086"/>
    <w:rsid w:val="006074A2"/>
    <w:rsid w:val="00607567"/>
    <w:rsid w:val="00607709"/>
    <w:rsid w:val="00607BC4"/>
    <w:rsid w:val="00607FBD"/>
    <w:rsid w:val="00610132"/>
    <w:rsid w:val="00610148"/>
    <w:rsid w:val="006103AB"/>
    <w:rsid w:val="00610447"/>
    <w:rsid w:val="00610934"/>
    <w:rsid w:val="00610E35"/>
    <w:rsid w:val="00611108"/>
    <w:rsid w:val="00611696"/>
    <w:rsid w:val="006117F0"/>
    <w:rsid w:val="00611863"/>
    <w:rsid w:val="00611904"/>
    <w:rsid w:val="00611993"/>
    <w:rsid w:val="00611B91"/>
    <w:rsid w:val="00611F07"/>
    <w:rsid w:val="00612187"/>
    <w:rsid w:val="00612388"/>
    <w:rsid w:val="0061250D"/>
    <w:rsid w:val="006125A0"/>
    <w:rsid w:val="0061261B"/>
    <w:rsid w:val="00612BB4"/>
    <w:rsid w:val="00612BCD"/>
    <w:rsid w:val="00612BD6"/>
    <w:rsid w:val="00612E71"/>
    <w:rsid w:val="00612F96"/>
    <w:rsid w:val="006132EA"/>
    <w:rsid w:val="00613310"/>
    <w:rsid w:val="00613585"/>
    <w:rsid w:val="0061362A"/>
    <w:rsid w:val="0061364C"/>
    <w:rsid w:val="006137F3"/>
    <w:rsid w:val="00613A70"/>
    <w:rsid w:val="00613B1B"/>
    <w:rsid w:val="00614211"/>
    <w:rsid w:val="0061441F"/>
    <w:rsid w:val="00614517"/>
    <w:rsid w:val="00614A18"/>
    <w:rsid w:val="00614AA5"/>
    <w:rsid w:val="00614DD1"/>
    <w:rsid w:val="00615037"/>
    <w:rsid w:val="00615076"/>
    <w:rsid w:val="006151B6"/>
    <w:rsid w:val="0061561B"/>
    <w:rsid w:val="006158B9"/>
    <w:rsid w:val="00615B78"/>
    <w:rsid w:val="00615B8D"/>
    <w:rsid w:val="00616076"/>
    <w:rsid w:val="006161EE"/>
    <w:rsid w:val="006163C2"/>
    <w:rsid w:val="006163FA"/>
    <w:rsid w:val="00616757"/>
    <w:rsid w:val="00616A0D"/>
    <w:rsid w:val="00616C61"/>
    <w:rsid w:val="00616CE2"/>
    <w:rsid w:val="00616EDB"/>
    <w:rsid w:val="00616F1F"/>
    <w:rsid w:val="00616F60"/>
    <w:rsid w:val="00616FBE"/>
    <w:rsid w:val="00617725"/>
    <w:rsid w:val="00617A62"/>
    <w:rsid w:val="00617CF3"/>
    <w:rsid w:val="006203B9"/>
    <w:rsid w:val="00620450"/>
    <w:rsid w:val="006207D9"/>
    <w:rsid w:val="006208A5"/>
    <w:rsid w:val="00620BDB"/>
    <w:rsid w:val="00620C99"/>
    <w:rsid w:val="00620CFE"/>
    <w:rsid w:val="00620DD5"/>
    <w:rsid w:val="00621378"/>
    <w:rsid w:val="0062142B"/>
    <w:rsid w:val="00621491"/>
    <w:rsid w:val="00621AFD"/>
    <w:rsid w:val="00621D82"/>
    <w:rsid w:val="00621E13"/>
    <w:rsid w:val="00622086"/>
    <w:rsid w:val="006221D2"/>
    <w:rsid w:val="0062232A"/>
    <w:rsid w:val="006225AF"/>
    <w:rsid w:val="006228FD"/>
    <w:rsid w:val="00622948"/>
    <w:rsid w:val="00622A9D"/>
    <w:rsid w:val="00622B95"/>
    <w:rsid w:val="00622D97"/>
    <w:rsid w:val="00622F1D"/>
    <w:rsid w:val="006232E5"/>
    <w:rsid w:val="00623972"/>
    <w:rsid w:val="00623A67"/>
    <w:rsid w:val="00623AEE"/>
    <w:rsid w:val="00623B09"/>
    <w:rsid w:val="00623EE9"/>
    <w:rsid w:val="00624046"/>
    <w:rsid w:val="006244FA"/>
    <w:rsid w:val="0062451D"/>
    <w:rsid w:val="006245B6"/>
    <w:rsid w:val="006247FA"/>
    <w:rsid w:val="006248EB"/>
    <w:rsid w:val="00624938"/>
    <w:rsid w:val="0062493A"/>
    <w:rsid w:val="00624B08"/>
    <w:rsid w:val="00624EB5"/>
    <w:rsid w:val="00624F68"/>
    <w:rsid w:val="006252BC"/>
    <w:rsid w:val="0062543A"/>
    <w:rsid w:val="006254DC"/>
    <w:rsid w:val="0062564A"/>
    <w:rsid w:val="00625A74"/>
    <w:rsid w:val="0062647A"/>
    <w:rsid w:val="0062675F"/>
    <w:rsid w:val="00626806"/>
    <w:rsid w:val="00626AAF"/>
    <w:rsid w:val="00626DF3"/>
    <w:rsid w:val="00626F01"/>
    <w:rsid w:val="006271B5"/>
    <w:rsid w:val="00627903"/>
    <w:rsid w:val="00627A39"/>
    <w:rsid w:val="00627E2A"/>
    <w:rsid w:val="00630089"/>
    <w:rsid w:val="006305B3"/>
    <w:rsid w:val="00630A6E"/>
    <w:rsid w:val="00630C67"/>
    <w:rsid w:val="00630DED"/>
    <w:rsid w:val="00630E51"/>
    <w:rsid w:val="00630E59"/>
    <w:rsid w:val="00631A36"/>
    <w:rsid w:val="00631BB5"/>
    <w:rsid w:val="00631C40"/>
    <w:rsid w:val="00631C73"/>
    <w:rsid w:val="00631CFC"/>
    <w:rsid w:val="00631E47"/>
    <w:rsid w:val="00631FFE"/>
    <w:rsid w:val="0063202C"/>
    <w:rsid w:val="00632816"/>
    <w:rsid w:val="00632909"/>
    <w:rsid w:val="00632A7B"/>
    <w:rsid w:val="00633725"/>
    <w:rsid w:val="006338D8"/>
    <w:rsid w:val="006338F1"/>
    <w:rsid w:val="00633955"/>
    <w:rsid w:val="00633C58"/>
    <w:rsid w:val="0063421A"/>
    <w:rsid w:val="006342D2"/>
    <w:rsid w:val="00634392"/>
    <w:rsid w:val="006343F0"/>
    <w:rsid w:val="006345D7"/>
    <w:rsid w:val="00634651"/>
    <w:rsid w:val="00634786"/>
    <w:rsid w:val="006348C8"/>
    <w:rsid w:val="00634962"/>
    <w:rsid w:val="00634A87"/>
    <w:rsid w:val="00634AE0"/>
    <w:rsid w:val="00634B0B"/>
    <w:rsid w:val="00634E35"/>
    <w:rsid w:val="00634E88"/>
    <w:rsid w:val="00635049"/>
    <w:rsid w:val="0063518D"/>
    <w:rsid w:val="00635207"/>
    <w:rsid w:val="00635441"/>
    <w:rsid w:val="0063559D"/>
    <w:rsid w:val="00635BAD"/>
    <w:rsid w:val="00635D56"/>
    <w:rsid w:val="00635FA9"/>
    <w:rsid w:val="0063602F"/>
    <w:rsid w:val="00636158"/>
    <w:rsid w:val="0063661F"/>
    <w:rsid w:val="00636B65"/>
    <w:rsid w:val="00636C86"/>
    <w:rsid w:val="006370AB"/>
    <w:rsid w:val="00637165"/>
    <w:rsid w:val="006374CB"/>
    <w:rsid w:val="006375B6"/>
    <w:rsid w:val="006376DC"/>
    <w:rsid w:val="006378A4"/>
    <w:rsid w:val="00637D4D"/>
    <w:rsid w:val="00637F30"/>
    <w:rsid w:val="00640232"/>
    <w:rsid w:val="00640656"/>
    <w:rsid w:val="00640861"/>
    <w:rsid w:val="00640AF6"/>
    <w:rsid w:val="00640C7A"/>
    <w:rsid w:val="00640C96"/>
    <w:rsid w:val="00641075"/>
    <w:rsid w:val="00641099"/>
    <w:rsid w:val="006411E4"/>
    <w:rsid w:val="0064121D"/>
    <w:rsid w:val="0064126E"/>
    <w:rsid w:val="0064192F"/>
    <w:rsid w:val="0064194F"/>
    <w:rsid w:val="00641958"/>
    <w:rsid w:val="00641CB2"/>
    <w:rsid w:val="00641CD7"/>
    <w:rsid w:val="00642388"/>
    <w:rsid w:val="0064268A"/>
    <w:rsid w:val="006426CA"/>
    <w:rsid w:val="0064275A"/>
    <w:rsid w:val="006428B2"/>
    <w:rsid w:val="00642A8C"/>
    <w:rsid w:val="00642B17"/>
    <w:rsid w:val="00642C6C"/>
    <w:rsid w:val="00642DAD"/>
    <w:rsid w:val="0064300E"/>
    <w:rsid w:val="00643085"/>
    <w:rsid w:val="006436F0"/>
    <w:rsid w:val="0064375B"/>
    <w:rsid w:val="006437DC"/>
    <w:rsid w:val="00643985"/>
    <w:rsid w:val="00643A0A"/>
    <w:rsid w:val="00643A5C"/>
    <w:rsid w:val="00643ED4"/>
    <w:rsid w:val="00643EDD"/>
    <w:rsid w:val="00644257"/>
    <w:rsid w:val="00644306"/>
    <w:rsid w:val="00644639"/>
    <w:rsid w:val="006447BD"/>
    <w:rsid w:val="006447F2"/>
    <w:rsid w:val="006448E3"/>
    <w:rsid w:val="00644CD9"/>
    <w:rsid w:val="00645103"/>
    <w:rsid w:val="00645535"/>
    <w:rsid w:val="006457D0"/>
    <w:rsid w:val="00645981"/>
    <w:rsid w:val="00645A86"/>
    <w:rsid w:val="00646052"/>
    <w:rsid w:val="006460EA"/>
    <w:rsid w:val="0064618E"/>
    <w:rsid w:val="00646238"/>
    <w:rsid w:val="006462A7"/>
    <w:rsid w:val="006463AB"/>
    <w:rsid w:val="00646730"/>
    <w:rsid w:val="0064687A"/>
    <w:rsid w:val="00646A4E"/>
    <w:rsid w:val="00646C52"/>
    <w:rsid w:val="00646C58"/>
    <w:rsid w:val="00646F39"/>
    <w:rsid w:val="00646FC5"/>
    <w:rsid w:val="00647407"/>
    <w:rsid w:val="00647547"/>
    <w:rsid w:val="00647578"/>
    <w:rsid w:val="006475B8"/>
    <w:rsid w:val="0064774E"/>
    <w:rsid w:val="00647E17"/>
    <w:rsid w:val="00647E52"/>
    <w:rsid w:val="00647F4E"/>
    <w:rsid w:val="00650079"/>
    <w:rsid w:val="00650116"/>
    <w:rsid w:val="00650317"/>
    <w:rsid w:val="00650E8E"/>
    <w:rsid w:val="00650FF0"/>
    <w:rsid w:val="00651065"/>
    <w:rsid w:val="006511D0"/>
    <w:rsid w:val="0065158D"/>
    <w:rsid w:val="0065178C"/>
    <w:rsid w:val="0065187F"/>
    <w:rsid w:val="00651E13"/>
    <w:rsid w:val="00651E1F"/>
    <w:rsid w:val="00651E36"/>
    <w:rsid w:val="00651F89"/>
    <w:rsid w:val="00652345"/>
    <w:rsid w:val="006524D7"/>
    <w:rsid w:val="006525C1"/>
    <w:rsid w:val="006526F8"/>
    <w:rsid w:val="00652CC9"/>
    <w:rsid w:val="00652ECB"/>
    <w:rsid w:val="006532E8"/>
    <w:rsid w:val="00653356"/>
    <w:rsid w:val="00653533"/>
    <w:rsid w:val="00653707"/>
    <w:rsid w:val="00653812"/>
    <w:rsid w:val="00653AFB"/>
    <w:rsid w:val="00653BEC"/>
    <w:rsid w:val="00653C23"/>
    <w:rsid w:val="00653D06"/>
    <w:rsid w:val="00653E91"/>
    <w:rsid w:val="006540FD"/>
    <w:rsid w:val="006542BB"/>
    <w:rsid w:val="006543AC"/>
    <w:rsid w:val="006543F5"/>
    <w:rsid w:val="006544BF"/>
    <w:rsid w:val="00654A6F"/>
    <w:rsid w:val="00654E54"/>
    <w:rsid w:val="0065501B"/>
    <w:rsid w:val="00655875"/>
    <w:rsid w:val="00655C15"/>
    <w:rsid w:val="00655D19"/>
    <w:rsid w:val="0065611C"/>
    <w:rsid w:val="00656578"/>
    <w:rsid w:val="00656A98"/>
    <w:rsid w:val="00656B59"/>
    <w:rsid w:val="00656F39"/>
    <w:rsid w:val="00657323"/>
    <w:rsid w:val="00657401"/>
    <w:rsid w:val="0065742B"/>
    <w:rsid w:val="0065756B"/>
    <w:rsid w:val="00657844"/>
    <w:rsid w:val="0065790A"/>
    <w:rsid w:val="00657E7B"/>
    <w:rsid w:val="00657E81"/>
    <w:rsid w:val="00657EAA"/>
    <w:rsid w:val="00657F13"/>
    <w:rsid w:val="00660270"/>
    <w:rsid w:val="00660779"/>
    <w:rsid w:val="00660AD6"/>
    <w:rsid w:val="00660CC8"/>
    <w:rsid w:val="00660EE4"/>
    <w:rsid w:val="00661614"/>
    <w:rsid w:val="00661859"/>
    <w:rsid w:val="00661898"/>
    <w:rsid w:val="00661AE6"/>
    <w:rsid w:val="00661BD2"/>
    <w:rsid w:val="00661C39"/>
    <w:rsid w:val="00661C7D"/>
    <w:rsid w:val="00662095"/>
    <w:rsid w:val="006620F2"/>
    <w:rsid w:val="006621F3"/>
    <w:rsid w:val="006624DE"/>
    <w:rsid w:val="006626EB"/>
    <w:rsid w:val="006627CE"/>
    <w:rsid w:val="006628E6"/>
    <w:rsid w:val="00662A90"/>
    <w:rsid w:val="00662D0B"/>
    <w:rsid w:val="00662E6D"/>
    <w:rsid w:val="006634DC"/>
    <w:rsid w:val="00663591"/>
    <w:rsid w:val="00663871"/>
    <w:rsid w:val="00663969"/>
    <w:rsid w:val="00663A76"/>
    <w:rsid w:val="00663E32"/>
    <w:rsid w:val="00663E9C"/>
    <w:rsid w:val="00664112"/>
    <w:rsid w:val="00664328"/>
    <w:rsid w:val="00664761"/>
    <w:rsid w:val="00664868"/>
    <w:rsid w:val="00664901"/>
    <w:rsid w:val="00664D3B"/>
    <w:rsid w:val="00664F61"/>
    <w:rsid w:val="00664FE1"/>
    <w:rsid w:val="00664FED"/>
    <w:rsid w:val="00665053"/>
    <w:rsid w:val="0066554D"/>
    <w:rsid w:val="00665768"/>
    <w:rsid w:val="006657D7"/>
    <w:rsid w:val="00665BE8"/>
    <w:rsid w:val="00665F45"/>
    <w:rsid w:val="0066654F"/>
    <w:rsid w:val="006666F9"/>
    <w:rsid w:val="0066679D"/>
    <w:rsid w:val="006667AD"/>
    <w:rsid w:val="00666819"/>
    <w:rsid w:val="00666F1E"/>
    <w:rsid w:val="0066727E"/>
    <w:rsid w:val="00667408"/>
    <w:rsid w:val="00667676"/>
    <w:rsid w:val="00667729"/>
    <w:rsid w:val="0066786E"/>
    <w:rsid w:val="006678FB"/>
    <w:rsid w:val="00670653"/>
    <w:rsid w:val="006706CE"/>
    <w:rsid w:val="00670A8D"/>
    <w:rsid w:val="00670B5D"/>
    <w:rsid w:val="00670C1C"/>
    <w:rsid w:val="00670C92"/>
    <w:rsid w:val="00670DA8"/>
    <w:rsid w:val="00671070"/>
    <w:rsid w:val="006711B6"/>
    <w:rsid w:val="0067148B"/>
    <w:rsid w:val="00671818"/>
    <w:rsid w:val="00671C6D"/>
    <w:rsid w:val="0067217B"/>
    <w:rsid w:val="006722C3"/>
    <w:rsid w:val="00672849"/>
    <w:rsid w:val="0067288B"/>
    <w:rsid w:val="00672AC2"/>
    <w:rsid w:val="00672AD8"/>
    <w:rsid w:val="00672AF6"/>
    <w:rsid w:val="00672F0D"/>
    <w:rsid w:val="00673054"/>
    <w:rsid w:val="00673131"/>
    <w:rsid w:val="006737CD"/>
    <w:rsid w:val="0067397C"/>
    <w:rsid w:val="006739D7"/>
    <w:rsid w:val="00673FFD"/>
    <w:rsid w:val="006740CC"/>
    <w:rsid w:val="0067429B"/>
    <w:rsid w:val="00674463"/>
    <w:rsid w:val="00674808"/>
    <w:rsid w:val="00674A6C"/>
    <w:rsid w:val="00674AB7"/>
    <w:rsid w:val="00674AFD"/>
    <w:rsid w:val="00674D81"/>
    <w:rsid w:val="00674EB4"/>
    <w:rsid w:val="006757B2"/>
    <w:rsid w:val="00675883"/>
    <w:rsid w:val="006758EA"/>
    <w:rsid w:val="00675E4F"/>
    <w:rsid w:val="006763EC"/>
    <w:rsid w:val="00676516"/>
    <w:rsid w:val="00676829"/>
    <w:rsid w:val="00676B3B"/>
    <w:rsid w:val="00677092"/>
    <w:rsid w:val="00677186"/>
    <w:rsid w:val="0067735B"/>
    <w:rsid w:val="00677403"/>
    <w:rsid w:val="006778B6"/>
    <w:rsid w:val="006779C4"/>
    <w:rsid w:val="00677AC3"/>
    <w:rsid w:val="00677B88"/>
    <w:rsid w:val="00677BFE"/>
    <w:rsid w:val="00677C5F"/>
    <w:rsid w:val="00677D17"/>
    <w:rsid w:val="00677D8D"/>
    <w:rsid w:val="00677E3A"/>
    <w:rsid w:val="00680263"/>
    <w:rsid w:val="006803D7"/>
    <w:rsid w:val="006808BA"/>
    <w:rsid w:val="006809F0"/>
    <w:rsid w:val="00680F54"/>
    <w:rsid w:val="006811EE"/>
    <w:rsid w:val="0068179A"/>
    <w:rsid w:val="00681899"/>
    <w:rsid w:val="00681C77"/>
    <w:rsid w:val="00681D83"/>
    <w:rsid w:val="00681FEA"/>
    <w:rsid w:val="006821DB"/>
    <w:rsid w:val="006825D8"/>
    <w:rsid w:val="006826C1"/>
    <w:rsid w:val="00682847"/>
    <w:rsid w:val="00682850"/>
    <w:rsid w:val="006829DE"/>
    <w:rsid w:val="00682AC4"/>
    <w:rsid w:val="00682CA4"/>
    <w:rsid w:val="00683267"/>
    <w:rsid w:val="006833AF"/>
    <w:rsid w:val="00683E00"/>
    <w:rsid w:val="00684038"/>
    <w:rsid w:val="00684271"/>
    <w:rsid w:val="00684883"/>
    <w:rsid w:val="00684904"/>
    <w:rsid w:val="00684A6A"/>
    <w:rsid w:val="00684C50"/>
    <w:rsid w:val="00685013"/>
    <w:rsid w:val="0068558D"/>
    <w:rsid w:val="006856BA"/>
    <w:rsid w:val="00685724"/>
    <w:rsid w:val="00685BA6"/>
    <w:rsid w:val="00685C0B"/>
    <w:rsid w:val="00685C14"/>
    <w:rsid w:val="006862DF"/>
    <w:rsid w:val="00686394"/>
    <w:rsid w:val="00686790"/>
    <w:rsid w:val="006868E9"/>
    <w:rsid w:val="0068714E"/>
    <w:rsid w:val="0068775B"/>
    <w:rsid w:val="006900F3"/>
    <w:rsid w:val="0069016C"/>
    <w:rsid w:val="006903D0"/>
    <w:rsid w:val="006905BF"/>
    <w:rsid w:val="006907B3"/>
    <w:rsid w:val="006908B5"/>
    <w:rsid w:val="00690B10"/>
    <w:rsid w:val="00690D46"/>
    <w:rsid w:val="00691084"/>
    <w:rsid w:val="0069119A"/>
    <w:rsid w:val="00691210"/>
    <w:rsid w:val="006912A5"/>
    <w:rsid w:val="0069134A"/>
    <w:rsid w:val="006916C9"/>
    <w:rsid w:val="00691902"/>
    <w:rsid w:val="00691F23"/>
    <w:rsid w:val="006920D6"/>
    <w:rsid w:val="00692188"/>
    <w:rsid w:val="006924F8"/>
    <w:rsid w:val="00692530"/>
    <w:rsid w:val="006925A5"/>
    <w:rsid w:val="0069289D"/>
    <w:rsid w:val="006929AD"/>
    <w:rsid w:val="00692B8E"/>
    <w:rsid w:val="00692ED8"/>
    <w:rsid w:val="006930D9"/>
    <w:rsid w:val="00693114"/>
    <w:rsid w:val="00693286"/>
    <w:rsid w:val="006932E1"/>
    <w:rsid w:val="00693459"/>
    <w:rsid w:val="00693BE6"/>
    <w:rsid w:val="00693D4F"/>
    <w:rsid w:val="00693F32"/>
    <w:rsid w:val="0069403A"/>
    <w:rsid w:val="006941EF"/>
    <w:rsid w:val="00694322"/>
    <w:rsid w:val="0069461C"/>
    <w:rsid w:val="0069491B"/>
    <w:rsid w:val="00694AD3"/>
    <w:rsid w:val="00694E11"/>
    <w:rsid w:val="00694E63"/>
    <w:rsid w:val="00694E66"/>
    <w:rsid w:val="006951B2"/>
    <w:rsid w:val="006952D9"/>
    <w:rsid w:val="00695351"/>
    <w:rsid w:val="006955AE"/>
    <w:rsid w:val="00695601"/>
    <w:rsid w:val="00695A04"/>
    <w:rsid w:val="00695AF4"/>
    <w:rsid w:val="00695E30"/>
    <w:rsid w:val="006960B2"/>
    <w:rsid w:val="006964E0"/>
    <w:rsid w:val="00696519"/>
    <w:rsid w:val="00696642"/>
    <w:rsid w:val="006966F9"/>
    <w:rsid w:val="00696CC1"/>
    <w:rsid w:val="00696D4F"/>
    <w:rsid w:val="006970E4"/>
    <w:rsid w:val="006975CD"/>
    <w:rsid w:val="006975F4"/>
    <w:rsid w:val="0069779E"/>
    <w:rsid w:val="006978D4"/>
    <w:rsid w:val="00697931"/>
    <w:rsid w:val="00697B74"/>
    <w:rsid w:val="00697C4B"/>
    <w:rsid w:val="00697D39"/>
    <w:rsid w:val="00697E3F"/>
    <w:rsid w:val="00697ED9"/>
    <w:rsid w:val="006A00C6"/>
    <w:rsid w:val="006A01D0"/>
    <w:rsid w:val="006A0227"/>
    <w:rsid w:val="006A0D73"/>
    <w:rsid w:val="006A134B"/>
    <w:rsid w:val="006A1582"/>
    <w:rsid w:val="006A1D90"/>
    <w:rsid w:val="006A1DCA"/>
    <w:rsid w:val="006A1FD1"/>
    <w:rsid w:val="006A20AD"/>
    <w:rsid w:val="006A2600"/>
    <w:rsid w:val="006A2FDE"/>
    <w:rsid w:val="006A3322"/>
    <w:rsid w:val="006A3340"/>
    <w:rsid w:val="006A358E"/>
    <w:rsid w:val="006A3A14"/>
    <w:rsid w:val="006A3C02"/>
    <w:rsid w:val="006A3C19"/>
    <w:rsid w:val="006A3C21"/>
    <w:rsid w:val="006A3C47"/>
    <w:rsid w:val="006A3DBA"/>
    <w:rsid w:val="006A3FF2"/>
    <w:rsid w:val="006A405E"/>
    <w:rsid w:val="006A4151"/>
    <w:rsid w:val="006A4968"/>
    <w:rsid w:val="006A4FEC"/>
    <w:rsid w:val="006A54E9"/>
    <w:rsid w:val="006A55DC"/>
    <w:rsid w:val="006A55E3"/>
    <w:rsid w:val="006A56C8"/>
    <w:rsid w:val="006A57FA"/>
    <w:rsid w:val="006A5AA0"/>
    <w:rsid w:val="006A5E99"/>
    <w:rsid w:val="006A61BE"/>
    <w:rsid w:val="006A61CC"/>
    <w:rsid w:val="006A62C9"/>
    <w:rsid w:val="006A64BD"/>
    <w:rsid w:val="006A64CC"/>
    <w:rsid w:val="006A6AB2"/>
    <w:rsid w:val="006A6AFF"/>
    <w:rsid w:val="006A6BD2"/>
    <w:rsid w:val="006A7520"/>
    <w:rsid w:val="006A77E2"/>
    <w:rsid w:val="006A789D"/>
    <w:rsid w:val="006A7B64"/>
    <w:rsid w:val="006A7CA1"/>
    <w:rsid w:val="006A7CA7"/>
    <w:rsid w:val="006B0084"/>
    <w:rsid w:val="006B031C"/>
    <w:rsid w:val="006B06A4"/>
    <w:rsid w:val="006B0731"/>
    <w:rsid w:val="006B0819"/>
    <w:rsid w:val="006B1592"/>
    <w:rsid w:val="006B1884"/>
    <w:rsid w:val="006B1A84"/>
    <w:rsid w:val="006B1DD4"/>
    <w:rsid w:val="006B1F41"/>
    <w:rsid w:val="006B209C"/>
    <w:rsid w:val="006B20D9"/>
    <w:rsid w:val="006B2279"/>
    <w:rsid w:val="006B25D6"/>
    <w:rsid w:val="006B25F4"/>
    <w:rsid w:val="006B26E4"/>
    <w:rsid w:val="006B2795"/>
    <w:rsid w:val="006B2952"/>
    <w:rsid w:val="006B2B01"/>
    <w:rsid w:val="006B3204"/>
    <w:rsid w:val="006B32A2"/>
    <w:rsid w:val="006B346F"/>
    <w:rsid w:val="006B34F5"/>
    <w:rsid w:val="006B3EB2"/>
    <w:rsid w:val="006B3F24"/>
    <w:rsid w:val="006B4068"/>
    <w:rsid w:val="006B4373"/>
    <w:rsid w:val="006B44C8"/>
    <w:rsid w:val="006B45CB"/>
    <w:rsid w:val="006B48BC"/>
    <w:rsid w:val="006B4DC4"/>
    <w:rsid w:val="006B4E6C"/>
    <w:rsid w:val="006B56C0"/>
    <w:rsid w:val="006B58AF"/>
    <w:rsid w:val="006B5C6F"/>
    <w:rsid w:val="006B5D63"/>
    <w:rsid w:val="006B5D6D"/>
    <w:rsid w:val="006B5E25"/>
    <w:rsid w:val="006B61ED"/>
    <w:rsid w:val="006B6B64"/>
    <w:rsid w:val="006B6BCC"/>
    <w:rsid w:val="006B6BF9"/>
    <w:rsid w:val="006B74AD"/>
    <w:rsid w:val="006B796D"/>
    <w:rsid w:val="006B7CA0"/>
    <w:rsid w:val="006B7F6C"/>
    <w:rsid w:val="006C0149"/>
    <w:rsid w:val="006C01A2"/>
    <w:rsid w:val="006C029E"/>
    <w:rsid w:val="006C045C"/>
    <w:rsid w:val="006C05EC"/>
    <w:rsid w:val="006C0706"/>
    <w:rsid w:val="006C0809"/>
    <w:rsid w:val="006C0B26"/>
    <w:rsid w:val="006C0D16"/>
    <w:rsid w:val="006C0FF8"/>
    <w:rsid w:val="006C120F"/>
    <w:rsid w:val="006C1684"/>
    <w:rsid w:val="006C173C"/>
    <w:rsid w:val="006C1872"/>
    <w:rsid w:val="006C18CA"/>
    <w:rsid w:val="006C1A11"/>
    <w:rsid w:val="006C1B07"/>
    <w:rsid w:val="006C1CC3"/>
    <w:rsid w:val="006C1F90"/>
    <w:rsid w:val="006C1FD8"/>
    <w:rsid w:val="006C218D"/>
    <w:rsid w:val="006C22A8"/>
    <w:rsid w:val="006C2712"/>
    <w:rsid w:val="006C27E9"/>
    <w:rsid w:val="006C28F7"/>
    <w:rsid w:val="006C2B41"/>
    <w:rsid w:val="006C2D70"/>
    <w:rsid w:val="006C2DC3"/>
    <w:rsid w:val="006C305A"/>
    <w:rsid w:val="006C307A"/>
    <w:rsid w:val="006C3121"/>
    <w:rsid w:val="006C320F"/>
    <w:rsid w:val="006C3254"/>
    <w:rsid w:val="006C3392"/>
    <w:rsid w:val="006C33EF"/>
    <w:rsid w:val="006C3488"/>
    <w:rsid w:val="006C38B9"/>
    <w:rsid w:val="006C38F3"/>
    <w:rsid w:val="006C3924"/>
    <w:rsid w:val="006C3EC6"/>
    <w:rsid w:val="006C3F50"/>
    <w:rsid w:val="006C3F79"/>
    <w:rsid w:val="006C428D"/>
    <w:rsid w:val="006C447F"/>
    <w:rsid w:val="006C461B"/>
    <w:rsid w:val="006C4D60"/>
    <w:rsid w:val="006C5058"/>
    <w:rsid w:val="006C538F"/>
    <w:rsid w:val="006C5403"/>
    <w:rsid w:val="006C5407"/>
    <w:rsid w:val="006C54B2"/>
    <w:rsid w:val="006C54B8"/>
    <w:rsid w:val="006C5690"/>
    <w:rsid w:val="006C5724"/>
    <w:rsid w:val="006C5D5E"/>
    <w:rsid w:val="006C5F33"/>
    <w:rsid w:val="006C644E"/>
    <w:rsid w:val="006C66C7"/>
    <w:rsid w:val="006C681C"/>
    <w:rsid w:val="006C6DD6"/>
    <w:rsid w:val="006C6E8D"/>
    <w:rsid w:val="006C6EE5"/>
    <w:rsid w:val="006C7178"/>
    <w:rsid w:val="006C7269"/>
    <w:rsid w:val="006C7814"/>
    <w:rsid w:val="006C7A7F"/>
    <w:rsid w:val="006C7E9E"/>
    <w:rsid w:val="006D03B5"/>
    <w:rsid w:val="006D03BF"/>
    <w:rsid w:val="006D041C"/>
    <w:rsid w:val="006D0901"/>
    <w:rsid w:val="006D0A1F"/>
    <w:rsid w:val="006D0BB0"/>
    <w:rsid w:val="006D0C03"/>
    <w:rsid w:val="006D0C2E"/>
    <w:rsid w:val="006D0E6B"/>
    <w:rsid w:val="006D176C"/>
    <w:rsid w:val="006D1963"/>
    <w:rsid w:val="006D1C50"/>
    <w:rsid w:val="006D1D19"/>
    <w:rsid w:val="006D2219"/>
    <w:rsid w:val="006D259C"/>
    <w:rsid w:val="006D2682"/>
    <w:rsid w:val="006D2734"/>
    <w:rsid w:val="006D3448"/>
    <w:rsid w:val="006D389E"/>
    <w:rsid w:val="006D38A2"/>
    <w:rsid w:val="006D3C52"/>
    <w:rsid w:val="006D4018"/>
    <w:rsid w:val="006D4127"/>
    <w:rsid w:val="006D41BB"/>
    <w:rsid w:val="006D4538"/>
    <w:rsid w:val="006D45CF"/>
    <w:rsid w:val="006D47E5"/>
    <w:rsid w:val="006D4826"/>
    <w:rsid w:val="006D4AAB"/>
    <w:rsid w:val="006D4CAC"/>
    <w:rsid w:val="006D4E50"/>
    <w:rsid w:val="006D4F2D"/>
    <w:rsid w:val="006D5173"/>
    <w:rsid w:val="006D5235"/>
    <w:rsid w:val="006D5611"/>
    <w:rsid w:val="006D5A72"/>
    <w:rsid w:val="006D5F38"/>
    <w:rsid w:val="006D6229"/>
    <w:rsid w:val="006D6550"/>
    <w:rsid w:val="006D655D"/>
    <w:rsid w:val="006D662B"/>
    <w:rsid w:val="006D6776"/>
    <w:rsid w:val="006D6DDA"/>
    <w:rsid w:val="006D703D"/>
    <w:rsid w:val="006D7414"/>
    <w:rsid w:val="006D74A7"/>
    <w:rsid w:val="006D78B0"/>
    <w:rsid w:val="006D7A6A"/>
    <w:rsid w:val="006D7B53"/>
    <w:rsid w:val="006E0311"/>
    <w:rsid w:val="006E041E"/>
    <w:rsid w:val="006E08F8"/>
    <w:rsid w:val="006E0B87"/>
    <w:rsid w:val="006E0CB7"/>
    <w:rsid w:val="006E0E17"/>
    <w:rsid w:val="006E0F82"/>
    <w:rsid w:val="006E0FBC"/>
    <w:rsid w:val="006E125A"/>
    <w:rsid w:val="006E13FE"/>
    <w:rsid w:val="006E1538"/>
    <w:rsid w:val="006E1865"/>
    <w:rsid w:val="006E1A1E"/>
    <w:rsid w:val="006E24E0"/>
    <w:rsid w:val="006E2601"/>
    <w:rsid w:val="006E277F"/>
    <w:rsid w:val="006E2879"/>
    <w:rsid w:val="006E2B57"/>
    <w:rsid w:val="006E2B60"/>
    <w:rsid w:val="006E2BD1"/>
    <w:rsid w:val="006E2EBC"/>
    <w:rsid w:val="006E3305"/>
    <w:rsid w:val="006E3327"/>
    <w:rsid w:val="006E3374"/>
    <w:rsid w:val="006E34B0"/>
    <w:rsid w:val="006E3844"/>
    <w:rsid w:val="006E3A56"/>
    <w:rsid w:val="006E3AA7"/>
    <w:rsid w:val="006E3B84"/>
    <w:rsid w:val="006E3BE7"/>
    <w:rsid w:val="006E4212"/>
    <w:rsid w:val="006E4351"/>
    <w:rsid w:val="006E4492"/>
    <w:rsid w:val="006E47D1"/>
    <w:rsid w:val="006E494F"/>
    <w:rsid w:val="006E49B2"/>
    <w:rsid w:val="006E4D30"/>
    <w:rsid w:val="006E4E6B"/>
    <w:rsid w:val="006E4FE4"/>
    <w:rsid w:val="006E54D9"/>
    <w:rsid w:val="006E58CA"/>
    <w:rsid w:val="006E590F"/>
    <w:rsid w:val="006E5AD9"/>
    <w:rsid w:val="006E5BF9"/>
    <w:rsid w:val="006E5C2A"/>
    <w:rsid w:val="006E5FB6"/>
    <w:rsid w:val="006E60BC"/>
    <w:rsid w:val="006E6308"/>
    <w:rsid w:val="006E6A38"/>
    <w:rsid w:val="006E6CC2"/>
    <w:rsid w:val="006E6F76"/>
    <w:rsid w:val="006E710E"/>
    <w:rsid w:val="006E7529"/>
    <w:rsid w:val="006E7B32"/>
    <w:rsid w:val="006E7C87"/>
    <w:rsid w:val="006E7D6D"/>
    <w:rsid w:val="006E7FD9"/>
    <w:rsid w:val="006F0147"/>
    <w:rsid w:val="006F0232"/>
    <w:rsid w:val="006F058C"/>
    <w:rsid w:val="006F05A9"/>
    <w:rsid w:val="006F06F2"/>
    <w:rsid w:val="006F0EEA"/>
    <w:rsid w:val="006F1072"/>
    <w:rsid w:val="006F1206"/>
    <w:rsid w:val="006F12C8"/>
    <w:rsid w:val="006F15BA"/>
    <w:rsid w:val="006F172F"/>
    <w:rsid w:val="006F17DA"/>
    <w:rsid w:val="006F1AD2"/>
    <w:rsid w:val="006F1EA6"/>
    <w:rsid w:val="006F227D"/>
    <w:rsid w:val="006F2321"/>
    <w:rsid w:val="006F2546"/>
    <w:rsid w:val="006F2725"/>
    <w:rsid w:val="006F276C"/>
    <w:rsid w:val="006F3535"/>
    <w:rsid w:val="006F355D"/>
    <w:rsid w:val="006F3595"/>
    <w:rsid w:val="006F35F1"/>
    <w:rsid w:val="006F36C3"/>
    <w:rsid w:val="006F3704"/>
    <w:rsid w:val="006F376C"/>
    <w:rsid w:val="006F3AE1"/>
    <w:rsid w:val="006F3BB6"/>
    <w:rsid w:val="006F3F6E"/>
    <w:rsid w:val="006F4133"/>
    <w:rsid w:val="006F431F"/>
    <w:rsid w:val="006F45DA"/>
    <w:rsid w:val="006F485E"/>
    <w:rsid w:val="006F4AB2"/>
    <w:rsid w:val="006F4E7E"/>
    <w:rsid w:val="006F5212"/>
    <w:rsid w:val="006F5242"/>
    <w:rsid w:val="006F52EB"/>
    <w:rsid w:val="006F55D7"/>
    <w:rsid w:val="006F57A7"/>
    <w:rsid w:val="006F5B16"/>
    <w:rsid w:val="006F5C15"/>
    <w:rsid w:val="006F5C40"/>
    <w:rsid w:val="006F5D7D"/>
    <w:rsid w:val="006F5E0F"/>
    <w:rsid w:val="006F5FE6"/>
    <w:rsid w:val="006F6092"/>
    <w:rsid w:val="006F6418"/>
    <w:rsid w:val="006F667F"/>
    <w:rsid w:val="006F6C16"/>
    <w:rsid w:val="006F6FB1"/>
    <w:rsid w:val="006F7255"/>
    <w:rsid w:val="006F727D"/>
    <w:rsid w:val="006F7EDA"/>
    <w:rsid w:val="006F7EEF"/>
    <w:rsid w:val="006F7FFE"/>
    <w:rsid w:val="00700379"/>
    <w:rsid w:val="00700504"/>
    <w:rsid w:val="0070058C"/>
    <w:rsid w:val="00700590"/>
    <w:rsid w:val="0070063C"/>
    <w:rsid w:val="00700F04"/>
    <w:rsid w:val="00700F13"/>
    <w:rsid w:val="00700F38"/>
    <w:rsid w:val="0070138C"/>
    <w:rsid w:val="007014B5"/>
    <w:rsid w:val="0070175D"/>
    <w:rsid w:val="0070190C"/>
    <w:rsid w:val="00701F93"/>
    <w:rsid w:val="0070225C"/>
    <w:rsid w:val="007022EA"/>
    <w:rsid w:val="0070260A"/>
    <w:rsid w:val="00702C50"/>
    <w:rsid w:val="007034A4"/>
    <w:rsid w:val="00703544"/>
    <w:rsid w:val="00703841"/>
    <w:rsid w:val="007038AD"/>
    <w:rsid w:val="007038BD"/>
    <w:rsid w:val="007039A4"/>
    <w:rsid w:val="00703DF0"/>
    <w:rsid w:val="00703FE6"/>
    <w:rsid w:val="00704BF4"/>
    <w:rsid w:val="00704E5F"/>
    <w:rsid w:val="00704EC2"/>
    <w:rsid w:val="00704FB1"/>
    <w:rsid w:val="00705055"/>
    <w:rsid w:val="0070513A"/>
    <w:rsid w:val="00705257"/>
    <w:rsid w:val="007053EE"/>
    <w:rsid w:val="007056A5"/>
    <w:rsid w:val="00705830"/>
    <w:rsid w:val="00705A9C"/>
    <w:rsid w:val="00705F6F"/>
    <w:rsid w:val="00705F96"/>
    <w:rsid w:val="007062C5"/>
    <w:rsid w:val="007064C6"/>
    <w:rsid w:val="007066EA"/>
    <w:rsid w:val="00706743"/>
    <w:rsid w:val="00706A90"/>
    <w:rsid w:val="00706A93"/>
    <w:rsid w:val="00707121"/>
    <w:rsid w:val="007071E9"/>
    <w:rsid w:val="00707649"/>
    <w:rsid w:val="007077C4"/>
    <w:rsid w:val="007077E4"/>
    <w:rsid w:val="007078D5"/>
    <w:rsid w:val="00707972"/>
    <w:rsid w:val="00707CDB"/>
    <w:rsid w:val="00707E61"/>
    <w:rsid w:val="0071030E"/>
    <w:rsid w:val="0071078B"/>
    <w:rsid w:val="00710CFC"/>
    <w:rsid w:val="00710D80"/>
    <w:rsid w:val="00711132"/>
    <w:rsid w:val="00711495"/>
    <w:rsid w:val="007115AE"/>
    <w:rsid w:val="00711996"/>
    <w:rsid w:val="00711B09"/>
    <w:rsid w:val="00711C92"/>
    <w:rsid w:val="00711D11"/>
    <w:rsid w:val="00712436"/>
    <w:rsid w:val="00712583"/>
    <w:rsid w:val="00712845"/>
    <w:rsid w:val="00712AB7"/>
    <w:rsid w:val="00712D28"/>
    <w:rsid w:val="00712EE9"/>
    <w:rsid w:val="00712FBC"/>
    <w:rsid w:val="007132B2"/>
    <w:rsid w:val="007132D7"/>
    <w:rsid w:val="0071333C"/>
    <w:rsid w:val="00713457"/>
    <w:rsid w:val="007136AA"/>
    <w:rsid w:val="00713713"/>
    <w:rsid w:val="00713964"/>
    <w:rsid w:val="00713D39"/>
    <w:rsid w:val="00714021"/>
    <w:rsid w:val="00714124"/>
    <w:rsid w:val="00714260"/>
    <w:rsid w:val="0071457A"/>
    <w:rsid w:val="007147FC"/>
    <w:rsid w:val="00714953"/>
    <w:rsid w:val="00714C18"/>
    <w:rsid w:val="00714D90"/>
    <w:rsid w:val="00714FD3"/>
    <w:rsid w:val="00714FEE"/>
    <w:rsid w:val="0071502E"/>
    <w:rsid w:val="00715438"/>
    <w:rsid w:val="0071571E"/>
    <w:rsid w:val="00715771"/>
    <w:rsid w:val="00715D9B"/>
    <w:rsid w:val="00715EBA"/>
    <w:rsid w:val="00716261"/>
    <w:rsid w:val="00716694"/>
    <w:rsid w:val="00716BDB"/>
    <w:rsid w:val="00716CE7"/>
    <w:rsid w:val="00716D90"/>
    <w:rsid w:val="00716DB9"/>
    <w:rsid w:val="00717290"/>
    <w:rsid w:val="0071732F"/>
    <w:rsid w:val="007175BB"/>
    <w:rsid w:val="007175F1"/>
    <w:rsid w:val="00717BC6"/>
    <w:rsid w:val="00717DFC"/>
    <w:rsid w:val="00717E3D"/>
    <w:rsid w:val="00720001"/>
    <w:rsid w:val="007201B8"/>
    <w:rsid w:val="00720402"/>
    <w:rsid w:val="00720849"/>
    <w:rsid w:val="007218C7"/>
    <w:rsid w:val="00721950"/>
    <w:rsid w:val="00721952"/>
    <w:rsid w:val="007219FF"/>
    <w:rsid w:val="00721B33"/>
    <w:rsid w:val="00722446"/>
    <w:rsid w:val="007224BD"/>
    <w:rsid w:val="007224F1"/>
    <w:rsid w:val="00722A47"/>
    <w:rsid w:val="00722F51"/>
    <w:rsid w:val="0072314D"/>
    <w:rsid w:val="00723396"/>
    <w:rsid w:val="0072375A"/>
    <w:rsid w:val="007239DE"/>
    <w:rsid w:val="00723AE5"/>
    <w:rsid w:val="00723C9D"/>
    <w:rsid w:val="007241CC"/>
    <w:rsid w:val="0072446C"/>
    <w:rsid w:val="00724A3E"/>
    <w:rsid w:val="00724B5F"/>
    <w:rsid w:val="00724E4A"/>
    <w:rsid w:val="007254DC"/>
    <w:rsid w:val="007255EA"/>
    <w:rsid w:val="007256CD"/>
    <w:rsid w:val="00725C82"/>
    <w:rsid w:val="0072608D"/>
    <w:rsid w:val="007260C7"/>
    <w:rsid w:val="007260E9"/>
    <w:rsid w:val="007264F2"/>
    <w:rsid w:val="00726580"/>
    <w:rsid w:val="00726638"/>
    <w:rsid w:val="0072678F"/>
    <w:rsid w:val="00726C4F"/>
    <w:rsid w:val="00726C75"/>
    <w:rsid w:val="00727297"/>
    <w:rsid w:val="007272F7"/>
    <w:rsid w:val="00727320"/>
    <w:rsid w:val="0072737D"/>
    <w:rsid w:val="00727C2B"/>
    <w:rsid w:val="00727E72"/>
    <w:rsid w:val="00727F16"/>
    <w:rsid w:val="00730131"/>
    <w:rsid w:val="007307BE"/>
    <w:rsid w:val="00730916"/>
    <w:rsid w:val="00730A21"/>
    <w:rsid w:val="00730F13"/>
    <w:rsid w:val="00730F44"/>
    <w:rsid w:val="007313F7"/>
    <w:rsid w:val="00731643"/>
    <w:rsid w:val="00731786"/>
    <w:rsid w:val="007318D9"/>
    <w:rsid w:val="0073199C"/>
    <w:rsid w:val="00731C03"/>
    <w:rsid w:val="00731C46"/>
    <w:rsid w:val="00731CA0"/>
    <w:rsid w:val="007321F0"/>
    <w:rsid w:val="007323A3"/>
    <w:rsid w:val="007324A8"/>
    <w:rsid w:val="00732667"/>
    <w:rsid w:val="0073297F"/>
    <w:rsid w:val="00732982"/>
    <w:rsid w:val="007329DB"/>
    <w:rsid w:val="00732EC6"/>
    <w:rsid w:val="00732FF8"/>
    <w:rsid w:val="00733329"/>
    <w:rsid w:val="0073366A"/>
    <w:rsid w:val="00733762"/>
    <w:rsid w:val="007339DA"/>
    <w:rsid w:val="00733A64"/>
    <w:rsid w:val="00733A6A"/>
    <w:rsid w:val="00733A90"/>
    <w:rsid w:val="00733EDE"/>
    <w:rsid w:val="0073420E"/>
    <w:rsid w:val="007344D6"/>
    <w:rsid w:val="007345B7"/>
    <w:rsid w:val="007345C4"/>
    <w:rsid w:val="007345CC"/>
    <w:rsid w:val="0073481A"/>
    <w:rsid w:val="00734883"/>
    <w:rsid w:val="00734D2B"/>
    <w:rsid w:val="00735034"/>
    <w:rsid w:val="0073507D"/>
    <w:rsid w:val="0073598E"/>
    <w:rsid w:val="00735A86"/>
    <w:rsid w:val="00735B54"/>
    <w:rsid w:val="00735CBD"/>
    <w:rsid w:val="00736006"/>
    <w:rsid w:val="0073624C"/>
    <w:rsid w:val="00736367"/>
    <w:rsid w:val="007363A8"/>
    <w:rsid w:val="00736522"/>
    <w:rsid w:val="0073670E"/>
    <w:rsid w:val="00736871"/>
    <w:rsid w:val="00736A95"/>
    <w:rsid w:val="00736F3A"/>
    <w:rsid w:val="00737009"/>
    <w:rsid w:val="00737402"/>
    <w:rsid w:val="00737485"/>
    <w:rsid w:val="007378FE"/>
    <w:rsid w:val="00740212"/>
    <w:rsid w:val="00740299"/>
    <w:rsid w:val="00740627"/>
    <w:rsid w:val="00740CDF"/>
    <w:rsid w:val="00740EA8"/>
    <w:rsid w:val="00740FE6"/>
    <w:rsid w:val="0074111A"/>
    <w:rsid w:val="0074120F"/>
    <w:rsid w:val="007413C2"/>
    <w:rsid w:val="00741630"/>
    <w:rsid w:val="00741634"/>
    <w:rsid w:val="0074172E"/>
    <w:rsid w:val="007417E3"/>
    <w:rsid w:val="007418C2"/>
    <w:rsid w:val="00741972"/>
    <w:rsid w:val="007422BB"/>
    <w:rsid w:val="007425ED"/>
    <w:rsid w:val="007427C6"/>
    <w:rsid w:val="0074293A"/>
    <w:rsid w:val="007431E3"/>
    <w:rsid w:val="00743327"/>
    <w:rsid w:val="007435BD"/>
    <w:rsid w:val="0074399F"/>
    <w:rsid w:val="00743E79"/>
    <w:rsid w:val="00744008"/>
    <w:rsid w:val="0074450A"/>
    <w:rsid w:val="007445C3"/>
    <w:rsid w:val="007445F2"/>
    <w:rsid w:val="00744737"/>
    <w:rsid w:val="00745283"/>
    <w:rsid w:val="007456FD"/>
    <w:rsid w:val="0074578C"/>
    <w:rsid w:val="00745EC3"/>
    <w:rsid w:val="00745EEB"/>
    <w:rsid w:val="00746223"/>
    <w:rsid w:val="00746254"/>
    <w:rsid w:val="007468C3"/>
    <w:rsid w:val="007468F8"/>
    <w:rsid w:val="00746B9F"/>
    <w:rsid w:val="00746C11"/>
    <w:rsid w:val="00746D18"/>
    <w:rsid w:val="00746DC0"/>
    <w:rsid w:val="00746E92"/>
    <w:rsid w:val="0074701B"/>
    <w:rsid w:val="0074711D"/>
    <w:rsid w:val="00747216"/>
    <w:rsid w:val="00747262"/>
    <w:rsid w:val="007472D2"/>
    <w:rsid w:val="007477AD"/>
    <w:rsid w:val="00747EF1"/>
    <w:rsid w:val="00747F12"/>
    <w:rsid w:val="007502C1"/>
    <w:rsid w:val="00750573"/>
    <w:rsid w:val="007507BA"/>
    <w:rsid w:val="00750A1D"/>
    <w:rsid w:val="00750A7E"/>
    <w:rsid w:val="00750FB1"/>
    <w:rsid w:val="0075103F"/>
    <w:rsid w:val="00751318"/>
    <w:rsid w:val="00751433"/>
    <w:rsid w:val="007515D5"/>
    <w:rsid w:val="00751979"/>
    <w:rsid w:val="00751C79"/>
    <w:rsid w:val="007522C6"/>
    <w:rsid w:val="00752593"/>
    <w:rsid w:val="007526A2"/>
    <w:rsid w:val="007526D3"/>
    <w:rsid w:val="00752744"/>
    <w:rsid w:val="007528F4"/>
    <w:rsid w:val="00752BC1"/>
    <w:rsid w:val="00752C9D"/>
    <w:rsid w:val="00752EC9"/>
    <w:rsid w:val="00752F1F"/>
    <w:rsid w:val="00752FEC"/>
    <w:rsid w:val="00753094"/>
    <w:rsid w:val="007531F0"/>
    <w:rsid w:val="00753683"/>
    <w:rsid w:val="00753D41"/>
    <w:rsid w:val="00753F93"/>
    <w:rsid w:val="00754799"/>
    <w:rsid w:val="007549A2"/>
    <w:rsid w:val="00754C63"/>
    <w:rsid w:val="00754FE7"/>
    <w:rsid w:val="007551A2"/>
    <w:rsid w:val="0075536D"/>
    <w:rsid w:val="0075560E"/>
    <w:rsid w:val="00755722"/>
    <w:rsid w:val="00755A2A"/>
    <w:rsid w:val="00755B37"/>
    <w:rsid w:val="00755BD2"/>
    <w:rsid w:val="00755C6B"/>
    <w:rsid w:val="00756173"/>
    <w:rsid w:val="007563C6"/>
    <w:rsid w:val="0075640E"/>
    <w:rsid w:val="0075647F"/>
    <w:rsid w:val="0075651C"/>
    <w:rsid w:val="00756581"/>
    <w:rsid w:val="007565EC"/>
    <w:rsid w:val="00756649"/>
    <w:rsid w:val="0075670B"/>
    <w:rsid w:val="0075698D"/>
    <w:rsid w:val="0075699B"/>
    <w:rsid w:val="00756B1A"/>
    <w:rsid w:val="00756C31"/>
    <w:rsid w:val="00757244"/>
    <w:rsid w:val="007578CD"/>
    <w:rsid w:val="00757A76"/>
    <w:rsid w:val="00757C76"/>
    <w:rsid w:val="007600D8"/>
    <w:rsid w:val="00760234"/>
    <w:rsid w:val="007602E6"/>
    <w:rsid w:val="00760447"/>
    <w:rsid w:val="00760751"/>
    <w:rsid w:val="0076088F"/>
    <w:rsid w:val="00760C43"/>
    <w:rsid w:val="00760DFE"/>
    <w:rsid w:val="00761165"/>
    <w:rsid w:val="00761750"/>
    <w:rsid w:val="00761CB6"/>
    <w:rsid w:val="0076210C"/>
    <w:rsid w:val="00762397"/>
    <w:rsid w:val="00762450"/>
    <w:rsid w:val="0076254C"/>
    <w:rsid w:val="007629C8"/>
    <w:rsid w:val="007629FC"/>
    <w:rsid w:val="00762A1B"/>
    <w:rsid w:val="00762B6D"/>
    <w:rsid w:val="00762BEB"/>
    <w:rsid w:val="00762C01"/>
    <w:rsid w:val="00762C20"/>
    <w:rsid w:val="007631D5"/>
    <w:rsid w:val="0076368F"/>
    <w:rsid w:val="00763808"/>
    <w:rsid w:val="007638AA"/>
    <w:rsid w:val="00763A19"/>
    <w:rsid w:val="00763AF8"/>
    <w:rsid w:val="00763B7D"/>
    <w:rsid w:val="00763C46"/>
    <w:rsid w:val="00763F9B"/>
    <w:rsid w:val="00763F9E"/>
    <w:rsid w:val="0076432E"/>
    <w:rsid w:val="0076433F"/>
    <w:rsid w:val="007643C2"/>
    <w:rsid w:val="00764786"/>
    <w:rsid w:val="007648A5"/>
    <w:rsid w:val="00764993"/>
    <w:rsid w:val="00764ACF"/>
    <w:rsid w:val="0076503F"/>
    <w:rsid w:val="0076521F"/>
    <w:rsid w:val="00765581"/>
    <w:rsid w:val="007655F8"/>
    <w:rsid w:val="0076596D"/>
    <w:rsid w:val="00765A4C"/>
    <w:rsid w:val="0076609E"/>
    <w:rsid w:val="0076614B"/>
    <w:rsid w:val="007661C4"/>
    <w:rsid w:val="0076654F"/>
    <w:rsid w:val="007666E5"/>
    <w:rsid w:val="00766864"/>
    <w:rsid w:val="00766937"/>
    <w:rsid w:val="00766A3C"/>
    <w:rsid w:val="00766BD1"/>
    <w:rsid w:val="00766DA3"/>
    <w:rsid w:val="0076709F"/>
    <w:rsid w:val="007671B6"/>
    <w:rsid w:val="00767440"/>
    <w:rsid w:val="00767727"/>
    <w:rsid w:val="00767D2A"/>
    <w:rsid w:val="00767E1D"/>
    <w:rsid w:val="00767F01"/>
    <w:rsid w:val="00767F89"/>
    <w:rsid w:val="0077073D"/>
    <w:rsid w:val="0077084E"/>
    <w:rsid w:val="00770CF7"/>
    <w:rsid w:val="00770E98"/>
    <w:rsid w:val="00771289"/>
    <w:rsid w:val="0077137C"/>
    <w:rsid w:val="007714DD"/>
    <w:rsid w:val="00771571"/>
    <w:rsid w:val="00771708"/>
    <w:rsid w:val="00771770"/>
    <w:rsid w:val="00771C28"/>
    <w:rsid w:val="0077205C"/>
    <w:rsid w:val="00772634"/>
    <w:rsid w:val="0077278D"/>
    <w:rsid w:val="007728BF"/>
    <w:rsid w:val="0077290C"/>
    <w:rsid w:val="00772C80"/>
    <w:rsid w:val="0077308E"/>
    <w:rsid w:val="00773335"/>
    <w:rsid w:val="0077350C"/>
    <w:rsid w:val="0077371F"/>
    <w:rsid w:val="00773E06"/>
    <w:rsid w:val="00774041"/>
    <w:rsid w:val="00774130"/>
    <w:rsid w:val="00774252"/>
    <w:rsid w:val="007744DB"/>
    <w:rsid w:val="007744F3"/>
    <w:rsid w:val="0077499C"/>
    <w:rsid w:val="00774B36"/>
    <w:rsid w:val="00774C4D"/>
    <w:rsid w:val="00774C99"/>
    <w:rsid w:val="00774E22"/>
    <w:rsid w:val="00775D80"/>
    <w:rsid w:val="00775FC4"/>
    <w:rsid w:val="0077636F"/>
    <w:rsid w:val="007765E1"/>
    <w:rsid w:val="0077699C"/>
    <w:rsid w:val="00776A48"/>
    <w:rsid w:val="00776AC3"/>
    <w:rsid w:val="00776F36"/>
    <w:rsid w:val="00777008"/>
    <w:rsid w:val="00777033"/>
    <w:rsid w:val="00777219"/>
    <w:rsid w:val="00777389"/>
    <w:rsid w:val="007773C1"/>
    <w:rsid w:val="00777942"/>
    <w:rsid w:val="00777C9A"/>
    <w:rsid w:val="00777EAB"/>
    <w:rsid w:val="00777EE5"/>
    <w:rsid w:val="00777F3C"/>
    <w:rsid w:val="00780140"/>
    <w:rsid w:val="007802A8"/>
    <w:rsid w:val="0078046A"/>
    <w:rsid w:val="007804A9"/>
    <w:rsid w:val="00780508"/>
    <w:rsid w:val="007808D6"/>
    <w:rsid w:val="00780B1A"/>
    <w:rsid w:val="00780BC0"/>
    <w:rsid w:val="007811FD"/>
    <w:rsid w:val="0078124A"/>
    <w:rsid w:val="00781674"/>
    <w:rsid w:val="007816C5"/>
    <w:rsid w:val="00781856"/>
    <w:rsid w:val="00781B01"/>
    <w:rsid w:val="00782087"/>
    <w:rsid w:val="00782440"/>
    <w:rsid w:val="007824C4"/>
    <w:rsid w:val="007828C8"/>
    <w:rsid w:val="007828D0"/>
    <w:rsid w:val="00782F3F"/>
    <w:rsid w:val="00782F5F"/>
    <w:rsid w:val="00783500"/>
    <w:rsid w:val="00783810"/>
    <w:rsid w:val="00783CCF"/>
    <w:rsid w:val="00783D8A"/>
    <w:rsid w:val="00783DCB"/>
    <w:rsid w:val="00783EE4"/>
    <w:rsid w:val="00783F1E"/>
    <w:rsid w:val="00783F90"/>
    <w:rsid w:val="00783FF9"/>
    <w:rsid w:val="007840A0"/>
    <w:rsid w:val="007844CC"/>
    <w:rsid w:val="00784601"/>
    <w:rsid w:val="00784B54"/>
    <w:rsid w:val="0078566B"/>
    <w:rsid w:val="007857A1"/>
    <w:rsid w:val="00785993"/>
    <w:rsid w:val="00785C06"/>
    <w:rsid w:val="00785E75"/>
    <w:rsid w:val="00785FA6"/>
    <w:rsid w:val="00785FDB"/>
    <w:rsid w:val="00786025"/>
    <w:rsid w:val="007863CC"/>
    <w:rsid w:val="007869CF"/>
    <w:rsid w:val="00786C2F"/>
    <w:rsid w:val="00786E2E"/>
    <w:rsid w:val="00786F88"/>
    <w:rsid w:val="00787286"/>
    <w:rsid w:val="0078735D"/>
    <w:rsid w:val="00787613"/>
    <w:rsid w:val="00787A6A"/>
    <w:rsid w:val="00787B11"/>
    <w:rsid w:val="00787F1E"/>
    <w:rsid w:val="00787FBC"/>
    <w:rsid w:val="0079008B"/>
    <w:rsid w:val="007901A7"/>
    <w:rsid w:val="0079027D"/>
    <w:rsid w:val="00790619"/>
    <w:rsid w:val="00790648"/>
    <w:rsid w:val="00790971"/>
    <w:rsid w:val="007909D1"/>
    <w:rsid w:val="00790A9D"/>
    <w:rsid w:val="00790DBF"/>
    <w:rsid w:val="00790EC1"/>
    <w:rsid w:val="0079109E"/>
    <w:rsid w:val="007911D6"/>
    <w:rsid w:val="0079158A"/>
    <w:rsid w:val="00791637"/>
    <w:rsid w:val="00791761"/>
    <w:rsid w:val="00791A0A"/>
    <w:rsid w:val="00791AB4"/>
    <w:rsid w:val="00791D34"/>
    <w:rsid w:val="00792016"/>
    <w:rsid w:val="0079219A"/>
    <w:rsid w:val="007923F9"/>
    <w:rsid w:val="00792496"/>
    <w:rsid w:val="00792D31"/>
    <w:rsid w:val="00792DC8"/>
    <w:rsid w:val="00792F04"/>
    <w:rsid w:val="00792F93"/>
    <w:rsid w:val="007932FB"/>
    <w:rsid w:val="00793A3B"/>
    <w:rsid w:val="00793D4D"/>
    <w:rsid w:val="00793DAA"/>
    <w:rsid w:val="00793E4C"/>
    <w:rsid w:val="0079405B"/>
    <w:rsid w:val="0079421D"/>
    <w:rsid w:val="007944A1"/>
    <w:rsid w:val="0079459A"/>
    <w:rsid w:val="007948BC"/>
    <w:rsid w:val="007949B4"/>
    <w:rsid w:val="00794A4E"/>
    <w:rsid w:val="00794A6A"/>
    <w:rsid w:val="00794CA1"/>
    <w:rsid w:val="00794CEC"/>
    <w:rsid w:val="00794D7F"/>
    <w:rsid w:val="00795141"/>
    <w:rsid w:val="0079547C"/>
    <w:rsid w:val="007957B8"/>
    <w:rsid w:val="007957D2"/>
    <w:rsid w:val="0079582E"/>
    <w:rsid w:val="00795884"/>
    <w:rsid w:val="00795BD5"/>
    <w:rsid w:val="00795F19"/>
    <w:rsid w:val="00795FE4"/>
    <w:rsid w:val="00796606"/>
    <w:rsid w:val="00796790"/>
    <w:rsid w:val="0079690E"/>
    <w:rsid w:val="00796D6D"/>
    <w:rsid w:val="0079729F"/>
    <w:rsid w:val="0079760B"/>
    <w:rsid w:val="00797810"/>
    <w:rsid w:val="00797B25"/>
    <w:rsid w:val="00797BAE"/>
    <w:rsid w:val="00797D90"/>
    <w:rsid w:val="00797F5E"/>
    <w:rsid w:val="007A0331"/>
    <w:rsid w:val="007A0355"/>
    <w:rsid w:val="007A053A"/>
    <w:rsid w:val="007A089D"/>
    <w:rsid w:val="007A0C5D"/>
    <w:rsid w:val="007A0C5E"/>
    <w:rsid w:val="007A0FE5"/>
    <w:rsid w:val="007A11FB"/>
    <w:rsid w:val="007A14D9"/>
    <w:rsid w:val="007A175B"/>
    <w:rsid w:val="007A1772"/>
    <w:rsid w:val="007A1845"/>
    <w:rsid w:val="007A1A13"/>
    <w:rsid w:val="007A1BFA"/>
    <w:rsid w:val="007A1BFB"/>
    <w:rsid w:val="007A1D25"/>
    <w:rsid w:val="007A2187"/>
    <w:rsid w:val="007A24F9"/>
    <w:rsid w:val="007A24FE"/>
    <w:rsid w:val="007A2611"/>
    <w:rsid w:val="007A2A23"/>
    <w:rsid w:val="007A2CA4"/>
    <w:rsid w:val="007A2FD2"/>
    <w:rsid w:val="007A30BE"/>
    <w:rsid w:val="007A30E6"/>
    <w:rsid w:val="007A31F8"/>
    <w:rsid w:val="007A3651"/>
    <w:rsid w:val="007A3F64"/>
    <w:rsid w:val="007A42AE"/>
    <w:rsid w:val="007A433F"/>
    <w:rsid w:val="007A4689"/>
    <w:rsid w:val="007A46E8"/>
    <w:rsid w:val="007A48BB"/>
    <w:rsid w:val="007A508E"/>
    <w:rsid w:val="007A58CF"/>
    <w:rsid w:val="007A5F82"/>
    <w:rsid w:val="007A5FDF"/>
    <w:rsid w:val="007A60DF"/>
    <w:rsid w:val="007A635D"/>
    <w:rsid w:val="007A649E"/>
    <w:rsid w:val="007A6520"/>
    <w:rsid w:val="007A6B90"/>
    <w:rsid w:val="007A6BD6"/>
    <w:rsid w:val="007A7308"/>
    <w:rsid w:val="007A73A6"/>
    <w:rsid w:val="007A7424"/>
    <w:rsid w:val="007A7470"/>
    <w:rsid w:val="007A752A"/>
    <w:rsid w:val="007A755C"/>
    <w:rsid w:val="007A778A"/>
    <w:rsid w:val="007A7865"/>
    <w:rsid w:val="007A7AFA"/>
    <w:rsid w:val="007B0044"/>
    <w:rsid w:val="007B0191"/>
    <w:rsid w:val="007B05AD"/>
    <w:rsid w:val="007B05FE"/>
    <w:rsid w:val="007B067C"/>
    <w:rsid w:val="007B06E9"/>
    <w:rsid w:val="007B0950"/>
    <w:rsid w:val="007B0CE5"/>
    <w:rsid w:val="007B0FA4"/>
    <w:rsid w:val="007B10B2"/>
    <w:rsid w:val="007B10CD"/>
    <w:rsid w:val="007B156B"/>
    <w:rsid w:val="007B1646"/>
    <w:rsid w:val="007B17ED"/>
    <w:rsid w:val="007B180A"/>
    <w:rsid w:val="007B19CD"/>
    <w:rsid w:val="007B1CFF"/>
    <w:rsid w:val="007B1D84"/>
    <w:rsid w:val="007B1E9C"/>
    <w:rsid w:val="007B20BD"/>
    <w:rsid w:val="007B2261"/>
    <w:rsid w:val="007B232B"/>
    <w:rsid w:val="007B282E"/>
    <w:rsid w:val="007B2A70"/>
    <w:rsid w:val="007B2B0D"/>
    <w:rsid w:val="007B2C92"/>
    <w:rsid w:val="007B31D7"/>
    <w:rsid w:val="007B33F8"/>
    <w:rsid w:val="007B3C6A"/>
    <w:rsid w:val="007B4297"/>
    <w:rsid w:val="007B43E3"/>
    <w:rsid w:val="007B4682"/>
    <w:rsid w:val="007B4A76"/>
    <w:rsid w:val="007B4D58"/>
    <w:rsid w:val="007B4DC7"/>
    <w:rsid w:val="007B4E98"/>
    <w:rsid w:val="007B500A"/>
    <w:rsid w:val="007B5023"/>
    <w:rsid w:val="007B5196"/>
    <w:rsid w:val="007B53AC"/>
    <w:rsid w:val="007B5404"/>
    <w:rsid w:val="007B5521"/>
    <w:rsid w:val="007B5586"/>
    <w:rsid w:val="007B5598"/>
    <w:rsid w:val="007B5809"/>
    <w:rsid w:val="007B5D16"/>
    <w:rsid w:val="007B5D9C"/>
    <w:rsid w:val="007B5FEF"/>
    <w:rsid w:val="007B6307"/>
    <w:rsid w:val="007B64EB"/>
    <w:rsid w:val="007B6C00"/>
    <w:rsid w:val="007B6E13"/>
    <w:rsid w:val="007B6EFD"/>
    <w:rsid w:val="007B6FA4"/>
    <w:rsid w:val="007B75C5"/>
    <w:rsid w:val="007B762E"/>
    <w:rsid w:val="007B76A2"/>
    <w:rsid w:val="007B7949"/>
    <w:rsid w:val="007B79E1"/>
    <w:rsid w:val="007C00E5"/>
    <w:rsid w:val="007C04F2"/>
    <w:rsid w:val="007C0801"/>
    <w:rsid w:val="007C0896"/>
    <w:rsid w:val="007C0D47"/>
    <w:rsid w:val="007C1049"/>
    <w:rsid w:val="007C112A"/>
    <w:rsid w:val="007C121A"/>
    <w:rsid w:val="007C1419"/>
    <w:rsid w:val="007C15B2"/>
    <w:rsid w:val="007C15CE"/>
    <w:rsid w:val="007C16B4"/>
    <w:rsid w:val="007C174D"/>
    <w:rsid w:val="007C22F9"/>
    <w:rsid w:val="007C2333"/>
    <w:rsid w:val="007C23EA"/>
    <w:rsid w:val="007C250E"/>
    <w:rsid w:val="007C27EE"/>
    <w:rsid w:val="007C2AFA"/>
    <w:rsid w:val="007C2B64"/>
    <w:rsid w:val="007C2B7C"/>
    <w:rsid w:val="007C2BD3"/>
    <w:rsid w:val="007C2DFB"/>
    <w:rsid w:val="007C3391"/>
    <w:rsid w:val="007C3566"/>
    <w:rsid w:val="007C35C4"/>
    <w:rsid w:val="007C3986"/>
    <w:rsid w:val="007C3AE2"/>
    <w:rsid w:val="007C3E43"/>
    <w:rsid w:val="007C3FAA"/>
    <w:rsid w:val="007C3FF5"/>
    <w:rsid w:val="007C4264"/>
    <w:rsid w:val="007C47DE"/>
    <w:rsid w:val="007C483E"/>
    <w:rsid w:val="007C485A"/>
    <w:rsid w:val="007C488B"/>
    <w:rsid w:val="007C4A46"/>
    <w:rsid w:val="007C4A99"/>
    <w:rsid w:val="007C4AA5"/>
    <w:rsid w:val="007C51F6"/>
    <w:rsid w:val="007C528C"/>
    <w:rsid w:val="007C5373"/>
    <w:rsid w:val="007C53F7"/>
    <w:rsid w:val="007C54DD"/>
    <w:rsid w:val="007C5662"/>
    <w:rsid w:val="007C5746"/>
    <w:rsid w:val="007C58C5"/>
    <w:rsid w:val="007C5916"/>
    <w:rsid w:val="007C594E"/>
    <w:rsid w:val="007C6159"/>
    <w:rsid w:val="007C62A8"/>
    <w:rsid w:val="007C638A"/>
    <w:rsid w:val="007C66B7"/>
    <w:rsid w:val="007C67F6"/>
    <w:rsid w:val="007C692C"/>
    <w:rsid w:val="007C6AB0"/>
    <w:rsid w:val="007C6EDD"/>
    <w:rsid w:val="007C6F56"/>
    <w:rsid w:val="007C7256"/>
    <w:rsid w:val="007C7428"/>
    <w:rsid w:val="007C767A"/>
    <w:rsid w:val="007C7802"/>
    <w:rsid w:val="007C7AAA"/>
    <w:rsid w:val="007C7FAD"/>
    <w:rsid w:val="007D00B4"/>
    <w:rsid w:val="007D00C7"/>
    <w:rsid w:val="007D03CB"/>
    <w:rsid w:val="007D03E9"/>
    <w:rsid w:val="007D08F5"/>
    <w:rsid w:val="007D0A36"/>
    <w:rsid w:val="007D0C04"/>
    <w:rsid w:val="007D0C9E"/>
    <w:rsid w:val="007D0D93"/>
    <w:rsid w:val="007D105C"/>
    <w:rsid w:val="007D11A1"/>
    <w:rsid w:val="007D1507"/>
    <w:rsid w:val="007D1768"/>
    <w:rsid w:val="007D17BE"/>
    <w:rsid w:val="007D17D2"/>
    <w:rsid w:val="007D19F7"/>
    <w:rsid w:val="007D1BCB"/>
    <w:rsid w:val="007D1D13"/>
    <w:rsid w:val="007D1DD3"/>
    <w:rsid w:val="007D2062"/>
    <w:rsid w:val="007D21D6"/>
    <w:rsid w:val="007D23F7"/>
    <w:rsid w:val="007D248E"/>
    <w:rsid w:val="007D256B"/>
    <w:rsid w:val="007D26AB"/>
    <w:rsid w:val="007D27F1"/>
    <w:rsid w:val="007D28F9"/>
    <w:rsid w:val="007D3ADA"/>
    <w:rsid w:val="007D3F7B"/>
    <w:rsid w:val="007D428E"/>
    <w:rsid w:val="007D477B"/>
    <w:rsid w:val="007D4AC9"/>
    <w:rsid w:val="007D4B08"/>
    <w:rsid w:val="007D53CA"/>
    <w:rsid w:val="007D5C5C"/>
    <w:rsid w:val="007D6012"/>
    <w:rsid w:val="007D625D"/>
    <w:rsid w:val="007D6AD1"/>
    <w:rsid w:val="007D6C9A"/>
    <w:rsid w:val="007D6CC7"/>
    <w:rsid w:val="007D6CF0"/>
    <w:rsid w:val="007D70DD"/>
    <w:rsid w:val="007D74C3"/>
    <w:rsid w:val="007D74DD"/>
    <w:rsid w:val="007D7950"/>
    <w:rsid w:val="007D7CD2"/>
    <w:rsid w:val="007D7EE2"/>
    <w:rsid w:val="007D7F3A"/>
    <w:rsid w:val="007D7FF4"/>
    <w:rsid w:val="007E0123"/>
    <w:rsid w:val="007E08A2"/>
    <w:rsid w:val="007E0B20"/>
    <w:rsid w:val="007E0C2E"/>
    <w:rsid w:val="007E0C2F"/>
    <w:rsid w:val="007E0F8F"/>
    <w:rsid w:val="007E10B3"/>
    <w:rsid w:val="007E152E"/>
    <w:rsid w:val="007E16AE"/>
    <w:rsid w:val="007E19D2"/>
    <w:rsid w:val="007E19F4"/>
    <w:rsid w:val="007E1CA2"/>
    <w:rsid w:val="007E1F71"/>
    <w:rsid w:val="007E1FF3"/>
    <w:rsid w:val="007E203A"/>
    <w:rsid w:val="007E2365"/>
    <w:rsid w:val="007E2884"/>
    <w:rsid w:val="007E2950"/>
    <w:rsid w:val="007E2BBD"/>
    <w:rsid w:val="007E2D01"/>
    <w:rsid w:val="007E321E"/>
    <w:rsid w:val="007E32F3"/>
    <w:rsid w:val="007E3373"/>
    <w:rsid w:val="007E3880"/>
    <w:rsid w:val="007E3CDF"/>
    <w:rsid w:val="007E3E4F"/>
    <w:rsid w:val="007E3EF1"/>
    <w:rsid w:val="007E3F3A"/>
    <w:rsid w:val="007E41E3"/>
    <w:rsid w:val="007E4354"/>
    <w:rsid w:val="007E43DE"/>
    <w:rsid w:val="007E4422"/>
    <w:rsid w:val="007E446B"/>
    <w:rsid w:val="007E46D7"/>
    <w:rsid w:val="007E4A44"/>
    <w:rsid w:val="007E4A5A"/>
    <w:rsid w:val="007E4EC4"/>
    <w:rsid w:val="007E52C4"/>
    <w:rsid w:val="007E5646"/>
    <w:rsid w:val="007E57B4"/>
    <w:rsid w:val="007E5E34"/>
    <w:rsid w:val="007E61C7"/>
    <w:rsid w:val="007E65E7"/>
    <w:rsid w:val="007E65E8"/>
    <w:rsid w:val="007E6770"/>
    <w:rsid w:val="007E69B7"/>
    <w:rsid w:val="007E6B93"/>
    <w:rsid w:val="007E6F23"/>
    <w:rsid w:val="007E71A2"/>
    <w:rsid w:val="007E7B59"/>
    <w:rsid w:val="007E7B9E"/>
    <w:rsid w:val="007E7DB8"/>
    <w:rsid w:val="007E7F07"/>
    <w:rsid w:val="007F004E"/>
    <w:rsid w:val="007F0126"/>
    <w:rsid w:val="007F0213"/>
    <w:rsid w:val="007F02D7"/>
    <w:rsid w:val="007F04F6"/>
    <w:rsid w:val="007F0541"/>
    <w:rsid w:val="007F06ED"/>
    <w:rsid w:val="007F0B6C"/>
    <w:rsid w:val="007F0CA9"/>
    <w:rsid w:val="007F0CFA"/>
    <w:rsid w:val="007F0D1A"/>
    <w:rsid w:val="007F0D4A"/>
    <w:rsid w:val="007F0E56"/>
    <w:rsid w:val="007F10E1"/>
    <w:rsid w:val="007F1890"/>
    <w:rsid w:val="007F1960"/>
    <w:rsid w:val="007F1977"/>
    <w:rsid w:val="007F1D9E"/>
    <w:rsid w:val="007F1DFF"/>
    <w:rsid w:val="007F1FA1"/>
    <w:rsid w:val="007F209F"/>
    <w:rsid w:val="007F2138"/>
    <w:rsid w:val="007F2867"/>
    <w:rsid w:val="007F2969"/>
    <w:rsid w:val="007F2A5C"/>
    <w:rsid w:val="007F2A9D"/>
    <w:rsid w:val="007F2D56"/>
    <w:rsid w:val="007F304C"/>
    <w:rsid w:val="007F314E"/>
    <w:rsid w:val="007F3470"/>
    <w:rsid w:val="007F3C38"/>
    <w:rsid w:val="007F3EFB"/>
    <w:rsid w:val="007F4361"/>
    <w:rsid w:val="007F43AD"/>
    <w:rsid w:val="007F447D"/>
    <w:rsid w:val="007F44FF"/>
    <w:rsid w:val="007F4800"/>
    <w:rsid w:val="007F4C04"/>
    <w:rsid w:val="007F4F2A"/>
    <w:rsid w:val="007F52BD"/>
    <w:rsid w:val="007F52DB"/>
    <w:rsid w:val="007F5305"/>
    <w:rsid w:val="007F540D"/>
    <w:rsid w:val="007F5431"/>
    <w:rsid w:val="007F5704"/>
    <w:rsid w:val="007F57DD"/>
    <w:rsid w:val="007F5924"/>
    <w:rsid w:val="007F5A8B"/>
    <w:rsid w:val="007F5B61"/>
    <w:rsid w:val="007F5CA3"/>
    <w:rsid w:val="007F65CE"/>
    <w:rsid w:val="007F67C2"/>
    <w:rsid w:val="007F6B55"/>
    <w:rsid w:val="007F71B1"/>
    <w:rsid w:val="007F749C"/>
    <w:rsid w:val="007F75D8"/>
    <w:rsid w:val="007F78A6"/>
    <w:rsid w:val="007F7BC5"/>
    <w:rsid w:val="007F7F93"/>
    <w:rsid w:val="008001E7"/>
    <w:rsid w:val="00800246"/>
    <w:rsid w:val="008005BB"/>
    <w:rsid w:val="00800F93"/>
    <w:rsid w:val="0080103F"/>
    <w:rsid w:val="008010A1"/>
    <w:rsid w:val="008010AC"/>
    <w:rsid w:val="00801641"/>
    <w:rsid w:val="008016B8"/>
    <w:rsid w:val="00801751"/>
    <w:rsid w:val="0080193D"/>
    <w:rsid w:val="00801AC6"/>
    <w:rsid w:val="00801EB3"/>
    <w:rsid w:val="00802102"/>
    <w:rsid w:val="00802134"/>
    <w:rsid w:val="008028CA"/>
    <w:rsid w:val="00802A67"/>
    <w:rsid w:val="00802C66"/>
    <w:rsid w:val="00802CAD"/>
    <w:rsid w:val="00802F06"/>
    <w:rsid w:val="00802FFB"/>
    <w:rsid w:val="008038D1"/>
    <w:rsid w:val="00803C2C"/>
    <w:rsid w:val="00803C8D"/>
    <w:rsid w:val="00803D48"/>
    <w:rsid w:val="00803E5D"/>
    <w:rsid w:val="00804339"/>
    <w:rsid w:val="008046C4"/>
    <w:rsid w:val="008046D9"/>
    <w:rsid w:val="00804B6C"/>
    <w:rsid w:val="00804F2B"/>
    <w:rsid w:val="00805360"/>
    <w:rsid w:val="0080562E"/>
    <w:rsid w:val="0080566F"/>
    <w:rsid w:val="0080577E"/>
    <w:rsid w:val="0080590A"/>
    <w:rsid w:val="00805BCE"/>
    <w:rsid w:val="00805D92"/>
    <w:rsid w:val="00805E69"/>
    <w:rsid w:val="00806046"/>
    <w:rsid w:val="008061D1"/>
    <w:rsid w:val="00806207"/>
    <w:rsid w:val="008062E1"/>
    <w:rsid w:val="008063B0"/>
    <w:rsid w:val="00806537"/>
    <w:rsid w:val="008066E5"/>
    <w:rsid w:val="008067F8"/>
    <w:rsid w:val="008068DA"/>
    <w:rsid w:val="00806926"/>
    <w:rsid w:val="00806928"/>
    <w:rsid w:val="00806BF4"/>
    <w:rsid w:val="00806FDA"/>
    <w:rsid w:val="008071DF"/>
    <w:rsid w:val="00807206"/>
    <w:rsid w:val="0080720C"/>
    <w:rsid w:val="0080729B"/>
    <w:rsid w:val="00807313"/>
    <w:rsid w:val="00807468"/>
    <w:rsid w:val="00807500"/>
    <w:rsid w:val="00807620"/>
    <w:rsid w:val="008077E9"/>
    <w:rsid w:val="0080782C"/>
    <w:rsid w:val="00807B00"/>
    <w:rsid w:val="00807CA5"/>
    <w:rsid w:val="00810024"/>
    <w:rsid w:val="0081046F"/>
    <w:rsid w:val="0081056C"/>
    <w:rsid w:val="0081056F"/>
    <w:rsid w:val="008105D3"/>
    <w:rsid w:val="00810D52"/>
    <w:rsid w:val="00810F17"/>
    <w:rsid w:val="00810F7B"/>
    <w:rsid w:val="008112D8"/>
    <w:rsid w:val="008113C2"/>
    <w:rsid w:val="00811891"/>
    <w:rsid w:val="00811922"/>
    <w:rsid w:val="00811C18"/>
    <w:rsid w:val="00811E42"/>
    <w:rsid w:val="00811FE8"/>
    <w:rsid w:val="008121D4"/>
    <w:rsid w:val="00812389"/>
    <w:rsid w:val="00812603"/>
    <w:rsid w:val="00812805"/>
    <w:rsid w:val="008128E4"/>
    <w:rsid w:val="00812914"/>
    <w:rsid w:val="00812A03"/>
    <w:rsid w:val="00812D10"/>
    <w:rsid w:val="00812EB9"/>
    <w:rsid w:val="00812F1D"/>
    <w:rsid w:val="00813092"/>
    <w:rsid w:val="008135BB"/>
    <w:rsid w:val="00813727"/>
    <w:rsid w:val="00813888"/>
    <w:rsid w:val="008138B1"/>
    <w:rsid w:val="0081390A"/>
    <w:rsid w:val="00813A10"/>
    <w:rsid w:val="00813C78"/>
    <w:rsid w:val="00813E1D"/>
    <w:rsid w:val="00813FF4"/>
    <w:rsid w:val="0081413D"/>
    <w:rsid w:val="008144D3"/>
    <w:rsid w:val="008145C9"/>
    <w:rsid w:val="00814A10"/>
    <w:rsid w:val="00814A45"/>
    <w:rsid w:val="00814B9F"/>
    <w:rsid w:val="00815639"/>
    <w:rsid w:val="0081592A"/>
    <w:rsid w:val="00815FE2"/>
    <w:rsid w:val="00816069"/>
    <w:rsid w:val="00816257"/>
    <w:rsid w:val="00816325"/>
    <w:rsid w:val="00816459"/>
    <w:rsid w:val="0081653C"/>
    <w:rsid w:val="0081674A"/>
    <w:rsid w:val="008168A9"/>
    <w:rsid w:val="00816A55"/>
    <w:rsid w:val="00816AED"/>
    <w:rsid w:val="00816D0D"/>
    <w:rsid w:val="00816DA2"/>
    <w:rsid w:val="00816DA5"/>
    <w:rsid w:val="00816DC6"/>
    <w:rsid w:val="00816F81"/>
    <w:rsid w:val="0081726A"/>
    <w:rsid w:val="00817898"/>
    <w:rsid w:val="00817A92"/>
    <w:rsid w:val="00817D07"/>
    <w:rsid w:val="00817D10"/>
    <w:rsid w:val="00817F24"/>
    <w:rsid w:val="00817F61"/>
    <w:rsid w:val="0082042D"/>
    <w:rsid w:val="00820AC8"/>
    <w:rsid w:val="00820B8A"/>
    <w:rsid w:val="00820E88"/>
    <w:rsid w:val="00820F31"/>
    <w:rsid w:val="008213D9"/>
    <w:rsid w:val="00821A61"/>
    <w:rsid w:val="00821F23"/>
    <w:rsid w:val="0082224A"/>
    <w:rsid w:val="008222AD"/>
    <w:rsid w:val="008226F9"/>
    <w:rsid w:val="00822B66"/>
    <w:rsid w:val="00822E5C"/>
    <w:rsid w:val="00823559"/>
    <w:rsid w:val="008238B7"/>
    <w:rsid w:val="00823954"/>
    <w:rsid w:val="00823B10"/>
    <w:rsid w:val="00823B68"/>
    <w:rsid w:val="00823CDB"/>
    <w:rsid w:val="00823D09"/>
    <w:rsid w:val="00823EE6"/>
    <w:rsid w:val="008244B1"/>
    <w:rsid w:val="008244E6"/>
    <w:rsid w:val="008245EA"/>
    <w:rsid w:val="008247C2"/>
    <w:rsid w:val="00824879"/>
    <w:rsid w:val="00824A02"/>
    <w:rsid w:val="00824A74"/>
    <w:rsid w:val="00824B1D"/>
    <w:rsid w:val="00824B62"/>
    <w:rsid w:val="00824D02"/>
    <w:rsid w:val="00824F78"/>
    <w:rsid w:val="008250AC"/>
    <w:rsid w:val="00825171"/>
    <w:rsid w:val="008255B6"/>
    <w:rsid w:val="008256F4"/>
    <w:rsid w:val="00825ABC"/>
    <w:rsid w:val="00825B6F"/>
    <w:rsid w:val="00825BD8"/>
    <w:rsid w:val="00825FAA"/>
    <w:rsid w:val="0082625B"/>
    <w:rsid w:val="00826586"/>
    <w:rsid w:val="0082660C"/>
    <w:rsid w:val="0082666F"/>
    <w:rsid w:val="00826C12"/>
    <w:rsid w:val="00826D04"/>
    <w:rsid w:val="00826D6F"/>
    <w:rsid w:val="008270D1"/>
    <w:rsid w:val="008273EA"/>
    <w:rsid w:val="0082779E"/>
    <w:rsid w:val="00827863"/>
    <w:rsid w:val="00827BB1"/>
    <w:rsid w:val="00827D1B"/>
    <w:rsid w:val="00827DFE"/>
    <w:rsid w:val="0083092F"/>
    <w:rsid w:val="00830C10"/>
    <w:rsid w:val="008310CD"/>
    <w:rsid w:val="008313EC"/>
    <w:rsid w:val="0083185B"/>
    <w:rsid w:val="00831C3C"/>
    <w:rsid w:val="008326E8"/>
    <w:rsid w:val="0083272E"/>
    <w:rsid w:val="008328C3"/>
    <w:rsid w:val="00832A26"/>
    <w:rsid w:val="00832E02"/>
    <w:rsid w:val="00832F4B"/>
    <w:rsid w:val="00832F73"/>
    <w:rsid w:val="0083357A"/>
    <w:rsid w:val="00833887"/>
    <w:rsid w:val="00833899"/>
    <w:rsid w:val="00833BD4"/>
    <w:rsid w:val="008341AC"/>
    <w:rsid w:val="00834216"/>
    <w:rsid w:val="00834531"/>
    <w:rsid w:val="00834985"/>
    <w:rsid w:val="00834B8B"/>
    <w:rsid w:val="00834D4C"/>
    <w:rsid w:val="00834E05"/>
    <w:rsid w:val="00834FED"/>
    <w:rsid w:val="00835443"/>
    <w:rsid w:val="00835727"/>
    <w:rsid w:val="00835768"/>
    <w:rsid w:val="008358C9"/>
    <w:rsid w:val="00835BEC"/>
    <w:rsid w:val="008363A1"/>
    <w:rsid w:val="008363D5"/>
    <w:rsid w:val="008365FA"/>
    <w:rsid w:val="00836746"/>
    <w:rsid w:val="008367EA"/>
    <w:rsid w:val="008369D1"/>
    <w:rsid w:val="00836B8C"/>
    <w:rsid w:val="00836FD5"/>
    <w:rsid w:val="00837174"/>
    <w:rsid w:val="00837450"/>
    <w:rsid w:val="00837466"/>
    <w:rsid w:val="00837600"/>
    <w:rsid w:val="008379DF"/>
    <w:rsid w:val="00837AAC"/>
    <w:rsid w:val="00837BC5"/>
    <w:rsid w:val="00837C8F"/>
    <w:rsid w:val="00837D25"/>
    <w:rsid w:val="00837D35"/>
    <w:rsid w:val="00837ED9"/>
    <w:rsid w:val="008401A4"/>
    <w:rsid w:val="00840332"/>
    <w:rsid w:val="0084044A"/>
    <w:rsid w:val="00840849"/>
    <w:rsid w:val="00840F35"/>
    <w:rsid w:val="008411AB"/>
    <w:rsid w:val="008414DA"/>
    <w:rsid w:val="0084153D"/>
    <w:rsid w:val="008415C7"/>
    <w:rsid w:val="00841639"/>
    <w:rsid w:val="0084191F"/>
    <w:rsid w:val="00841B13"/>
    <w:rsid w:val="00841C5A"/>
    <w:rsid w:val="0084202A"/>
    <w:rsid w:val="008420B8"/>
    <w:rsid w:val="008420C9"/>
    <w:rsid w:val="008420EC"/>
    <w:rsid w:val="008425C4"/>
    <w:rsid w:val="0084275A"/>
    <w:rsid w:val="00842994"/>
    <w:rsid w:val="008429B7"/>
    <w:rsid w:val="00842F74"/>
    <w:rsid w:val="008433A0"/>
    <w:rsid w:val="008433A6"/>
    <w:rsid w:val="0084369F"/>
    <w:rsid w:val="00843A39"/>
    <w:rsid w:val="00843C88"/>
    <w:rsid w:val="00843CE4"/>
    <w:rsid w:val="008440AC"/>
    <w:rsid w:val="0084466A"/>
    <w:rsid w:val="008448E0"/>
    <w:rsid w:val="00844B8B"/>
    <w:rsid w:val="00844F80"/>
    <w:rsid w:val="00844FD8"/>
    <w:rsid w:val="008451E7"/>
    <w:rsid w:val="0084581E"/>
    <w:rsid w:val="00845C93"/>
    <w:rsid w:val="00845DFC"/>
    <w:rsid w:val="00845F56"/>
    <w:rsid w:val="00845F5C"/>
    <w:rsid w:val="0084602C"/>
    <w:rsid w:val="00846033"/>
    <w:rsid w:val="0084691C"/>
    <w:rsid w:val="00846972"/>
    <w:rsid w:val="00846B45"/>
    <w:rsid w:val="00846DC1"/>
    <w:rsid w:val="00847050"/>
    <w:rsid w:val="008470F3"/>
    <w:rsid w:val="00847307"/>
    <w:rsid w:val="00847340"/>
    <w:rsid w:val="00847490"/>
    <w:rsid w:val="00847622"/>
    <w:rsid w:val="00847943"/>
    <w:rsid w:val="008479D5"/>
    <w:rsid w:val="00850442"/>
    <w:rsid w:val="00850493"/>
    <w:rsid w:val="0085066B"/>
    <w:rsid w:val="008506DC"/>
    <w:rsid w:val="00850734"/>
    <w:rsid w:val="008509CB"/>
    <w:rsid w:val="00850EB8"/>
    <w:rsid w:val="00850EDE"/>
    <w:rsid w:val="00851294"/>
    <w:rsid w:val="008512B0"/>
    <w:rsid w:val="008515B2"/>
    <w:rsid w:val="008515E4"/>
    <w:rsid w:val="008517AF"/>
    <w:rsid w:val="0085180A"/>
    <w:rsid w:val="008519C5"/>
    <w:rsid w:val="00851AE6"/>
    <w:rsid w:val="00851E75"/>
    <w:rsid w:val="008522BA"/>
    <w:rsid w:val="008522EA"/>
    <w:rsid w:val="00852574"/>
    <w:rsid w:val="0085261E"/>
    <w:rsid w:val="00852B96"/>
    <w:rsid w:val="00852BCF"/>
    <w:rsid w:val="00852D86"/>
    <w:rsid w:val="00852FB6"/>
    <w:rsid w:val="00853035"/>
    <w:rsid w:val="00853652"/>
    <w:rsid w:val="00853971"/>
    <w:rsid w:val="00853A1E"/>
    <w:rsid w:val="00853F6C"/>
    <w:rsid w:val="00853F8A"/>
    <w:rsid w:val="00854194"/>
    <w:rsid w:val="0085431A"/>
    <w:rsid w:val="008543F2"/>
    <w:rsid w:val="0085479A"/>
    <w:rsid w:val="00854CEB"/>
    <w:rsid w:val="00855434"/>
    <w:rsid w:val="008556E4"/>
    <w:rsid w:val="008557E8"/>
    <w:rsid w:val="0085586E"/>
    <w:rsid w:val="00855929"/>
    <w:rsid w:val="00855A23"/>
    <w:rsid w:val="00855D82"/>
    <w:rsid w:val="008562C5"/>
    <w:rsid w:val="008562CB"/>
    <w:rsid w:val="00856B78"/>
    <w:rsid w:val="00856C1D"/>
    <w:rsid w:val="0085710E"/>
    <w:rsid w:val="008574B0"/>
    <w:rsid w:val="00857A1C"/>
    <w:rsid w:val="00857DD8"/>
    <w:rsid w:val="0086017B"/>
    <w:rsid w:val="00860405"/>
    <w:rsid w:val="0086047D"/>
    <w:rsid w:val="00860A27"/>
    <w:rsid w:val="00860ACD"/>
    <w:rsid w:val="00860C68"/>
    <w:rsid w:val="00860CC3"/>
    <w:rsid w:val="00860F9A"/>
    <w:rsid w:val="00860FE7"/>
    <w:rsid w:val="0086103E"/>
    <w:rsid w:val="0086112E"/>
    <w:rsid w:val="00861188"/>
    <w:rsid w:val="00861674"/>
    <w:rsid w:val="00861AC7"/>
    <w:rsid w:val="00861E27"/>
    <w:rsid w:val="00861FE2"/>
    <w:rsid w:val="00862047"/>
    <w:rsid w:val="00862051"/>
    <w:rsid w:val="008620A0"/>
    <w:rsid w:val="00862154"/>
    <w:rsid w:val="0086232D"/>
    <w:rsid w:val="0086240B"/>
    <w:rsid w:val="0086270F"/>
    <w:rsid w:val="008627E0"/>
    <w:rsid w:val="00862922"/>
    <w:rsid w:val="008629C9"/>
    <w:rsid w:val="00862A64"/>
    <w:rsid w:val="00862BCA"/>
    <w:rsid w:val="00862C4F"/>
    <w:rsid w:val="00862C80"/>
    <w:rsid w:val="0086331B"/>
    <w:rsid w:val="008636F8"/>
    <w:rsid w:val="00863858"/>
    <w:rsid w:val="00863D8C"/>
    <w:rsid w:val="0086436A"/>
    <w:rsid w:val="00864478"/>
    <w:rsid w:val="00864586"/>
    <w:rsid w:val="00864594"/>
    <w:rsid w:val="0086466D"/>
    <w:rsid w:val="0086488A"/>
    <w:rsid w:val="00864EFE"/>
    <w:rsid w:val="00864FD4"/>
    <w:rsid w:val="00865194"/>
    <w:rsid w:val="00865213"/>
    <w:rsid w:val="00865217"/>
    <w:rsid w:val="0086524C"/>
    <w:rsid w:val="008652B0"/>
    <w:rsid w:val="008652EA"/>
    <w:rsid w:val="008653C7"/>
    <w:rsid w:val="00865444"/>
    <w:rsid w:val="00865771"/>
    <w:rsid w:val="00865A64"/>
    <w:rsid w:val="00865D7E"/>
    <w:rsid w:val="008662E2"/>
    <w:rsid w:val="0086656D"/>
    <w:rsid w:val="008665AA"/>
    <w:rsid w:val="008666C4"/>
    <w:rsid w:val="008666F4"/>
    <w:rsid w:val="0086677B"/>
    <w:rsid w:val="00866BF7"/>
    <w:rsid w:val="00866DBA"/>
    <w:rsid w:val="008671AD"/>
    <w:rsid w:val="0086733F"/>
    <w:rsid w:val="0086737E"/>
    <w:rsid w:val="00867406"/>
    <w:rsid w:val="00867659"/>
    <w:rsid w:val="0086771C"/>
    <w:rsid w:val="0086793C"/>
    <w:rsid w:val="00867A21"/>
    <w:rsid w:val="00867C84"/>
    <w:rsid w:val="00867DC4"/>
    <w:rsid w:val="0087018C"/>
    <w:rsid w:val="00870784"/>
    <w:rsid w:val="00870BB8"/>
    <w:rsid w:val="00870D5C"/>
    <w:rsid w:val="00870EB1"/>
    <w:rsid w:val="00870EDA"/>
    <w:rsid w:val="00870F63"/>
    <w:rsid w:val="008710D0"/>
    <w:rsid w:val="00871793"/>
    <w:rsid w:val="00871E46"/>
    <w:rsid w:val="008720CC"/>
    <w:rsid w:val="008723CC"/>
    <w:rsid w:val="0087260A"/>
    <w:rsid w:val="00872C23"/>
    <w:rsid w:val="00873049"/>
    <w:rsid w:val="008731F2"/>
    <w:rsid w:val="008732B7"/>
    <w:rsid w:val="00873351"/>
    <w:rsid w:val="00873403"/>
    <w:rsid w:val="008736A8"/>
    <w:rsid w:val="00873758"/>
    <w:rsid w:val="008737DD"/>
    <w:rsid w:val="00873810"/>
    <w:rsid w:val="0087381F"/>
    <w:rsid w:val="00873BE7"/>
    <w:rsid w:val="0087404E"/>
    <w:rsid w:val="008740C1"/>
    <w:rsid w:val="00874522"/>
    <w:rsid w:val="00874710"/>
    <w:rsid w:val="00874A3C"/>
    <w:rsid w:val="00874A92"/>
    <w:rsid w:val="00874E3F"/>
    <w:rsid w:val="008752DA"/>
    <w:rsid w:val="0087569A"/>
    <w:rsid w:val="00875734"/>
    <w:rsid w:val="00875A3A"/>
    <w:rsid w:val="00875AA5"/>
    <w:rsid w:val="00875C3B"/>
    <w:rsid w:val="00875DF5"/>
    <w:rsid w:val="00876580"/>
    <w:rsid w:val="00876889"/>
    <w:rsid w:val="00876B67"/>
    <w:rsid w:val="00876B70"/>
    <w:rsid w:val="00876EB7"/>
    <w:rsid w:val="0087715D"/>
    <w:rsid w:val="00877298"/>
    <w:rsid w:val="008772D8"/>
    <w:rsid w:val="0087748F"/>
    <w:rsid w:val="008775ED"/>
    <w:rsid w:val="00877CCD"/>
    <w:rsid w:val="00877F0B"/>
    <w:rsid w:val="00877F83"/>
    <w:rsid w:val="0088000A"/>
    <w:rsid w:val="0088058B"/>
    <w:rsid w:val="008807CF"/>
    <w:rsid w:val="00880845"/>
    <w:rsid w:val="0088095D"/>
    <w:rsid w:val="00880A42"/>
    <w:rsid w:val="00880A75"/>
    <w:rsid w:val="00880F2A"/>
    <w:rsid w:val="008812C9"/>
    <w:rsid w:val="00881533"/>
    <w:rsid w:val="00881E2F"/>
    <w:rsid w:val="00881F93"/>
    <w:rsid w:val="00882110"/>
    <w:rsid w:val="00882197"/>
    <w:rsid w:val="0088227D"/>
    <w:rsid w:val="008823E5"/>
    <w:rsid w:val="00882516"/>
    <w:rsid w:val="008826D9"/>
    <w:rsid w:val="0088284C"/>
    <w:rsid w:val="0088300E"/>
    <w:rsid w:val="0088301F"/>
    <w:rsid w:val="0088307B"/>
    <w:rsid w:val="00883289"/>
    <w:rsid w:val="008832EF"/>
    <w:rsid w:val="008834BD"/>
    <w:rsid w:val="00883528"/>
    <w:rsid w:val="008835DF"/>
    <w:rsid w:val="008837D2"/>
    <w:rsid w:val="00883F4F"/>
    <w:rsid w:val="008840EA"/>
    <w:rsid w:val="00884135"/>
    <w:rsid w:val="008841EE"/>
    <w:rsid w:val="0088429F"/>
    <w:rsid w:val="00884537"/>
    <w:rsid w:val="008845CA"/>
    <w:rsid w:val="008845D2"/>
    <w:rsid w:val="008847B8"/>
    <w:rsid w:val="008848A8"/>
    <w:rsid w:val="00884C4F"/>
    <w:rsid w:val="00884DD1"/>
    <w:rsid w:val="00884EC5"/>
    <w:rsid w:val="008852B6"/>
    <w:rsid w:val="008853D9"/>
    <w:rsid w:val="008856B3"/>
    <w:rsid w:val="008858C7"/>
    <w:rsid w:val="00885932"/>
    <w:rsid w:val="00885972"/>
    <w:rsid w:val="008860E1"/>
    <w:rsid w:val="0088636A"/>
    <w:rsid w:val="008865D7"/>
    <w:rsid w:val="0088669F"/>
    <w:rsid w:val="00886BFC"/>
    <w:rsid w:val="00887C1D"/>
    <w:rsid w:val="0089016A"/>
    <w:rsid w:val="00890251"/>
    <w:rsid w:val="008902C0"/>
    <w:rsid w:val="0089033A"/>
    <w:rsid w:val="0089053E"/>
    <w:rsid w:val="00890708"/>
    <w:rsid w:val="00890A24"/>
    <w:rsid w:val="00890C2B"/>
    <w:rsid w:val="00890D63"/>
    <w:rsid w:val="00890F56"/>
    <w:rsid w:val="00891242"/>
    <w:rsid w:val="00891336"/>
    <w:rsid w:val="00891428"/>
    <w:rsid w:val="008914AA"/>
    <w:rsid w:val="0089199A"/>
    <w:rsid w:val="00891C6A"/>
    <w:rsid w:val="00891DD4"/>
    <w:rsid w:val="00891FC0"/>
    <w:rsid w:val="0089269A"/>
    <w:rsid w:val="0089292C"/>
    <w:rsid w:val="00892A2B"/>
    <w:rsid w:val="00892E42"/>
    <w:rsid w:val="0089317A"/>
    <w:rsid w:val="008933D9"/>
    <w:rsid w:val="008937DA"/>
    <w:rsid w:val="00893806"/>
    <w:rsid w:val="00893904"/>
    <w:rsid w:val="008939DC"/>
    <w:rsid w:val="00893C8F"/>
    <w:rsid w:val="00893D0D"/>
    <w:rsid w:val="00893E7B"/>
    <w:rsid w:val="00893F3D"/>
    <w:rsid w:val="00893FD2"/>
    <w:rsid w:val="00893FFD"/>
    <w:rsid w:val="0089447C"/>
    <w:rsid w:val="008944FC"/>
    <w:rsid w:val="0089476A"/>
    <w:rsid w:val="00894794"/>
    <w:rsid w:val="0089484B"/>
    <w:rsid w:val="00894E01"/>
    <w:rsid w:val="00894F2D"/>
    <w:rsid w:val="00894FF9"/>
    <w:rsid w:val="0089503F"/>
    <w:rsid w:val="008953CB"/>
    <w:rsid w:val="00895A4F"/>
    <w:rsid w:val="00895D61"/>
    <w:rsid w:val="00895E31"/>
    <w:rsid w:val="00895F85"/>
    <w:rsid w:val="00896309"/>
    <w:rsid w:val="00896394"/>
    <w:rsid w:val="00896479"/>
    <w:rsid w:val="008964D0"/>
    <w:rsid w:val="00896782"/>
    <w:rsid w:val="0089690F"/>
    <w:rsid w:val="0089693F"/>
    <w:rsid w:val="0089696D"/>
    <w:rsid w:val="00896ADE"/>
    <w:rsid w:val="008978C9"/>
    <w:rsid w:val="0089791B"/>
    <w:rsid w:val="008979C7"/>
    <w:rsid w:val="00897D13"/>
    <w:rsid w:val="008A000F"/>
    <w:rsid w:val="008A0015"/>
    <w:rsid w:val="008A0130"/>
    <w:rsid w:val="008A029D"/>
    <w:rsid w:val="008A03BD"/>
    <w:rsid w:val="008A0805"/>
    <w:rsid w:val="008A0906"/>
    <w:rsid w:val="008A0AC3"/>
    <w:rsid w:val="008A0B48"/>
    <w:rsid w:val="008A0C1A"/>
    <w:rsid w:val="008A0D4A"/>
    <w:rsid w:val="008A1202"/>
    <w:rsid w:val="008A16FF"/>
    <w:rsid w:val="008A1814"/>
    <w:rsid w:val="008A188F"/>
    <w:rsid w:val="008A198A"/>
    <w:rsid w:val="008A1DD1"/>
    <w:rsid w:val="008A1E42"/>
    <w:rsid w:val="008A204B"/>
    <w:rsid w:val="008A20CA"/>
    <w:rsid w:val="008A23FE"/>
    <w:rsid w:val="008A2813"/>
    <w:rsid w:val="008A28F3"/>
    <w:rsid w:val="008A2952"/>
    <w:rsid w:val="008A339D"/>
    <w:rsid w:val="008A36DA"/>
    <w:rsid w:val="008A3DAA"/>
    <w:rsid w:val="008A3E3B"/>
    <w:rsid w:val="008A3EA9"/>
    <w:rsid w:val="008A3FD3"/>
    <w:rsid w:val="008A4332"/>
    <w:rsid w:val="008A44C8"/>
    <w:rsid w:val="008A4594"/>
    <w:rsid w:val="008A4940"/>
    <w:rsid w:val="008A4B51"/>
    <w:rsid w:val="008A4D96"/>
    <w:rsid w:val="008A4EBB"/>
    <w:rsid w:val="008A5053"/>
    <w:rsid w:val="008A556F"/>
    <w:rsid w:val="008A587F"/>
    <w:rsid w:val="008A5A9A"/>
    <w:rsid w:val="008A64D2"/>
    <w:rsid w:val="008A6838"/>
    <w:rsid w:val="008A6917"/>
    <w:rsid w:val="008A6D04"/>
    <w:rsid w:val="008A720B"/>
    <w:rsid w:val="008A723F"/>
    <w:rsid w:val="008A72BC"/>
    <w:rsid w:val="008A751D"/>
    <w:rsid w:val="008A7D06"/>
    <w:rsid w:val="008A7E7B"/>
    <w:rsid w:val="008B005D"/>
    <w:rsid w:val="008B012C"/>
    <w:rsid w:val="008B0507"/>
    <w:rsid w:val="008B0624"/>
    <w:rsid w:val="008B065A"/>
    <w:rsid w:val="008B0740"/>
    <w:rsid w:val="008B0A42"/>
    <w:rsid w:val="008B0EB2"/>
    <w:rsid w:val="008B10DB"/>
    <w:rsid w:val="008B113D"/>
    <w:rsid w:val="008B116A"/>
    <w:rsid w:val="008B12EC"/>
    <w:rsid w:val="008B15B8"/>
    <w:rsid w:val="008B1792"/>
    <w:rsid w:val="008B1DB1"/>
    <w:rsid w:val="008B1ECB"/>
    <w:rsid w:val="008B1EF1"/>
    <w:rsid w:val="008B1F9F"/>
    <w:rsid w:val="008B2256"/>
    <w:rsid w:val="008B236D"/>
    <w:rsid w:val="008B2440"/>
    <w:rsid w:val="008B2BB6"/>
    <w:rsid w:val="008B2D8C"/>
    <w:rsid w:val="008B2F5F"/>
    <w:rsid w:val="008B31F0"/>
    <w:rsid w:val="008B3709"/>
    <w:rsid w:val="008B38ED"/>
    <w:rsid w:val="008B3A82"/>
    <w:rsid w:val="008B3A89"/>
    <w:rsid w:val="008B3BB0"/>
    <w:rsid w:val="008B3EDD"/>
    <w:rsid w:val="008B3F54"/>
    <w:rsid w:val="008B46AC"/>
    <w:rsid w:val="008B47EC"/>
    <w:rsid w:val="008B505A"/>
    <w:rsid w:val="008B5470"/>
    <w:rsid w:val="008B552A"/>
    <w:rsid w:val="008B5569"/>
    <w:rsid w:val="008B5657"/>
    <w:rsid w:val="008B5986"/>
    <w:rsid w:val="008B599B"/>
    <w:rsid w:val="008B5FC0"/>
    <w:rsid w:val="008B6841"/>
    <w:rsid w:val="008B6A50"/>
    <w:rsid w:val="008B6BCC"/>
    <w:rsid w:val="008B6BE6"/>
    <w:rsid w:val="008B6C6D"/>
    <w:rsid w:val="008B6D6B"/>
    <w:rsid w:val="008B7070"/>
    <w:rsid w:val="008B77EB"/>
    <w:rsid w:val="008B78ED"/>
    <w:rsid w:val="008B79B1"/>
    <w:rsid w:val="008B7A50"/>
    <w:rsid w:val="008B7A9C"/>
    <w:rsid w:val="008B7B1C"/>
    <w:rsid w:val="008C044F"/>
    <w:rsid w:val="008C04F3"/>
    <w:rsid w:val="008C0602"/>
    <w:rsid w:val="008C0745"/>
    <w:rsid w:val="008C0899"/>
    <w:rsid w:val="008C0C27"/>
    <w:rsid w:val="008C0E9A"/>
    <w:rsid w:val="008C1242"/>
    <w:rsid w:val="008C144C"/>
    <w:rsid w:val="008C19AA"/>
    <w:rsid w:val="008C1D98"/>
    <w:rsid w:val="008C206C"/>
    <w:rsid w:val="008C2096"/>
    <w:rsid w:val="008C2148"/>
    <w:rsid w:val="008C2571"/>
    <w:rsid w:val="008C29AC"/>
    <w:rsid w:val="008C29CF"/>
    <w:rsid w:val="008C2C5D"/>
    <w:rsid w:val="008C2E15"/>
    <w:rsid w:val="008C2E99"/>
    <w:rsid w:val="008C2EDE"/>
    <w:rsid w:val="008C331F"/>
    <w:rsid w:val="008C3732"/>
    <w:rsid w:val="008C3A7D"/>
    <w:rsid w:val="008C3DFA"/>
    <w:rsid w:val="008C3E5C"/>
    <w:rsid w:val="008C3ECA"/>
    <w:rsid w:val="008C3F4B"/>
    <w:rsid w:val="008C3FEE"/>
    <w:rsid w:val="008C4116"/>
    <w:rsid w:val="008C4200"/>
    <w:rsid w:val="008C4809"/>
    <w:rsid w:val="008C4B0E"/>
    <w:rsid w:val="008C4C82"/>
    <w:rsid w:val="008C4D5C"/>
    <w:rsid w:val="008C50E6"/>
    <w:rsid w:val="008C51B1"/>
    <w:rsid w:val="008C530D"/>
    <w:rsid w:val="008C5713"/>
    <w:rsid w:val="008C5DD1"/>
    <w:rsid w:val="008C5E93"/>
    <w:rsid w:val="008C60AC"/>
    <w:rsid w:val="008C631D"/>
    <w:rsid w:val="008C648D"/>
    <w:rsid w:val="008C681E"/>
    <w:rsid w:val="008C6864"/>
    <w:rsid w:val="008C68B0"/>
    <w:rsid w:val="008C6ACC"/>
    <w:rsid w:val="008C7415"/>
    <w:rsid w:val="008C79F3"/>
    <w:rsid w:val="008C7EF8"/>
    <w:rsid w:val="008C7F86"/>
    <w:rsid w:val="008D0290"/>
    <w:rsid w:val="008D083F"/>
    <w:rsid w:val="008D0A29"/>
    <w:rsid w:val="008D0DB2"/>
    <w:rsid w:val="008D0E90"/>
    <w:rsid w:val="008D0F21"/>
    <w:rsid w:val="008D16E1"/>
    <w:rsid w:val="008D1874"/>
    <w:rsid w:val="008D1E1B"/>
    <w:rsid w:val="008D1EDE"/>
    <w:rsid w:val="008D235A"/>
    <w:rsid w:val="008D29EB"/>
    <w:rsid w:val="008D2A21"/>
    <w:rsid w:val="008D2AE3"/>
    <w:rsid w:val="008D2E34"/>
    <w:rsid w:val="008D2F14"/>
    <w:rsid w:val="008D3477"/>
    <w:rsid w:val="008D3549"/>
    <w:rsid w:val="008D3650"/>
    <w:rsid w:val="008D379C"/>
    <w:rsid w:val="008D37E9"/>
    <w:rsid w:val="008D399D"/>
    <w:rsid w:val="008D3C5B"/>
    <w:rsid w:val="008D3D64"/>
    <w:rsid w:val="008D3D9B"/>
    <w:rsid w:val="008D3FC2"/>
    <w:rsid w:val="008D426F"/>
    <w:rsid w:val="008D45FF"/>
    <w:rsid w:val="008D4F20"/>
    <w:rsid w:val="008D5A93"/>
    <w:rsid w:val="008D5ADC"/>
    <w:rsid w:val="008D5CDD"/>
    <w:rsid w:val="008D5FAA"/>
    <w:rsid w:val="008D600E"/>
    <w:rsid w:val="008D6139"/>
    <w:rsid w:val="008D6564"/>
    <w:rsid w:val="008D678F"/>
    <w:rsid w:val="008D67C7"/>
    <w:rsid w:val="008D6A2B"/>
    <w:rsid w:val="008D6DF0"/>
    <w:rsid w:val="008D737A"/>
    <w:rsid w:val="008D7523"/>
    <w:rsid w:val="008D780C"/>
    <w:rsid w:val="008D7A2B"/>
    <w:rsid w:val="008D7AB3"/>
    <w:rsid w:val="008D7C9B"/>
    <w:rsid w:val="008D7F20"/>
    <w:rsid w:val="008D7F89"/>
    <w:rsid w:val="008E02B9"/>
    <w:rsid w:val="008E08BA"/>
    <w:rsid w:val="008E0C66"/>
    <w:rsid w:val="008E0E12"/>
    <w:rsid w:val="008E127B"/>
    <w:rsid w:val="008E1301"/>
    <w:rsid w:val="008E14E2"/>
    <w:rsid w:val="008E1596"/>
    <w:rsid w:val="008E16CB"/>
    <w:rsid w:val="008E1713"/>
    <w:rsid w:val="008E171F"/>
    <w:rsid w:val="008E177E"/>
    <w:rsid w:val="008E183B"/>
    <w:rsid w:val="008E18B2"/>
    <w:rsid w:val="008E1BA7"/>
    <w:rsid w:val="008E1FFD"/>
    <w:rsid w:val="008E216F"/>
    <w:rsid w:val="008E231B"/>
    <w:rsid w:val="008E25AF"/>
    <w:rsid w:val="008E2B19"/>
    <w:rsid w:val="008E2C6C"/>
    <w:rsid w:val="008E32A5"/>
    <w:rsid w:val="008E348A"/>
    <w:rsid w:val="008E3665"/>
    <w:rsid w:val="008E3AA7"/>
    <w:rsid w:val="008E3CBD"/>
    <w:rsid w:val="008E3E38"/>
    <w:rsid w:val="008E412E"/>
    <w:rsid w:val="008E43C0"/>
    <w:rsid w:val="008E44B2"/>
    <w:rsid w:val="008E44D4"/>
    <w:rsid w:val="008E4BF2"/>
    <w:rsid w:val="008E4C25"/>
    <w:rsid w:val="008E4C5A"/>
    <w:rsid w:val="008E4D13"/>
    <w:rsid w:val="008E50D4"/>
    <w:rsid w:val="008E5978"/>
    <w:rsid w:val="008E5F53"/>
    <w:rsid w:val="008E5F5E"/>
    <w:rsid w:val="008E656C"/>
    <w:rsid w:val="008E672E"/>
    <w:rsid w:val="008E6991"/>
    <w:rsid w:val="008E6B02"/>
    <w:rsid w:val="008E6D2A"/>
    <w:rsid w:val="008E6D31"/>
    <w:rsid w:val="008E6E00"/>
    <w:rsid w:val="008E7005"/>
    <w:rsid w:val="008E70E2"/>
    <w:rsid w:val="008E74DD"/>
    <w:rsid w:val="008E74EB"/>
    <w:rsid w:val="008E753C"/>
    <w:rsid w:val="008E7968"/>
    <w:rsid w:val="008E79F9"/>
    <w:rsid w:val="008E7B1D"/>
    <w:rsid w:val="008E7D72"/>
    <w:rsid w:val="008F03A9"/>
    <w:rsid w:val="008F0570"/>
    <w:rsid w:val="008F0738"/>
    <w:rsid w:val="008F07F1"/>
    <w:rsid w:val="008F087F"/>
    <w:rsid w:val="008F0A62"/>
    <w:rsid w:val="008F0C92"/>
    <w:rsid w:val="008F0F73"/>
    <w:rsid w:val="008F1039"/>
    <w:rsid w:val="008F13D4"/>
    <w:rsid w:val="008F1488"/>
    <w:rsid w:val="008F157F"/>
    <w:rsid w:val="008F182C"/>
    <w:rsid w:val="008F1AA3"/>
    <w:rsid w:val="008F1C0B"/>
    <w:rsid w:val="008F1E49"/>
    <w:rsid w:val="008F1FC9"/>
    <w:rsid w:val="008F20C0"/>
    <w:rsid w:val="008F20D1"/>
    <w:rsid w:val="008F212F"/>
    <w:rsid w:val="008F273A"/>
    <w:rsid w:val="008F2AEC"/>
    <w:rsid w:val="008F2B98"/>
    <w:rsid w:val="008F2BF8"/>
    <w:rsid w:val="008F2F71"/>
    <w:rsid w:val="008F3276"/>
    <w:rsid w:val="008F34A3"/>
    <w:rsid w:val="008F34AD"/>
    <w:rsid w:val="008F3666"/>
    <w:rsid w:val="008F3670"/>
    <w:rsid w:val="008F3776"/>
    <w:rsid w:val="008F4780"/>
    <w:rsid w:val="008F4A6A"/>
    <w:rsid w:val="008F4B83"/>
    <w:rsid w:val="008F4B86"/>
    <w:rsid w:val="008F4DCE"/>
    <w:rsid w:val="008F51F8"/>
    <w:rsid w:val="008F5409"/>
    <w:rsid w:val="008F5799"/>
    <w:rsid w:val="008F58C3"/>
    <w:rsid w:val="008F5A50"/>
    <w:rsid w:val="008F5BBC"/>
    <w:rsid w:val="008F5D22"/>
    <w:rsid w:val="008F64AE"/>
    <w:rsid w:val="008F650F"/>
    <w:rsid w:val="008F6622"/>
    <w:rsid w:val="008F67C6"/>
    <w:rsid w:val="008F67CC"/>
    <w:rsid w:val="008F68D9"/>
    <w:rsid w:val="008F69B6"/>
    <w:rsid w:val="008F6A7D"/>
    <w:rsid w:val="008F6AA9"/>
    <w:rsid w:val="008F6B7F"/>
    <w:rsid w:val="008F6D7A"/>
    <w:rsid w:val="008F7180"/>
    <w:rsid w:val="008F7204"/>
    <w:rsid w:val="008F7541"/>
    <w:rsid w:val="008F768D"/>
    <w:rsid w:val="008F795D"/>
    <w:rsid w:val="008F7A8B"/>
    <w:rsid w:val="008F7ACB"/>
    <w:rsid w:val="008F7ACF"/>
    <w:rsid w:val="008F7B9D"/>
    <w:rsid w:val="008F7BF1"/>
    <w:rsid w:val="009002D5"/>
    <w:rsid w:val="009004F9"/>
    <w:rsid w:val="00900AD9"/>
    <w:rsid w:val="00900D40"/>
    <w:rsid w:val="0090136F"/>
    <w:rsid w:val="00901515"/>
    <w:rsid w:val="00901617"/>
    <w:rsid w:val="0090178A"/>
    <w:rsid w:val="00901CA9"/>
    <w:rsid w:val="00901EBF"/>
    <w:rsid w:val="00902498"/>
    <w:rsid w:val="0090250A"/>
    <w:rsid w:val="00902F17"/>
    <w:rsid w:val="00903210"/>
    <w:rsid w:val="00903B2D"/>
    <w:rsid w:val="00903B38"/>
    <w:rsid w:val="00903E66"/>
    <w:rsid w:val="00903EE7"/>
    <w:rsid w:val="0090435C"/>
    <w:rsid w:val="00904422"/>
    <w:rsid w:val="00904435"/>
    <w:rsid w:val="0090449A"/>
    <w:rsid w:val="00904544"/>
    <w:rsid w:val="00904678"/>
    <w:rsid w:val="009046F1"/>
    <w:rsid w:val="00904E87"/>
    <w:rsid w:val="00905284"/>
    <w:rsid w:val="009057E4"/>
    <w:rsid w:val="00905BCD"/>
    <w:rsid w:val="00906485"/>
    <w:rsid w:val="00906898"/>
    <w:rsid w:val="00906A77"/>
    <w:rsid w:val="00906C86"/>
    <w:rsid w:val="009070B2"/>
    <w:rsid w:val="0090713A"/>
    <w:rsid w:val="00907270"/>
    <w:rsid w:val="0090753C"/>
    <w:rsid w:val="00907D7D"/>
    <w:rsid w:val="0091040D"/>
    <w:rsid w:val="0091046D"/>
    <w:rsid w:val="00910899"/>
    <w:rsid w:val="00910D05"/>
    <w:rsid w:val="00910D66"/>
    <w:rsid w:val="00910DD0"/>
    <w:rsid w:val="00911402"/>
    <w:rsid w:val="00911711"/>
    <w:rsid w:val="009118D5"/>
    <w:rsid w:val="009119BC"/>
    <w:rsid w:val="00911DD3"/>
    <w:rsid w:val="00912094"/>
    <w:rsid w:val="009121EC"/>
    <w:rsid w:val="009122A2"/>
    <w:rsid w:val="0091274B"/>
    <w:rsid w:val="00912901"/>
    <w:rsid w:val="00912998"/>
    <w:rsid w:val="00912BD7"/>
    <w:rsid w:val="00912CB5"/>
    <w:rsid w:val="00912FDA"/>
    <w:rsid w:val="00912FFE"/>
    <w:rsid w:val="00913147"/>
    <w:rsid w:val="00913175"/>
    <w:rsid w:val="009135B4"/>
    <w:rsid w:val="0091373C"/>
    <w:rsid w:val="0091394B"/>
    <w:rsid w:val="00913E1A"/>
    <w:rsid w:val="0091412C"/>
    <w:rsid w:val="00914390"/>
    <w:rsid w:val="009143C1"/>
    <w:rsid w:val="009147E1"/>
    <w:rsid w:val="00914939"/>
    <w:rsid w:val="009154AD"/>
    <w:rsid w:val="009154F4"/>
    <w:rsid w:val="009154F8"/>
    <w:rsid w:val="00915543"/>
    <w:rsid w:val="009157E4"/>
    <w:rsid w:val="009158C2"/>
    <w:rsid w:val="009158D8"/>
    <w:rsid w:val="0091605C"/>
    <w:rsid w:val="00916467"/>
    <w:rsid w:val="009165F8"/>
    <w:rsid w:val="00916744"/>
    <w:rsid w:val="0091697F"/>
    <w:rsid w:val="00916AF2"/>
    <w:rsid w:val="00916BE2"/>
    <w:rsid w:val="00916BFE"/>
    <w:rsid w:val="00916E48"/>
    <w:rsid w:val="00916ECA"/>
    <w:rsid w:val="00916EF1"/>
    <w:rsid w:val="00916F6F"/>
    <w:rsid w:val="0091764D"/>
    <w:rsid w:val="0091795F"/>
    <w:rsid w:val="00917B03"/>
    <w:rsid w:val="00917E3C"/>
    <w:rsid w:val="00917F3E"/>
    <w:rsid w:val="00917FE5"/>
    <w:rsid w:val="00920050"/>
    <w:rsid w:val="009201AB"/>
    <w:rsid w:val="00920307"/>
    <w:rsid w:val="00920880"/>
    <w:rsid w:val="00920C4F"/>
    <w:rsid w:val="00920D46"/>
    <w:rsid w:val="00920D51"/>
    <w:rsid w:val="00920F48"/>
    <w:rsid w:val="00920FA3"/>
    <w:rsid w:val="00920FB6"/>
    <w:rsid w:val="0092112A"/>
    <w:rsid w:val="00921457"/>
    <w:rsid w:val="00921543"/>
    <w:rsid w:val="009215A8"/>
    <w:rsid w:val="00921ABD"/>
    <w:rsid w:val="00922638"/>
    <w:rsid w:val="009229E0"/>
    <w:rsid w:val="00922B14"/>
    <w:rsid w:val="00922C6E"/>
    <w:rsid w:val="00923373"/>
    <w:rsid w:val="009234F1"/>
    <w:rsid w:val="00923509"/>
    <w:rsid w:val="0092357F"/>
    <w:rsid w:val="0092379A"/>
    <w:rsid w:val="00923C30"/>
    <w:rsid w:val="00923F1E"/>
    <w:rsid w:val="00924101"/>
    <w:rsid w:val="00924586"/>
    <w:rsid w:val="00924996"/>
    <w:rsid w:val="009250FC"/>
    <w:rsid w:val="009251E8"/>
    <w:rsid w:val="0092523E"/>
    <w:rsid w:val="009259B1"/>
    <w:rsid w:val="00925BDC"/>
    <w:rsid w:val="00925BE6"/>
    <w:rsid w:val="00925EEC"/>
    <w:rsid w:val="00926088"/>
    <w:rsid w:val="00926237"/>
    <w:rsid w:val="0092655F"/>
    <w:rsid w:val="0092672C"/>
    <w:rsid w:val="009267F0"/>
    <w:rsid w:val="00926879"/>
    <w:rsid w:val="0092687E"/>
    <w:rsid w:val="0092699E"/>
    <w:rsid w:val="00926D75"/>
    <w:rsid w:val="00926FA7"/>
    <w:rsid w:val="00926FCE"/>
    <w:rsid w:val="00927B8A"/>
    <w:rsid w:val="00927BA6"/>
    <w:rsid w:val="00927DA3"/>
    <w:rsid w:val="009300C1"/>
    <w:rsid w:val="00930739"/>
    <w:rsid w:val="009307B7"/>
    <w:rsid w:val="00930D7A"/>
    <w:rsid w:val="00930F49"/>
    <w:rsid w:val="00930FC4"/>
    <w:rsid w:val="009310EE"/>
    <w:rsid w:val="009311F6"/>
    <w:rsid w:val="009314C4"/>
    <w:rsid w:val="00931680"/>
    <w:rsid w:val="00931965"/>
    <w:rsid w:val="00931FE9"/>
    <w:rsid w:val="009325D3"/>
    <w:rsid w:val="00932938"/>
    <w:rsid w:val="009329DA"/>
    <w:rsid w:val="00932C54"/>
    <w:rsid w:val="0093308F"/>
    <w:rsid w:val="0093323A"/>
    <w:rsid w:val="0093323B"/>
    <w:rsid w:val="009334D3"/>
    <w:rsid w:val="009335E7"/>
    <w:rsid w:val="00933635"/>
    <w:rsid w:val="009338B8"/>
    <w:rsid w:val="00933F64"/>
    <w:rsid w:val="00933FD5"/>
    <w:rsid w:val="009342B5"/>
    <w:rsid w:val="00934AE4"/>
    <w:rsid w:val="00934B24"/>
    <w:rsid w:val="00934DBD"/>
    <w:rsid w:val="00934EC6"/>
    <w:rsid w:val="00934F27"/>
    <w:rsid w:val="0093520F"/>
    <w:rsid w:val="00935228"/>
    <w:rsid w:val="00935550"/>
    <w:rsid w:val="009357F5"/>
    <w:rsid w:val="0093581E"/>
    <w:rsid w:val="0093590F"/>
    <w:rsid w:val="00935948"/>
    <w:rsid w:val="009359CB"/>
    <w:rsid w:val="00936309"/>
    <w:rsid w:val="0093640D"/>
    <w:rsid w:val="009368BD"/>
    <w:rsid w:val="00936A22"/>
    <w:rsid w:val="00936DE1"/>
    <w:rsid w:val="00936E3E"/>
    <w:rsid w:val="009371F2"/>
    <w:rsid w:val="0093739E"/>
    <w:rsid w:val="009376F6"/>
    <w:rsid w:val="009377E9"/>
    <w:rsid w:val="00937822"/>
    <w:rsid w:val="009378BE"/>
    <w:rsid w:val="00937DBB"/>
    <w:rsid w:val="00937E36"/>
    <w:rsid w:val="00937EB5"/>
    <w:rsid w:val="0094039A"/>
    <w:rsid w:val="00940679"/>
    <w:rsid w:val="0094078D"/>
    <w:rsid w:val="00940812"/>
    <w:rsid w:val="0094099D"/>
    <w:rsid w:val="00940BA5"/>
    <w:rsid w:val="00940C0C"/>
    <w:rsid w:val="00940D19"/>
    <w:rsid w:val="00940EDA"/>
    <w:rsid w:val="00941174"/>
    <w:rsid w:val="00941435"/>
    <w:rsid w:val="00941635"/>
    <w:rsid w:val="00941683"/>
    <w:rsid w:val="009416B1"/>
    <w:rsid w:val="00941719"/>
    <w:rsid w:val="00941C86"/>
    <w:rsid w:val="00941CF8"/>
    <w:rsid w:val="00942255"/>
    <w:rsid w:val="00942825"/>
    <w:rsid w:val="00942C89"/>
    <w:rsid w:val="00942CAD"/>
    <w:rsid w:val="00942CDF"/>
    <w:rsid w:val="00942D46"/>
    <w:rsid w:val="00942DBE"/>
    <w:rsid w:val="009430B5"/>
    <w:rsid w:val="0094312E"/>
    <w:rsid w:val="00943616"/>
    <w:rsid w:val="00943857"/>
    <w:rsid w:val="009439A9"/>
    <w:rsid w:val="00943B64"/>
    <w:rsid w:val="00943B70"/>
    <w:rsid w:val="00943DFB"/>
    <w:rsid w:val="00943FF9"/>
    <w:rsid w:val="00944025"/>
    <w:rsid w:val="009444B1"/>
    <w:rsid w:val="00944667"/>
    <w:rsid w:val="00944C8B"/>
    <w:rsid w:val="00944D10"/>
    <w:rsid w:val="00944EB9"/>
    <w:rsid w:val="009450BB"/>
    <w:rsid w:val="00945511"/>
    <w:rsid w:val="009457F6"/>
    <w:rsid w:val="009459CB"/>
    <w:rsid w:val="00945D70"/>
    <w:rsid w:val="009461B9"/>
    <w:rsid w:val="00946241"/>
    <w:rsid w:val="009463C1"/>
    <w:rsid w:val="00946BDA"/>
    <w:rsid w:val="00946DFD"/>
    <w:rsid w:val="00946F92"/>
    <w:rsid w:val="0094704F"/>
    <w:rsid w:val="009470AC"/>
    <w:rsid w:val="0094734B"/>
    <w:rsid w:val="00947464"/>
    <w:rsid w:val="00947557"/>
    <w:rsid w:val="00947A7B"/>
    <w:rsid w:val="00947BF5"/>
    <w:rsid w:val="00947C09"/>
    <w:rsid w:val="00950295"/>
    <w:rsid w:val="009504C6"/>
    <w:rsid w:val="00950565"/>
    <w:rsid w:val="00950680"/>
    <w:rsid w:val="009506F2"/>
    <w:rsid w:val="00950EE8"/>
    <w:rsid w:val="00951241"/>
    <w:rsid w:val="00951361"/>
    <w:rsid w:val="0095139E"/>
    <w:rsid w:val="009514EA"/>
    <w:rsid w:val="0095150B"/>
    <w:rsid w:val="00951530"/>
    <w:rsid w:val="0095156A"/>
    <w:rsid w:val="00951720"/>
    <w:rsid w:val="00951BE9"/>
    <w:rsid w:val="00951FDD"/>
    <w:rsid w:val="00952192"/>
    <w:rsid w:val="009521A9"/>
    <w:rsid w:val="0095226D"/>
    <w:rsid w:val="0095229D"/>
    <w:rsid w:val="00952394"/>
    <w:rsid w:val="0095309A"/>
    <w:rsid w:val="00953446"/>
    <w:rsid w:val="0095361E"/>
    <w:rsid w:val="009538E3"/>
    <w:rsid w:val="00953905"/>
    <w:rsid w:val="00953B25"/>
    <w:rsid w:val="00953EAB"/>
    <w:rsid w:val="00953F8E"/>
    <w:rsid w:val="0095405D"/>
    <w:rsid w:val="009540A1"/>
    <w:rsid w:val="009541D6"/>
    <w:rsid w:val="00954480"/>
    <w:rsid w:val="00954740"/>
    <w:rsid w:val="009548C6"/>
    <w:rsid w:val="00954B44"/>
    <w:rsid w:val="00954F46"/>
    <w:rsid w:val="00954F50"/>
    <w:rsid w:val="00955850"/>
    <w:rsid w:val="009559F9"/>
    <w:rsid w:val="00955AEE"/>
    <w:rsid w:val="00956140"/>
    <w:rsid w:val="00956349"/>
    <w:rsid w:val="00956456"/>
    <w:rsid w:val="00956ADD"/>
    <w:rsid w:val="00956E59"/>
    <w:rsid w:val="0095712C"/>
    <w:rsid w:val="0095756A"/>
    <w:rsid w:val="00957964"/>
    <w:rsid w:val="00957ADC"/>
    <w:rsid w:val="00957B3A"/>
    <w:rsid w:val="00957C8D"/>
    <w:rsid w:val="00957DBF"/>
    <w:rsid w:val="00957E03"/>
    <w:rsid w:val="00957E29"/>
    <w:rsid w:val="00957F0A"/>
    <w:rsid w:val="00957F2A"/>
    <w:rsid w:val="00960301"/>
    <w:rsid w:val="0096050E"/>
    <w:rsid w:val="00960644"/>
    <w:rsid w:val="009608ED"/>
    <w:rsid w:val="00960BF9"/>
    <w:rsid w:val="00960F8E"/>
    <w:rsid w:val="0096112D"/>
    <w:rsid w:val="00961214"/>
    <w:rsid w:val="009612E5"/>
    <w:rsid w:val="00961362"/>
    <w:rsid w:val="00961409"/>
    <w:rsid w:val="0096146F"/>
    <w:rsid w:val="00961479"/>
    <w:rsid w:val="009614F4"/>
    <w:rsid w:val="00961814"/>
    <w:rsid w:val="00961AFC"/>
    <w:rsid w:val="00961C9D"/>
    <w:rsid w:val="00961CC0"/>
    <w:rsid w:val="00961F8C"/>
    <w:rsid w:val="0096204B"/>
    <w:rsid w:val="0096268B"/>
    <w:rsid w:val="00962950"/>
    <w:rsid w:val="00962B2E"/>
    <w:rsid w:val="00962BC7"/>
    <w:rsid w:val="00962CF6"/>
    <w:rsid w:val="009636F1"/>
    <w:rsid w:val="0096388E"/>
    <w:rsid w:val="009639B2"/>
    <w:rsid w:val="00963A35"/>
    <w:rsid w:val="00963BBA"/>
    <w:rsid w:val="00963CAF"/>
    <w:rsid w:val="00963CD9"/>
    <w:rsid w:val="00963CEB"/>
    <w:rsid w:val="00963FBB"/>
    <w:rsid w:val="0096422D"/>
    <w:rsid w:val="0096431D"/>
    <w:rsid w:val="00964399"/>
    <w:rsid w:val="009644A4"/>
    <w:rsid w:val="009644B9"/>
    <w:rsid w:val="009644D3"/>
    <w:rsid w:val="009644E6"/>
    <w:rsid w:val="0096467E"/>
    <w:rsid w:val="009646F9"/>
    <w:rsid w:val="0096480E"/>
    <w:rsid w:val="00964E3B"/>
    <w:rsid w:val="00965570"/>
    <w:rsid w:val="00965711"/>
    <w:rsid w:val="009657CE"/>
    <w:rsid w:val="0096588C"/>
    <w:rsid w:val="00965EDE"/>
    <w:rsid w:val="00966135"/>
    <w:rsid w:val="00966AE7"/>
    <w:rsid w:val="00966B7E"/>
    <w:rsid w:val="00966DA8"/>
    <w:rsid w:val="00966DDD"/>
    <w:rsid w:val="009670D8"/>
    <w:rsid w:val="00967143"/>
    <w:rsid w:val="00967279"/>
    <w:rsid w:val="00967282"/>
    <w:rsid w:val="009674DD"/>
    <w:rsid w:val="00967539"/>
    <w:rsid w:val="00967640"/>
    <w:rsid w:val="009679A5"/>
    <w:rsid w:val="00967A41"/>
    <w:rsid w:val="00967A75"/>
    <w:rsid w:val="00967CBA"/>
    <w:rsid w:val="00970159"/>
    <w:rsid w:val="00970167"/>
    <w:rsid w:val="009701D1"/>
    <w:rsid w:val="00970523"/>
    <w:rsid w:val="00970658"/>
    <w:rsid w:val="00970764"/>
    <w:rsid w:val="00970875"/>
    <w:rsid w:val="00970C34"/>
    <w:rsid w:val="00970DA0"/>
    <w:rsid w:val="00970E5B"/>
    <w:rsid w:val="0097107A"/>
    <w:rsid w:val="00971193"/>
    <w:rsid w:val="0097123E"/>
    <w:rsid w:val="009715AC"/>
    <w:rsid w:val="009715D1"/>
    <w:rsid w:val="00971A79"/>
    <w:rsid w:val="00971B25"/>
    <w:rsid w:val="00971BA6"/>
    <w:rsid w:val="00971BB1"/>
    <w:rsid w:val="00972087"/>
    <w:rsid w:val="00972335"/>
    <w:rsid w:val="00972351"/>
    <w:rsid w:val="009723B4"/>
    <w:rsid w:val="0097241A"/>
    <w:rsid w:val="009725A3"/>
    <w:rsid w:val="00972786"/>
    <w:rsid w:val="00972C27"/>
    <w:rsid w:val="0097304F"/>
    <w:rsid w:val="00973158"/>
    <w:rsid w:val="00973426"/>
    <w:rsid w:val="00973469"/>
    <w:rsid w:val="009738B0"/>
    <w:rsid w:val="0097392F"/>
    <w:rsid w:val="00973B04"/>
    <w:rsid w:val="00973BEC"/>
    <w:rsid w:val="00973E4E"/>
    <w:rsid w:val="00974013"/>
    <w:rsid w:val="0097411D"/>
    <w:rsid w:val="0097489E"/>
    <w:rsid w:val="009748AB"/>
    <w:rsid w:val="00974967"/>
    <w:rsid w:val="00974BF8"/>
    <w:rsid w:val="00974D1B"/>
    <w:rsid w:val="00974DB9"/>
    <w:rsid w:val="00974DF6"/>
    <w:rsid w:val="00975153"/>
    <w:rsid w:val="00975426"/>
    <w:rsid w:val="00975594"/>
    <w:rsid w:val="00975854"/>
    <w:rsid w:val="00975977"/>
    <w:rsid w:val="00975A3A"/>
    <w:rsid w:val="00975C85"/>
    <w:rsid w:val="00975C9B"/>
    <w:rsid w:val="00975D17"/>
    <w:rsid w:val="00976638"/>
    <w:rsid w:val="009766D1"/>
    <w:rsid w:val="00976C60"/>
    <w:rsid w:val="009771DF"/>
    <w:rsid w:val="0097755D"/>
    <w:rsid w:val="00977793"/>
    <w:rsid w:val="009778CD"/>
    <w:rsid w:val="00977C00"/>
    <w:rsid w:val="00977CB3"/>
    <w:rsid w:val="009801CD"/>
    <w:rsid w:val="00980313"/>
    <w:rsid w:val="009806E3"/>
    <w:rsid w:val="009807FD"/>
    <w:rsid w:val="00980814"/>
    <w:rsid w:val="009808F8"/>
    <w:rsid w:val="00980B13"/>
    <w:rsid w:val="00980D62"/>
    <w:rsid w:val="00980FB0"/>
    <w:rsid w:val="00981011"/>
    <w:rsid w:val="00981110"/>
    <w:rsid w:val="009811C3"/>
    <w:rsid w:val="00981485"/>
    <w:rsid w:val="0098154F"/>
    <w:rsid w:val="0098164A"/>
    <w:rsid w:val="009819E6"/>
    <w:rsid w:val="00981A1F"/>
    <w:rsid w:val="00981A77"/>
    <w:rsid w:val="00981AA3"/>
    <w:rsid w:val="00981AB1"/>
    <w:rsid w:val="00981B44"/>
    <w:rsid w:val="00981BE3"/>
    <w:rsid w:val="00981FCB"/>
    <w:rsid w:val="00982157"/>
    <w:rsid w:val="009825B9"/>
    <w:rsid w:val="00982636"/>
    <w:rsid w:val="009827AD"/>
    <w:rsid w:val="009829E5"/>
    <w:rsid w:val="00982B85"/>
    <w:rsid w:val="00982E67"/>
    <w:rsid w:val="00982F34"/>
    <w:rsid w:val="009830DC"/>
    <w:rsid w:val="0098328D"/>
    <w:rsid w:val="0098351A"/>
    <w:rsid w:val="0098396D"/>
    <w:rsid w:val="009839DB"/>
    <w:rsid w:val="00983A08"/>
    <w:rsid w:val="00983BB8"/>
    <w:rsid w:val="00983CE4"/>
    <w:rsid w:val="00983E27"/>
    <w:rsid w:val="00983E91"/>
    <w:rsid w:val="00984143"/>
    <w:rsid w:val="0098414E"/>
    <w:rsid w:val="00984244"/>
    <w:rsid w:val="0098442C"/>
    <w:rsid w:val="0098479D"/>
    <w:rsid w:val="00984B66"/>
    <w:rsid w:val="00984CE1"/>
    <w:rsid w:val="0098589E"/>
    <w:rsid w:val="0098606D"/>
    <w:rsid w:val="009863D8"/>
    <w:rsid w:val="0098684F"/>
    <w:rsid w:val="00986863"/>
    <w:rsid w:val="00986924"/>
    <w:rsid w:val="00986A12"/>
    <w:rsid w:val="00987306"/>
    <w:rsid w:val="00987A21"/>
    <w:rsid w:val="00987A57"/>
    <w:rsid w:val="00987A8A"/>
    <w:rsid w:val="00987ABD"/>
    <w:rsid w:val="00987DE5"/>
    <w:rsid w:val="009900B1"/>
    <w:rsid w:val="009900FA"/>
    <w:rsid w:val="00990139"/>
    <w:rsid w:val="0099017B"/>
    <w:rsid w:val="009909C3"/>
    <w:rsid w:val="00990B5B"/>
    <w:rsid w:val="0099107B"/>
    <w:rsid w:val="00991285"/>
    <w:rsid w:val="009913FE"/>
    <w:rsid w:val="00991521"/>
    <w:rsid w:val="00991534"/>
    <w:rsid w:val="0099153F"/>
    <w:rsid w:val="009915A2"/>
    <w:rsid w:val="00991697"/>
    <w:rsid w:val="00991722"/>
    <w:rsid w:val="0099195F"/>
    <w:rsid w:val="00991977"/>
    <w:rsid w:val="00991AAE"/>
    <w:rsid w:val="00991E8B"/>
    <w:rsid w:val="00991FE0"/>
    <w:rsid w:val="0099234D"/>
    <w:rsid w:val="00992416"/>
    <w:rsid w:val="009925DF"/>
    <w:rsid w:val="00992799"/>
    <w:rsid w:val="00992804"/>
    <w:rsid w:val="009929A2"/>
    <w:rsid w:val="00992F63"/>
    <w:rsid w:val="00993405"/>
    <w:rsid w:val="00993436"/>
    <w:rsid w:val="0099347F"/>
    <w:rsid w:val="00993689"/>
    <w:rsid w:val="00993CEE"/>
    <w:rsid w:val="00993E0E"/>
    <w:rsid w:val="0099413E"/>
    <w:rsid w:val="009942CF"/>
    <w:rsid w:val="0099445E"/>
    <w:rsid w:val="00994478"/>
    <w:rsid w:val="00994528"/>
    <w:rsid w:val="00994576"/>
    <w:rsid w:val="00994945"/>
    <w:rsid w:val="00994DDF"/>
    <w:rsid w:val="00994E58"/>
    <w:rsid w:val="009951C9"/>
    <w:rsid w:val="00995809"/>
    <w:rsid w:val="009959C5"/>
    <w:rsid w:val="00995E4F"/>
    <w:rsid w:val="00995F89"/>
    <w:rsid w:val="009964A9"/>
    <w:rsid w:val="0099669E"/>
    <w:rsid w:val="009967E3"/>
    <w:rsid w:val="009969B1"/>
    <w:rsid w:val="00996CB3"/>
    <w:rsid w:val="00996D8B"/>
    <w:rsid w:val="00996DFF"/>
    <w:rsid w:val="0099718C"/>
    <w:rsid w:val="00997510"/>
    <w:rsid w:val="00997809"/>
    <w:rsid w:val="0099799F"/>
    <w:rsid w:val="009979EA"/>
    <w:rsid w:val="00997BA3"/>
    <w:rsid w:val="00997D91"/>
    <w:rsid w:val="00997EB8"/>
    <w:rsid w:val="009A1267"/>
    <w:rsid w:val="009A1378"/>
    <w:rsid w:val="009A13BF"/>
    <w:rsid w:val="009A13DE"/>
    <w:rsid w:val="009A181B"/>
    <w:rsid w:val="009A1827"/>
    <w:rsid w:val="009A18B4"/>
    <w:rsid w:val="009A1D52"/>
    <w:rsid w:val="009A201E"/>
    <w:rsid w:val="009A210A"/>
    <w:rsid w:val="009A21A7"/>
    <w:rsid w:val="009A25CC"/>
    <w:rsid w:val="009A28FA"/>
    <w:rsid w:val="009A296C"/>
    <w:rsid w:val="009A2C69"/>
    <w:rsid w:val="009A2E35"/>
    <w:rsid w:val="009A2E5B"/>
    <w:rsid w:val="009A2E5D"/>
    <w:rsid w:val="009A2E97"/>
    <w:rsid w:val="009A3351"/>
    <w:rsid w:val="009A3723"/>
    <w:rsid w:val="009A3993"/>
    <w:rsid w:val="009A3B38"/>
    <w:rsid w:val="009A3C9A"/>
    <w:rsid w:val="009A3E0D"/>
    <w:rsid w:val="009A3E3F"/>
    <w:rsid w:val="009A4048"/>
    <w:rsid w:val="009A4637"/>
    <w:rsid w:val="009A4703"/>
    <w:rsid w:val="009A48C0"/>
    <w:rsid w:val="009A4939"/>
    <w:rsid w:val="009A4953"/>
    <w:rsid w:val="009A4A9B"/>
    <w:rsid w:val="009A4CBB"/>
    <w:rsid w:val="009A4D2D"/>
    <w:rsid w:val="009A4ED7"/>
    <w:rsid w:val="009A5126"/>
    <w:rsid w:val="009A524D"/>
    <w:rsid w:val="009A5368"/>
    <w:rsid w:val="009A5ABE"/>
    <w:rsid w:val="009A60C5"/>
    <w:rsid w:val="009A68C0"/>
    <w:rsid w:val="009A69FD"/>
    <w:rsid w:val="009A6A02"/>
    <w:rsid w:val="009A6EA2"/>
    <w:rsid w:val="009A7069"/>
    <w:rsid w:val="009A7236"/>
    <w:rsid w:val="009A7278"/>
    <w:rsid w:val="009A74AA"/>
    <w:rsid w:val="009A7560"/>
    <w:rsid w:val="009A76A4"/>
    <w:rsid w:val="009A789D"/>
    <w:rsid w:val="009A7978"/>
    <w:rsid w:val="009A7CF4"/>
    <w:rsid w:val="009A7E4D"/>
    <w:rsid w:val="009B00BE"/>
    <w:rsid w:val="009B038F"/>
    <w:rsid w:val="009B059B"/>
    <w:rsid w:val="009B0F4E"/>
    <w:rsid w:val="009B0FBC"/>
    <w:rsid w:val="009B1119"/>
    <w:rsid w:val="009B14E3"/>
    <w:rsid w:val="009B15A0"/>
    <w:rsid w:val="009B15DD"/>
    <w:rsid w:val="009B1AB8"/>
    <w:rsid w:val="009B1C93"/>
    <w:rsid w:val="009B1E99"/>
    <w:rsid w:val="009B244E"/>
    <w:rsid w:val="009B2A65"/>
    <w:rsid w:val="009B2DAB"/>
    <w:rsid w:val="009B3187"/>
    <w:rsid w:val="009B34AD"/>
    <w:rsid w:val="009B350A"/>
    <w:rsid w:val="009B3537"/>
    <w:rsid w:val="009B3559"/>
    <w:rsid w:val="009B3AE8"/>
    <w:rsid w:val="009B3DF5"/>
    <w:rsid w:val="009B409A"/>
    <w:rsid w:val="009B427F"/>
    <w:rsid w:val="009B4289"/>
    <w:rsid w:val="009B4369"/>
    <w:rsid w:val="009B43D6"/>
    <w:rsid w:val="009B4548"/>
    <w:rsid w:val="009B48D0"/>
    <w:rsid w:val="009B4BFA"/>
    <w:rsid w:val="009B4C58"/>
    <w:rsid w:val="009B50B4"/>
    <w:rsid w:val="009B51BF"/>
    <w:rsid w:val="009B56B4"/>
    <w:rsid w:val="009B5789"/>
    <w:rsid w:val="009B5B2A"/>
    <w:rsid w:val="009B64A5"/>
    <w:rsid w:val="009B650F"/>
    <w:rsid w:val="009B69E8"/>
    <w:rsid w:val="009B6D39"/>
    <w:rsid w:val="009B745C"/>
    <w:rsid w:val="009B7520"/>
    <w:rsid w:val="009B76A2"/>
    <w:rsid w:val="009B7797"/>
    <w:rsid w:val="009B781E"/>
    <w:rsid w:val="009B7BC5"/>
    <w:rsid w:val="009B7C5C"/>
    <w:rsid w:val="009B7C6C"/>
    <w:rsid w:val="009B7CCF"/>
    <w:rsid w:val="009C0014"/>
    <w:rsid w:val="009C0581"/>
    <w:rsid w:val="009C05BC"/>
    <w:rsid w:val="009C05DD"/>
    <w:rsid w:val="009C0C02"/>
    <w:rsid w:val="009C0CBB"/>
    <w:rsid w:val="009C0D7A"/>
    <w:rsid w:val="009C0E32"/>
    <w:rsid w:val="009C0E81"/>
    <w:rsid w:val="009C0FDE"/>
    <w:rsid w:val="009C1085"/>
    <w:rsid w:val="009C124D"/>
    <w:rsid w:val="009C1621"/>
    <w:rsid w:val="009C197F"/>
    <w:rsid w:val="009C1A65"/>
    <w:rsid w:val="009C1AA9"/>
    <w:rsid w:val="009C214D"/>
    <w:rsid w:val="009C223D"/>
    <w:rsid w:val="009C22F0"/>
    <w:rsid w:val="009C2326"/>
    <w:rsid w:val="009C2588"/>
    <w:rsid w:val="009C2813"/>
    <w:rsid w:val="009C2A46"/>
    <w:rsid w:val="009C2B33"/>
    <w:rsid w:val="009C2B3F"/>
    <w:rsid w:val="009C2C1D"/>
    <w:rsid w:val="009C2C32"/>
    <w:rsid w:val="009C2DC6"/>
    <w:rsid w:val="009C3113"/>
    <w:rsid w:val="009C3241"/>
    <w:rsid w:val="009C3282"/>
    <w:rsid w:val="009C337E"/>
    <w:rsid w:val="009C347C"/>
    <w:rsid w:val="009C3A83"/>
    <w:rsid w:val="009C3D4C"/>
    <w:rsid w:val="009C4137"/>
    <w:rsid w:val="009C42C5"/>
    <w:rsid w:val="009C4451"/>
    <w:rsid w:val="009C450E"/>
    <w:rsid w:val="009C48BD"/>
    <w:rsid w:val="009C4B45"/>
    <w:rsid w:val="009C4D93"/>
    <w:rsid w:val="009C4E81"/>
    <w:rsid w:val="009C4FE0"/>
    <w:rsid w:val="009C533B"/>
    <w:rsid w:val="009C56B7"/>
    <w:rsid w:val="009C588F"/>
    <w:rsid w:val="009C5A8F"/>
    <w:rsid w:val="009C5B8B"/>
    <w:rsid w:val="009C64F4"/>
    <w:rsid w:val="009C662E"/>
    <w:rsid w:val="009C6819"/>
    <w:rsid w:val="009C6C6B"/>
    <w:rsid w:val="009C7349"/>
    <w:rsid w:val="009C75E0"/>
    <w:rsid w:val="009C75E2"/>
    <w:rsid w:val="009C798D"/>
    <w:rsid w:val="009C7E46"/>
    <w:rsid w:val="009C7F36"/>
    <w:rsid w:val="009D03E9"/>
    <w:rsid w:val="009D081E"/>
    <w:rsid w:val="009D0A11"/>
    <w:rsid w:val="009D0B78"/>
    <w:rsid w:val="009D0E7D"/>
    <w:rsid w:val="009D0FBF"/>
    <w:rsid w:val="009D10AC"/>
    <w:rsid w:val="009D111B"/>
    <w:rsid w:val="009D1299"/>
    <w:rsid w:val="009D1713"/>
    <w:rsid w:val="009D1871"/>
    <w:rsid w:val="009D19D5"/>
    <w:rsid w:val="009D1A10"/>
    <w:rsid w:val="009D21D2"/>
    <w:rsid w:val="009D2652"/>
    <w:rsid w:val="009D28D9"/>
    <w:rsid w:val="009D2C33"/>
    <w:rsid w:val="009D35AD"/>
    <w:rsid w:val="009D3EBE"/>
    <w:rsid w:val="009D4174"/>
    <w:rsid w:val="009D4A42"/>
    <w:rsid w:val="009D4B5E"/>
    <w:rsid w:val="009D505C"/>
    <w:rsid w:val="009D5103"/>
    <w:rsid w:val="009D511D"/>
    <w:rsid w:val="009D518A"/>
    <w:rsid w:val="009D53FD"/>
    <w:rsid w:val="009D5A67"/>
    <w:rsid w:val="009D5BC8"/>
    <w:rsid w:val="009D5E60"/>
    <w:rsid w:val="009D5F22"/>
    <w:rsid w:val="009D6324"/>
    <w:rsid w:val="009D6965"/>
    <w:rsid w:val="009D6A55"/>
    <w:rsid w:val="009D7268"/>
    <w:rsid w:val="009D7387"/>
    <w:rsid w:val="009D76B8"/>
    <w:rsid w:val="009D7B85"/>
    <w:rsid w:val="009D7BAD"/>
    <w:rsid w:val="009D7F3E"/>
    <w:rsid w:val="009E00B7"/>
    <w:rsid w:val="009E04D5"/>
    <w:rsid w:val="009E04E9"/>
    <w:rsid w:val="009E06DE"/>
    <w:rsid w:val="009E0983"/>
    <w:rsid w:val="009E1EE8"/>
    <w:rsid w:val="009E1FB0"/>
    <w:rsid w:val="009E208F"/>
    <w:rsid w:val="009E212D"/>
    <w:rsid w:val="009E2236"/>
    <w:rsid w:val="009E23AB"/>
    <w:rsid w:val="009E2A05"/>
    <w:rsid w:val="009E2ED7"/>
    <w:rsid w:val="009E3D0E"/>
    <w:rsid w:val="009E3EF1"/>
    <w:rsid w:val="009E3EFC"/>
    <w:rsid w:val="009E3F15"/>
    <w:rsid w:val="009E4A48"/>
    <w:rsid w:val="009E4B0D"/>
    <w:rsid w:val="009E4CEE"/>
    <w:rsid w:val="009E4D6B"/>
    <w:rsid w:val="009E4E32"/>
    <w:rsid w:val="009E5119"/>
    <w:rsid w:val="009E52B1"/>
    <w:rsid w:val="009E5305"/>
    <w:rsid w:val="009E5531"/>
    <w:rsid w:val="009E55C1"/>
    <w:rsid w:val="009E5A92"/>
    <w:rsid w:val="009E5AF1"/>
    <w:rsid w:val="009E6065"/>
    <w:rsid w:val="009E6109"/>
    <w:rsid w:val="009E6191"/>
    <w:rsid w:val="009E6478"/>
    <w:rsid w:val="009E65C9"/>
    <w:rsid w:val="009E666A"/>
    <w:rsid w:val="009E671D"/>
    <w:rsid w:val="009E694D"/>
    <w:rsid w:val="009E6A8B"/>
    <w:rsid w:val="009E6AC1"/>
    <w:rsid w:val="009E72D4"/>
    <w:rsid w:val="009E749B"/>
    <w:rsid w:val="009E78DC"/>
    <w:rsid w:val="009E7929"/>
    <w:rsid w:val="009F000A"/>
    <w:rsid w:val="009F0054"/>
    <w:rsid w:val="009F0284"/>
    <w:rsid w:val="009F03CE"/>
    <w:rsid w:val="009F0522"/>
    <w:rsid w:val="009F0582"/>
    <w:rsid w:val="009F0613"/>
    <w:rsid w:val="009F0695"/>
    <w:rsid w:val="009F088B"/>
    <w:rsid w:val="009F0A7C"/>
    <w:rsid w:val="009F0C2D"/>
    <w:rsid w:val="009F0D30"/>
    <w:rsid w:val="009F0DA7"/>
    <w:rsid w:val="009F0FD5"/>
    <w:rsid w:val="009F104D"/>
    <w:rsid w:val="009F10B1"/>
    <w:rsid w:val="009F1244"/>
    <w:rsid w:val="009F15B7"/>
    <w:rsid w:val="009F1B58"/>
    <w:rsid w:val="009F206E"/>
    <w:rsid w:val="009F2307"/>
    <w:rsid w:val="009F29FF"/>
    <w:rsid w:val="009F2B8E"/>
    <w:rsid w:val="009F2CF4"/>
    <w:rsid w:val="009F2F96"/>
    <w:rsid w:val="009F3096"/>
    <w:rsid w:val="009F3133"/>
    <w:rsid w:val="009F36FC"/>
    <w:rsid w:val="009F3740"/>
    <w:rsid w:val="009F3905"/>
    <w:rsid w:val="009F3920"/>
    <w:rsid w:val="009F39CF"/>
    <w:rsid w:val="009F3CA5"/>
    <w:rsid w:val="009F3DA5"/>
    <w:rsid w:val="009F3E14"/>
    <w:rsid w:val="009F3EED"/>
    <w:rsid w:val="009F4022"/>
    <w:rsid w:val="009F427E"/>
    <w:rsid w:val="009F42D5"/>
    <w:rsid w:val="009F4328"/>
    <w:rsid w:val="009F4E86"/>
    <w:rsid w:val="009F4EDC"/>
    <w:rsid w:val="009F553C"/>
    <w:rsid w:val="009F561E"/>
    <w:rsid w:val="009F564B"/>
    <w:rsid w:val="009F5668"/>
    <w:rsid w:val="009F5763"/>
    <w:rsid w:val="009F57CB"/>
    <w:rsid w:val="009F5823"/>
    <w:rsid w:val="009F5DD0"/>
    <w:rsid w:val="009F6134"/>
    <w:rsid w:val="009F613C"/>
    <w:rsid w:val="009F6525"/>
    <w:rsid w:val="009F6743"/>
    <w:rsid w:val="009F6DBF"/>
    <w:rsid w:val="009F6FA5"/>
    <w:rsid w:val="009F706A"/>
    <w:rsid w:val="009F71AF"/>
    <w:rsid w:val="009F7582"/>
    <w:rsid w:val="009F79D2"/>
    <w:rsid w:val="009F7ACA"/>
    <w:rsid w:val="009F7AFB"/>
    <w:rsid w:val="009F7D44"/>
    <w:rsid w:val="009F7DAF"/>
    <w:rsid w:val="00A00061"/>
    <w:rsid w:val="00A00226"/>
    <w:rsid w:val="00A003B6"/>
    <w:rsid w:val="00A00470"/>
    <w:rsid w:val="00A006CC"/>
    <w:rsid w:val="00A006DA"/>
    <w:rsid w:val="00A00B72"/>
    <w:rsid w:val="00A00D7E"/>
    <w:rsid w:val="00A00DFE"/>
    <w:rsid w:val="00A00E6D"/>
    <w:rsid w:val="00A00F65"/>
    <w:rsid w:val="00A0107D"/>
    <w:rsid w:val="00A01167"/>
    <w:rsid w:val="00A01545"/>
    <w:rsid w:val="00A0160B"/>
    <w:rsid w:val="00A017E2"/>
    <w:rsid w:val="00A01972"/>
    <w:rsid w:val="00A01989"/>
    <w:rsid w:val="00A01B3D"/>
    <w:rsid w:val="00A01EEF"/>
    <w:rsid w:val="00A01F64"/>
    <w:rsid w:val="00A0223B"/>
    <w:rsid w:val="00A02403"/>
    <w:rsid w:val="00A02909"/>
    <w:rsid w:val="00A02C82"/>
    <w:rsid w:val="00A02CA2"/>
    <w:rsid w:val="00A02CBC"/>
    <w:rsid w:val="00A02E6A"/>
    <w:rsid w:val="00A02F99"/>
    <w:rsid w:val="00A03125"/>
    <w:rsid w:val="00A03285"/>
    <w:rsid w:val="00A03479"/>
    <w:rsid w:val="00A03A2C"/>
    <w:rsid w:val="00A03A9E"/>
    <w:rsid w:val="00A0403A"/>
    <w:rsid w:val="00A0407F"/>
    <w:rsid w:val="00A04261"/>
    <w:rsid w:val="00A04378"/>
    <w:rsid w:val="00A04425"/>
    <w:rsid w:val="00A046FB"/>
    <w:rsid w:val="00A048B6"/>
    <w:rsid w:val="00A04DC2"/>
    <w:rsid w:val="00A052C8"/>
    <w:rsid w:val="00A05680"/>
    <w:rsid w:val="00A05960"/>
    <w:rsid w:val="00A059DD"/>
    <w:rsid w:val="00A05D26"/>
    <w:rsid w:val="00A05D4C"/>
    <w:rsid w:val="00A05F91"/>
    <w:rsid w:val="00A06428"/>
    <w:rsid w:val="00A06768"/>
    <w:rsid w:val="00A06868"/>
    <w:rsid w:val="00A06AE7"/>
    <w:rsid w:val="00A06C17"/>
    <w:rsid w:val="00A06C2C"/>
    <w:rsid w:val="00A070F3"/>
    <w:rsid w:val="00A071D5"/>
    <w:rsid w:val="00A0721C"/>
    <w:rsid w:val="00A0743A"/>
    <w:rsid w:val="00A0752F"/>
    <w:rsid w:val="00A07953"/>
    <w:rsid w:val="00A07CF9"/>
    <w:rsid w:val="00A07D36"/>
    <w:rsid w:val="00A07D5F"/>
    <w:rsid w:val="00A10083"/>
    <w:rsid w:val="00A10127"/>
    <w:rsid w:val="00A10553"/>
    <w:rsid w:val="00A10627"/>
    <w:rsid w:val="00A106C5"/>
    <w:rsid w:val="00A10D42"/>
    <w:rsid w:val="00A11067"/>
    <w:rsid w:val="00A11140"/>
    <w:rsid w:val="00A1118E"/>
    <w:rsid w:val="00A111DF"/>
    <w:rsid w:val="00A11250"/>
    <w:rsid w:val="00A11676"/>
    <w:rsid w:val="00A11CCB"/>
    <w:rsid w:val="00A123FA"/>
    <w:rsid w:val="00A12DF8"/>
    <w:rsid w:val="00A130C4"/>
    <w:rsid w:val="00A1387A"/>
    <w:rsid w:val="00A13984"/>
    <w:rsid w:val="00A13CBD"/>
    <w:rsid w:val="00A13D19"/>
    <w:rsid w:val="00A13D9E"/>
    <w:rsid w:val="00A13EFD"/>
    <w:rsid w:val="00A14203"/>
    <w:rsid w:val="00A1432E"/>
    <w:rsid w:val="00A1445D"/>
    <w:rsid w:val="00A14582"/>
    <w:rsid w:val="00A14890"/>
    <w:rsid w:val="00A14AA8"/>
    <w:rsid w:val="00A14D2E"/>
    <w:rsid w:val="00A14DA1"/>
    <w:rsid w:val="00A14FB6"/>
    <w:rsid w:val="00A151F5"/>
    <w:rsid w:val="00A15529"/>
    <w:rsid w:val="00A155B6"/>
    <w:rsid w:val="00A156BE"/>
    <w:rsid w:val="00A157B3"/>
    <w:rsid w:val="00A157F9"/>
    <w:rsid w:val="00A15860"/>
    <w:rsid w:val="00A15FA9"/>
    <w:rsid w:val="00A15FBF"/>
    <w:rsid w:val="00A16106"/>
    <w:rsid w:val="00A161B9"/>
    <w:rsid w:val="00A16213"/>
    <w:rsid w:val="00A16220"/>
    <w:rsid w:val="00A162F8"/>
    <w:rsid w:val="00A165C3"/>
    <w:rsid w:val="00A16A51"/>
    <w:rsid w:val="00A1724B"/>
    <w:rsid w:val="00A1725B"/>
    <w:rsid w:val="00A172ED"/>
    <w:rsid w:val="00A176C6"/>
    <w:rsid w:val="00A17772"/>
    <w:rsid w:val="00A179AE"/>
    <w:rsid w:val="00A17AD1"/>
    <w:rsid w:val="00A17CA2"/>
    <w:rsid w:val="00A20212"/>
    <w:rsid w:val="00A202A7"/>
    <w:rsid w:val="00A20321"/>
    <w:rsid w:val="00A20346"/>
    <w:rsid w:val="00A204DC"/>
    <w:rsid w:val="00A20750"/>
    <w:rsid w:val="00A2089A"/>
    <w:rsid w:val="00A20A64"/>
    <w:rsid w:val="00A20D35"/>
    <w:rsid w:val="00A20F92"/>
    <w:rsid w:val="00A2159F"/>
    <w:rsid w:val="00A21725"/>
    <w:rsid w:val="00A218B8"/>
    <w:rsid w:val="00A219E9"/>
    <w:rsid w:val="00A21A11"/>
    <w:rsid w:val="00A21BB7"/>
    <w:rsid w:val="00A21BBC"/>
    <w:rsid w:val="00A2202D"/>
    <w:rsid w:val="00A22074"/>
    <w:rsid w:val="00A22596"/>
    <w:rsid w:val="00A226DD"/>
    <w:rsid w:val="00A22B18"/>
    <w:rsid w:val="00A22F44"/>
    <w:rsid w:val="00A23314"/>
    <w:rsid w:val="00A234E9"/>
    <w:rsid w:val="00A23786"/>
    <w:rsid w:val="00A239CE"/>
    <w:rsid w:val="00A23BCE"/>
    <w:rsid w:val="00A24147"/>
    <w:rsid w:val="00A246B1"/>
    <w:rsid w:val="00A248B2"/>
    <w:rsid w:val="00A249BC"/>
    <w:rsid w:val="00A24A6C"/>
    <w:rsid w:val="00A24F9A"/>
    <w:rsid w:val="00A25037"/>
    <w:rsid w:val="00A2504B"/>
    <w:rsid w:val="00A255EA"/>
    <w:rsid w:val="00A25899"/>
    <w:rsid w:val="00A2597D"/>
    <w:rsid w:val="00A25CA1"/>
    <w:rsid w:val="00A25F09"/>
    <w:rsid w:val="00A26004"/>
    <w:rsid w:val="00A26081"/>
    <w:rsid w:val="00A261F8"/>
    <w:rsid w:val="00A2668B"/>
    <w:rsid w:val="00A267BC"/>
    <w:rsid w:val="00A26821"/>
    <w:rsid w:val="00A2689D"/>
    <w:rsid w:val="00A269EE"/>
    <w:rsid w:val="00A26F7D"/>
    <w:rsid w:val="00A271D1"/>
    <w:rsid w:val="00A27227"/>
    <w:rsid w:val="00A27248"/>
    <w:rsid w:val="00A272F9"/>
    <w:rsid w:val="00A27341"/>
    <w:rsid w:val="00A27489"/>
    <w:rsid w:val="00A2756F"/>
    <w:rsid w:val="00A277E8"/>
    <w:rsid w:val="00A27AB3"/>
    <w:rsid w:val="00A27B85"/>
    <w:rsid w:val="00A27B8E"/>
    <w:rsid w:val="00A27E62"/>
    <w:rsid w:val="00A27F2B"/>
    <w:rsid w:val="00A27F54"/>
    <w:rsid w:val="00A30148"/>
    <w:rsid w:val="00A30153"/>
    <w:rsid w:val="00A304B4"/>
    <w:rsid w:val="00A308E1"/>
    <w:rsid w:val="00A30E52"/>
    <w:rsid w:val="00A30E5E"/>
    <w:rsid w:val="00A31147"/>
    <w:rsid w:val="00A31434"/>
    <w:rsid w:val="00A317C9"/>
    <w:rsid w:val="00A31807"/>
    <w:rsid w:val="00A31A38"/>
    <w:rsid w:val="00A31FA5"/>
    <w:rsid w:val="00A320C0"/>
    <w:rsid w:val="00A320E5"/>
    <w:rsid w:val="00A32181"/>
    <w:rsid w:val="00A325EC"/>
    <w:rsid w:val="00A327D7"/>
    <w:rsid w:val="00A3280C"/>
    <w:rsid w:val="00A32B86"/>
    <w:rsid w:val="00A32F2B"/>
    <w:rsid w:val="00A32F86"/>
    <w:rsid w:val="00A33603"/>
    <w:rsid w:val="00A336F2"/>
    <w:rsid w:val="00A33FFC"/>
    <w:rsid w:val="00A34FDE"/>
    <w:rsid w:val="00A35282"/>
    <w:rsid w:val="00A353B1"/>
    <w:rsid w:val="00A354AB"/>
    <w:rsid w:val="00A356B1"/>
    <w:rsid w:val="00A357AF"/>
    <w:rsid w:val="00A35827"/>
    <w:rsid w:val="00A3590C"/>
    <w:rsid w:val="00A35969"/>
    <w:rsid w:val="00A359DB"/>
    <w:rsid w:val="00A360D5"/>
    <w:rsid w:val="00A361A7"/>
    <w:rsid w:val="00A361C5"/>
    <w:rsid w:val="00A362C1"/>
    <w:rsid w:val="00A3697D"/>
    <w:rsid w:val="00A36980"/>
    <w:rsid w:val="00A36B5C"/>
    <w:rsid w:val="00A36CCC"/>
    <w:rsid w:val="00A36CED"/>
    <w:rsid w:val="00A36D2F"/>
    <w:rsid w:val="00A36E55"/>
    <w:rsid w:val="00A370A8"/>
    <w:rsid w:val="00A37256"/>
    <w:rsid w:val="00A373B3"/>
    <w:rsid w:val="00A40363"/>
    <w:rsid w:val="00A40B7E"/>
    <w:rsid w:val="00A40EE5"/>
    <w:rsid w:val="00A40F2A"/>
    <w:rsid w:val="00A41056"/>
    <w:rsid w:val="00A41063"/>
    <w:rsid w:val="00A4137E"/>
    <w:rsid w:val="00A41678"/>
    <w:rsid w:val="00A416B6"/>
    <w:rsid w:val="00A41945"/>
    <w:rsid w:val="00A41BF2"/>
    <w:rsid w:val="00A41F4B"/>
    <w:rsid w:val="00A42035"/>
    <w:rsid w:val="00A421A5"/>
    <w:rsid w:val="00A421B1"/>
    <w:rsid w:val="00A422F3"/>
    <w:rsid w:val="00A4266D"/>
    <w:rsid w:val="00A428CF"/>
    <w:rsid w:val="00A429C1"/>
    <w:rsid w:val="00A42A63"/>
    <w:rsid w:val="00A42CC7"/>
    <w:rsid w:val="00A4331D"/>
    <w:rsid w:val="00A43443"/>
    <w:rsid w:val="00A43445"/>
    <w:rsid w:val="00A4370A"/>
    <w:rsid w:val="00A43887"/>
    <w:rsid w:val="00A4412C"/>
    <w:rsid w:val="00A441FC"/>
    <w:rsid w:val="00A444A6"/>
    <w:rsid w:val="00A44678"/>
    <w:rsid w:val="00A4476D"/>
    <w:rsid w:val="00A44824"/>
    <w:rsid w:val="00A448D9"/>
    <w:rsid w:val="00A44A89"/>
    <w:rsid w:val="00A44AED"/>
    <w:rsid w:val="00A44BBD"/>
    <w:rsid w:val="00A44D23"/>
    <w:rsid w:val="00A45027"/>
    <w:rsid w:val="00A45220"/>
    <w:rsid w:val="00A454A4"/>
    <w:rsid w:val="00A457FF"/>
    <w:rsid w:val="00A45AA0"/>
    <w:rsid w:val="00A45EDE"/>
    <w:rsid w:val="00A46149"/>
    <w:rsid w:val="00A46570"/>
    <w:rsid w:val="00A46840"/>
    <w:rsid w:val="00A468FF"/>
    <w:rsid w:val="00A46CB8"/>
    <w:rsid w:val="00A46CBC"/>
    <w:rsid w:val="00A46F75"/>
    <w:rsid w:val="00A46FD1"/>
    <w:rsid w:val="00A4744C"/>
    <w:rsid w:val="00A47607"/>
    <w:rsid w:val="00A47A91"/>
    <w:rsid w:val="00A47BF2"/>
    <w:rsid w:val="00A47E57"/>
    <w:rsid w:val="00A47F6A"/>
    <w:rsid w:val="00A47F76"/>
    <w:rsid w:val="00A5019F"/>
    <w:rsid w:val="00A502DF"/>
    <w:rsid w:val="00A503A8"/>
    <w:rsid w:val="00A50779"/>
    <w:rsid w:val="00A50856"/>
    <w:rsid w:val="00A508AA"/>
    <w:rsid w:val="00A50994"/>
    <w:rsid w:val="00A50B61"/>
    <w:rsid w:val="00A50C17"/>
    <w:rsid w:val="00A50C90"/>
    <w:rsid w:val="00A50F5C"/>
    <w:rsid w:val="00A5189F"/>
    <w:rsid w:val="00A51E4A"/>
    <w:rsid w:val="00A524EB"/>
    <w:rsid w:val="00A527EA"/>
    <w:rsid w:val="00A52C95"/>
    <w:rsid w:val="00A52E72"/>
    <w:rsid w:val="00A53133"/>
    <w:rsid w:val="00A533E9"/>
    <w:rsid w:val="00A53636"/>
    <w:rsid w:val="00A538A3"/>
    <w:rsid w:val="00A53A76"/>
    <w:rsid w:val="00A5400A"/>
    <w:rsid w:val="00A54038"/>
    <w:rsid w:val="00A5406E"/>
    <w:rsid w:val="00A542A0"/>
    <w:rsid w:val="00A5454B"/>
    <w:rsid w:val="00A54573"/>
    <w:rsid w:val="00A546B2"/>
    <w:rsid w:val="00A54A46"/>
    <w:rsid w:val="00A54BC4"/>
    <w:rsid w:val="00A54C5D"/>
    <w:rsid w:val="00A551BD"/>
    <w:rsid w:val="00A554E3"/>
    <w:rsid w:val="00A5593B"/>
    <w:rsid w:val="00A55ABB"/>
    <w:rsid w:val="00A55B11"/>
    <w:rsid w:val="00A55C5C"/>
    <w:rsid w:val="00A55E78"/>
    <w:rsid w:val="00A55FD2"/>
    <w:rsid w:val="00A56093"/>
    <w:rsid w:val="00A56182"/>
    <w:rsid w:val="00A56236"/>
    <w:rsid w:val="00A5676B"/>
    <w:rsid w:val="00A567D4"/>
    <w:rsid w:val="00A56927"/>
    <w:rsid w:val="00A56AAF"/>
    <w:rsid w:val="00A57077"/>
    <w:rsid w:val="00A57212"/>
    <w:rsid w:val="00A572AD"/>
    <w:rsid w:val="00A5739B"/>
    <w:rsid w:val="00A57481"/>
    <w:rsid w:val="00A5778D"/>
    <w:rsid w:val="00A577D9"/>
    <w:rsid w:val="00A577EA"/>
    <w:rsid w:val="00A57D07"/>
    <w:rsid w:val="00A60762"/>
    <w:rsid w:val="00A60822"/>
    <w:rsid w:val="00A60B38"/>
    <w:rsid w:val="00A60C85"/>
    <w:rsid w:val="00A610D0"/>
    <w:rsid w:val="00A612FA"/>
    <w:rsid w:val="00A61B98"/>
    <w:rsid w:val="00A61C47"/>
    <w:rsid w:val="00A61D44"/>
    <w:rsid w:val="00A62000"/>
    <w:rsid w:val="00A6277B"/>
    <w:rsid w:val="00A6285D"/>
    <w:rsid w:val="00A629C1"/>
    <w:rsid w:val="00A629F4"/>
    <w:rsid w:val="00A62A9E"/>
    <w:rsid w:val="00A62E73"/>
    <w:rsid w:val="00A62EA0"/>
    <w:rsid w:val="00A62F6B"/>
    <w:rsid w:val="00A632ED"/>
    <w:rsid w:val="00A63B29"/>
    <w:rsid w:val="00A63CD5"/>
    <w:rsid w:val="00A63DFF"/>
    <w:rsid w:val="00A640CA"/>
    <w:rsid w:val="00A64223"/>
    <w:rsid w:val="00A645B6"/>
    <w:rsid w:val="00A64733"/>
    <w:rsid w:val="00A648F6"/>
    <w:rsid w:val="00A64D8F"/>
    <w:rsid w:val="00A64E47"/>
    <w:rsid w:val="00A64FD4"/>
    <w:rsid w:val="00A6503B"/>
    <w:rsid w:val="00A65719"/>
    <w:rsid w:val="00A65CC1"/>
    <w:rsid w:val="00A65CF9"/>
    <w:rsid w:val="00A65DEB"/>
    <w:rsid w:val="00A66339"/>
    <w:rsid w:val="00A663D6"/>
    <w:rsid w:val="00A668A4"/>
    <w:rsid w:val="00A668E1"/>
    <w:rsid w:val="00A669EA"/>
    <w:rsid w:val="00A66C5B"/>
    <w:rsid w:val="00A66E3C"/>
    <w:rsid w:val="00A671A1"/>
    <w:rsid w:val="00A672E1"/>
    <w:rsid w:val="00A673FB"/>
    <w:rsid w:val="00A678D1"/>
    <w:rsid w:val="00A7000B"/>
    <w:rsid w:val="00A701EF"/>
    <w:rsid w:val="00A705E7"/>
    <w:rsid w:val="00A70B09"/>
    <w:rsid w:val="00A70BF0"/>
    <w:rsid w:val="00A70DA4"/>
    <w:rsid w:val="00A70FE5"/>
    <w:rsid w:val="00A711EE"/>
    <w:rsid w:val="00A71362"/>
    <w:rsid w:val="00A7153C"/>
    <w:rsid w:val="00A71560"/>
    <w:rsid w:val="00A71574"/>
    <w:rsid w:val="00A715AB"/>
    <w:rsid w:val="00A71643"/>
    <w:rsid w:val="00A7170A"/>
    <w:rsid w:val="00A7171D"/>
    <w:rsid w:val="00A71A9A"/>
    <w:rsid w:val="00A71AE0"/>
    <w:rsid w:val="00A71E6E"/>
    <w:rsid w:val="00A72014"/>
    <w:rsid w:val="00A7226E"/>
    <w:rsid w:val="00A72E1C"/>
    <w:rsid w:val="00A731EA"/>
    <w:rsid w:val="00A738D0"/>
    <w:rsid w:val="00A73A45"/>
    <w:rsid w:val="00A73AA0"/>
    <w:rsid w:val="00A73AF1"/>
    <w:rsid w:val="00A73E67"/>
    <w:rsid w:val="00A73E8A"/>
    <w:rsid w:val="00A73F6E"/>
    <w:rsid w:val="00A74023"/>
    <w:rsid w:val="00A74302"/>
    <w:rsid w:val="00A743AC"/>
    <w:rsid w:val="00A74629"/>
    <w:rsid w:val="00A7476B"/>
    <w:rsid w:val="00A74906"/>
    <w:rsid w:val="00A74A5C"/>
    <w:rsid w:val="00A75024"/>
    <w:rsid w:val="00A75098"/>
    <w:rsid w:val="00A754AF"/>
    <w:rsid w:val="00A756D5"/>
    <w:rsid w:val="00A75A85"/>
    <w:rsid w:val="00A75EC9"/>
    <w:rsid w:val="00A76324"/>
    <w:rsid w:val="00A765C4"/>
    <w:rsid w:val="00A76E63"/>
    <w:rsid w:val="00A7705F"/>
    <w:rsid w:val="00A772C4"/>
    <w:rsid w:val="00A775C5"/>
    <w:rsid w:val="00A77902"/>
    <w:rsid w:val="00A803F1"/>
    <w:rsid w:val="00A805D4"/>
    <w:rsid w:val="00A80684"/>
    <w:rsid w:val="00A8090B"/>
    <w:rsid w:val="00A80E7D"/>
    <w:rsid w:val="00A80F39"/>
    <w:rsid w:val="00A80FDF"/>
    <w:rsid w:val="00A811CC"/>
    <w:rsid w:val="00A814FC"/>
    <w:rsid w:val="00A81783"/>
    <w:rsid w:val="00A818EF"/>
    <w:rsid w:val="00A819BA"/>
    <w:rsid w:val="00A81B03"/>
    <w:rsid w:val="00A81B38"/>
    <w:rsid w:val="00A81CCA"/>
    <w:rsid w:val="00A81EC0"/>
    <w:rsid w:val="00A820D2"/>
    <w:rsid w:val="00A8274D"/>
    <w:rsid w:val="00A82B61"/>
    <w:rsid w:val="00A82CB6"/>
    <w:rsid w:val="00A82EC5"/>
    <w:rsid w:val="00A83033"/>
    <w:rsid w:val="00A8325E"/>
    <w:rsid w:val="00A833EE"/>
    <w:rsid w:val="00A83BFB"/>
    <w:rsid w:val="00A83F1D"/>
    <w:rsid w:val="00A83FC8"/>
    <w:rsid w:val="00A841F6"/>
    <w:rsid w:val="00A847EB"/>
    <w:rsid w:val="00A84C55"/>
    <w:rsid w:val="00A84C73"/>
    <w:rsid w:val="00A84F6E"/>
    <w:rsid w:val="00A85166"/>
    <w:rsid w:val="00A85559"/>
    <w:rsid w:val="00A8594E"/>
    <w:rsid w:val="00A85A5E"/>
    <w:rsid w:val="00A85C6C"/>
    <w:rsid w:val="00A85DCE"/>
    <w:rsid w:val="00A861C4"/>
    <w:rsid w:val="00A861E5"/>
    <w:rsid w:val="00A8634E"/>
    <w:rsid w:val="00A863DC"/>
    <w:rsid w:val="00A86733"/>
    <w:rsid w:val="00A868AF"/>
    <w:rsid w:val="00A86B04"/>
    <w:rsid w:val="00A86B4E"/>
    <w:rsid w:val="00A86C4E"/>
    <w:rsid w:val="00A8791D"/>
    <w:rsid w:val="00A87A04"/>
    <w:rsid w:val="00A87B56"/>
    <w:rsid w:val="00A87BA9"/>
    <w:rsid w:val="00A90049"/>
    <w:rsid w:val="00A90112"/>
    <w:rsid w:val="00A9031E"/>
    <w:rsid w:val="00A90366"/>
    <w:rsid w:val="00A903DD"/>
    <w:rsid w:val="00A90B93"/>
    <w:rsid w:val="00A90FB0"/>
    <w:rsid w:val="00A90FE4"/>
    <w:rsid w:val="00A911ED"/>
    <w:rsid w:val="00A912DA"/>
    <w:rsid w:val="00A91300"/>
    <w:rsid w:val="00A91342"/>
    <w:rsid w:val="00A91436"/>
    <w:rsid w:val="00A9151D"/>
    <w:rsid w:val="00A91774"/>
    <w:rsid w:val="00A91785"/>
    <w:rsid w:val="00A9181F"/>
    <w:rsid w:val="00A9186E"/>
    <w:rsid w:val="00A918D7"/>
    <w:rsid w:val="00A91A90"/>
    <w:rsid w:val="00A91AA7"/>
    <w:rsid w:val="00A921F7"/>
    <w:rsid w:val="00A92706"/>
    <w:rsid w:val="00A928E8"/>
    <w:rsid w:val="00A9295E"/>
    <w:rsid w:val="00A9299C"/>
    <w:rsid w:val="00A929E4"/>
    <w:rsid w:val="00A92CC9"/>
    <w:rsid w:val="00A92CFB"/>
    <w:rsid w:val="00A92D8D"/>
    <w:rsid w:val="00A92E2E"/>
    <w:rsid w:val="00A92E96"/>
    <w:rsid w:val="00A931A7"/>
    <w:rsid w:val="00A93535"/>
    <w:rsid w:val="00A93556"/>
    <w:rsid w:val="00A9391A"/>
    <w:rsid w:val="00A93A58"/>
    <w:rsid w:val="00A93F27"/>
    <w:rsid w:val="00A94839"/>
    <w:rsid w:val="00A94B05"/>
    <w:rsid w:val="00A94B90"/>
    <w:rsid w:val="00A94C59"/>
    <w:rsid w:val="00A94E9B"/>
    <w:rsid w:val="00A953DC"/>
    <w:rsid w:val="00A9578A"/>
    <w:rsid w:val="00A957F3"/>
    <w:rsid w:val="00A95810"/>
    <w:rsid w:val="00A959FB"/>
    <w:rsid w:val="00A960AB"/>
    <w:rsid w:val="00A964C4"/>
    <w:rsid w:val="00A96644"/>
    <w:rsid w:val="00A96924"/>
    <w:rsid w:val="00A97085"/>
    <w:rsid w:val="00A970D2"/>
    <w:rsid w:val="00A973C4"/>
    <w:rsid w:val="00A976C5"/>
    <w:rsid w:val="00A97854"/>
    <w:rsid w:val="00A978C4"/>
    <w:rsid w:val="00A978CF"/>
    <w:rsid w:val="00A9792A"/>
    <w:rsid w:val="00A97B81"/>
    <w:rsid w:val="00A97B9B"/>
    <w:rsid w:val="00AA041E"/>
    <w:rsid w:val="00AA04F9"/>
    <w:rsid w:val="00AA0772"/>
    <w:rsid w:val="00AA07F6"/>
    <w:rsid w:val="00AA08FD"/>
    <w:rsid w:val="00AA0966"/>
    <w:rsid w:val="00AA09AE"/>
    <w:rsid w:val="00AA0A3A"/>
    <w:rsid w:val="00AA0B78"/>
    <w:rsid w:val="00AA0C23"/>
    <w:rsid w:val="00AA0C31"/>
    <w:rsid w:val="00AA0C68"/>
    <w:rsid w:val="00AA0D0B"/>
    <w:rsid w:val="00AA0D85"/>
    <w:rsid w:val="00AA0EBE"/>
    <w:rsid w:val="00AA0ED3"/>
    <w:rsid w:val="00AA1192"/>
    <w:rsid w:val="00AA1231"/>
    <w:rsid w:val="00AA17C2"/>
    <w:rsid w:val="00AA1807"/>
    <w:rsid w:val="00AA19F3"/>
    <w:rsid w:val="00AA1D9D"/>
    <w:rsid w:val="00AA1F0F"/>
    <w:rsid w:val="00AA21E1"/>
    <w:rsid w:val="00AA2222"/>
    <w:rsid w:val="00AA232F"/>
    <w:rsid w:val="00AA2B83"/>
    <w:rsid w:val="00AA2C3F"/>
    <w:rsid w:val="00AA2D48"/>
    <w:rsid w:val="00AA347E"/>
    <w:rsid w:val="00AA3527"/>
    <w:rsid w:val="00AA3859"/>
    <w:rsid w:val="00AA3C20"/>
    <w:rsid w:val="00AA3C63"/>
    <w:rsid w:val="00AA3D0F"/>
    <w:rsid w:val="00AA3F60"/>
    <w:rsid w:val="00AA3FF0"/>
    <w:rsid w:val="00AA4194"/>
    <w:rsid w:val="00AA4667"/>
    <w:rsid w:val="00AA4741"/>
    <w:rsid w:val="00AA4CF5"/>
    <w:rsid w:val="00AA4D44"/>
    <w:rsid w:val="00AA4E81"/>
    <w:rsid w:val="00AA51A2"/>
    <w:rsid w:val="00AA51FF"/>
    <w:rsid w:val="00AA521E"/>
    <w:rsid w:val="00AA54E8"/>
    <w:rsid w:val="00AA55A3"/>
    <w:rsid w:val="00AA58AE"/>
    <w:rsid w:val="00AA59FB"/>
    <w:rsid w:val="00AA5A74"/>
    <w:rsid w:val="00AA5BF3"/>
    <w:rsid w:val="00AA5C14"/>
    <w:rsid w:val="00AA5C78"/>
    <w:rsid w:val="00AA5CCE"/>
    <w:rsid w:val="00AA5FD2"/>
    <w:rsid w:val="00AA60B7"/>
    <w:rsid w:val="00AA60EE"/>
    <w:rsid w:val="00AA618A"/>
    <w:rsid w:val="00AA63C2"/>
    <w:rsid w:val="00AA66D5"/>
    <w:rsid w:val="00AA6724"/>
    <w:rsid w:val="00AA67EA"/>
    <w:rsid w:val="00AA6A43"/>
    <w:rsid w:val="00AA6C70"/>
    <w:rsid w:val="00AA6D3F"/>
    <w:rsid w:val="00AA71D1"/>
    <w:rsid w:val="00AA7A10"/>
    <w:rsid w:val="00AA7A87"/>
    <w:rsid w:val="00AA7AD8"/>
    <w:rsid w:val="00AA7EC0"/>
    <w:rsid w:val="00AB0080"/>
    <w:rsid w:val="00AB0110"/>
    <w:rsid w:val="00AB03EB"/>
    <w:rsid w:val="00AB096C"/>
    <w:rsid w:val="00AB0AD8"/>
    <w:rsid w:val="00AB0CA0"/>
    <w:rsid w:val="00AB0F19"/>
    <w:rsid w:val="00AB136C"/>
    <w:rsid w:val="00AB15AF"/>
    <w:rsid w:val="00AB163F"/>
    <w:rsid w:val="00AB196F"/>
    <w:rsid w:val="00AB199F"/>
    <w:rsid w:val="00AB1BD2"/>
    <w:rsid w:val="00AB1F73"/>
    <w:rsid w:val="00AB208A"/>
    <w:rsid w:val="00AB23CB"/>
    <w:rsid w:val="00AB2A01"/>
    <w:rsid w:val="00AB2D55"/>
    <w:rsid w:val="00AB2DA8"/>
    <w:rsid w:val="00AB30ED"/>
    <w:rsid w:val="00AB3110"/>
    <w:rsid w:val="00AB31B2"/>
    <w:rsid w:val="00AB31F8"/>
    <w:rsid w:val="00AB325B"/>
    <w:rsid w:val="00AB3720"/>
    <w:rsid w:val="00AB3947"/>
    <w:rsid w:val="00AB395A"/>
    <w:rsid w:val="00AB39A2"/>
    <w:rsid w:val="00AB3AF1"/>
    <w:rsid w:val="00AB3D92"/>
    <w:rsid w:val="00AB402F"/>
    <w:rsid w:val="00AB42C0"/>
    <w:rsid w:val="00AB456C"/>
    <w:rsid w:val="00AB4693"/>
    <w:rsid w:val="00AB472B"/>
    <w:rsid w:val="00AB4788"/>
    <w:rsid w:val="00AB4A97"/>
    <w:rsid w:val="00AB4BFF"/>
    <w:rsid w:val="00AB507E"/>
    <w:rsid w:val="00AB5691"/>
    <w:rsid w:val="00AB5705"/>
    <w:rsid w:val="00AB5804"/>
    <w:rsid w:val="00AB5B9B"/>
    <w:rsid w:val="00AB5BB0"/>
    <w:rsid w:val="00AB5DBD"/>
    <w:rsid w:val="00AB5F82"/>
    <w:rsid w:val="00AB5FAF"/>
    <w:rsid w:val="00AB612F"/>
    <w:rsid w:val="00AB6B39"/>
    <w:rsid w:val="00AB7009"/>
    <w:rsid w:val="00AB7377"/>
    <w:rsid w:val="00AB7485"/>
    <w:rsid w:val="00AB7A18"/>
    <w:rsid w:val="00AB7CB6"/>
    <w:rsid w:val="00AB7D2E"/>
    <w:rsid w:val="00AB7F4A"/>
    <w:rsid w:val="00AC0123"/>
    <w:rsid w:val="00AC01C4"/>
    <w:rsid w:val="00AC04BA"/>
    <w:rsid w:val="00AC07AE"/>
    <w:rsid w:val="00AC0AA0"/>
    <w:rsid w:val="00AC0AB1"/>
    <w:rsid w:val="00AC0C05"/>
    <w:rsid w:val="00AC0DC3"/>
    <w:rsid w:val="00AC1422"/>
    <w:rsid w:val="00AC168C"/>
    <w:rsid w:val="00AC18F6"/>
    <w:rsid w:val="00AC1AEC"/>
    <w:rsid w:val="00AC1F40"/>
    <w:rsid w:val="00AC1F44"/>
    <w:rsid w:val="00AC21E1"/>
    <w:rsid w:val="00AC2907"/>
    <w:rsid w:val="00AC2BAC"/>
    <w:rsid w:val="00AC30AE"/>
    <w:rsid w:val="00AC35E3"/>
    <w:rsid w:val="00AC39EA"/>
    <w:rsid w:val="00AC3CEB"/>
    <w:rsid w:val="00AC3DDC"/>
    <w:rsid w:val="00AC40A8"/>
    <w:rsid w:val="00AC40F7"/>
    <w:rsid w:val="00AC433A"/>
    <w:rsid w:val="00AC45AC"/>
    <w:rsid w:val="00AC48BE"/>
    <w:rsid w:val="00AC4B10"/>
    <w:rsid w:val="00AC4B30"/>
    <w:rsid w:val="00AC4B91"/>
    <w:rsid w:val="00AC4F46"/>
    <w:rsid w:val="00AC5283"/>
    <w:rsid w:val="00AC56A4"/>
    <w:rsid w:val="00AC5725"/>
    <w:rsid w:val="00AC5AE1"/>
    <w:rsid w:val="00AC6635"/>
    <w:rsid w:val="00AC6793"/>
    <w:rsid w:val="00AC6E02"/>
    <w:rsid w:val="00AC7495"/>
    <w:rsid w:val="00AC75B1"/>
    <w:rsid w:val="00AC77B2"/>
    <w:rsid w:val="00AC7A1D"/>
    <w:rsid w:val="00AC7E88"/>
    <w:rsid w:val="00AC7EED"/>
    <w:rsid w:val="00AD01AC"/>
    <w:rsid w:val="00AD0280"/>
    <w:rsid w:val="00AD03A8"/>
    <w:rsid w:val="00AD049A"/>
    <w:rsid w:val="00AD05E3"/>
    <w:rsid w:val="00AD061D"/>
    <w:rsid w:val="00AD069C"/>
    <w:rsid w:val="00AD13AE"/>
    <w:rsid w:val="00AD162F"/>
    <w:rsid w:val="00AD1947"/>
    <w:rsid w:val="00AD1BB3"/>
    <w:rsid w:val="00AD1BCC"/>
    <w:rsid w:val="00AD1EB5"/>
    <w:rsid w:val="00AD1EC2"/>
    <w:rsid w:val="00AD20F1"/>
    <w:rsid w:val="00AD2AB0"/>
    <w:rsid w:val="00AD2F72"/>
    <w:rsid w:val="00AD3215"/>
    <w:rsid w:val="00AD34EC"/>
    <w:rsid w:val="00AD35DA"/>
    <w:rsid w:val="00AD37DE"/>
    <w:rsid w:val="00AD3AF5"/>
    <w:rsid w:val="00AD3D82"/>
    <w:rsid w:val="00AD3DC8"/>
    <w:rsid w:val="00AD3F47"/>
    <w:rsid w:val="00AD3F6F"/>
    <w:rsid w:val="00AD3F82"/>
    <w:rsid w:val="00AD4043"/>
    <w:rsid w:val="00AD4490"/>
    <w:rsid w:val="00AD45C6"/>
    <w:rsid w:val="00AD46F8"/>
    <w:rsid w:val="00AD4ACB"/>
    <w:rsid w:val="00AD4D56"/>
    <w:rsid w:val="00AD4EF9"/>
    <w:rsid w:val="00AD52CA"/>
    <w:rsid w:val="00AD58B9"/>
    <w:rsid w:val="00AD5F6D"/>
    <w:rsid w:val="00AD5F77"/>
    <w:rsid w:val="00AD6017"/>
    <w:rsid w:val="00AD61E9"/>
    <w:rsid w:val="00AD631A"/>
    <w:rsid w:val="00AD638E"/>
    <w:rsid w:val="00AD6849"/>
    <w:rsid w:val="00AD6F35"/>
    <w:rsid w:val="00AD70DC"/>
    <w:rsid w:val="00AD73A3"/>
    <w:rsid w:val="00AD794A"/>
    <w:rsid w:val="00AD7E68"/>
    <w:rsid w:val="00AD7F39"/>
    <w:rsid w:val="00AE0049"/>
    <w:rsid w:val="00AE01B9"/>
    <w:rsid w:val="00AE03AD"/>
    <w:rsid w:val="00AE0A0E"/>
    <w:rsid w:val="00AE0E0A"/>
    <w:rsid w:val="00AE0F34"/>
    <w:rsid w:val="00AE0F6D"/>
    <w:rsid w:val="00AE106B"/>
    <w:rsid w:val="00AE1205"/>
    <w:rsid w:val="00AE13CC"/>
    <w:rsid w:val="00AE13EE"/>
    <w:rsid w:val="00AE15B1"/>
    <w:rsid w:val="00AE1775"/>
    <w:rsid w:val="00AE17C7"/>
    <w:rsid w:val="00AE1990"/>
    <w:rsid w:val="00AE1BCD"/>
    <w:rsid w:val="00AE2022"/>
    <w:rsid w:val="00AE2089"/>
    <w:rsid w:val="00AE23AC"/>
    <w:rsid w:val="00AE25ED"/>
    <w:rsid w:val="00AE291C"/>
    <w:rsid w:val="00AE29D1"/>
    <w:rsid w:val="00AE2B81"/>
    <w:rsid w:val="00AE2C5D"/>
    <w:rsid w:val="00AE2E7C"/>
    <w:rsid w:val="00AE3049"/>
    <w:rsid w:val="00AE3B84"/>
    <w:rsid w:val="00AE3C11"/>
    <w:rsid w:val="00AE3DB0"/>
    <w:rsid w:val="00AE4057"/>
    <w:rsid w:val="00AE4548"/>
    <w:rsid w:val="00AE46BE"/>
    <w:rsid w:val="00AE4753"/>
    <w:rsid w:val="00AE4F0C"/>
    <w:rsid w:val="00AE4FC7"/>
    <w:rsid w:val="00AE527F"/>
    <w:rsid w:val="00AE529A"/>
    <w:rsid w:val="00AE538A"/>
    <w:rsid w:val="00AE5675"/>
    <w:rsid w:val="00AE5A08"/>
    <w:rsid w:val="00AE5B41"/>
    <w:rsid w:val="00AE5D38"/>
    <w:rsid w:val="00AE5DF9"/>
    <w:rsid w:val="00AE5F81"/>
    <w:rsid w:val="00AE614F"/>
    <w:rsid w:val="00AE680E"/>
    <w:rsid w:val="00AE6B58"/>
    <w:rsid w:val="00AE6BCE"/>
    <w:rsid w:val="00AE6E3D"/>
    <w:rsid w:val="00AE6F49"/>
    <w:rsid w:val="00AE70F3"/>
    <w:rsid w:val="00AE7430"/>
    <w:rsid w:val="00AE76B9"/>
    <w:rsid w:val="00AE77D5"/>
    <w:rsid w:val="00AE783C"/>
    <w:rsid w:val="00AE7C82"/>
    <w:rsid w:val="00AE7D3D"/>
    <w:rsid w:val="00AE7F65"/>
    <w:rsid w:val="00AF0ECD"/>
    <w:rsid w:val="00AF111B"/>
    <w:rsid w:val="00AF15BF"/>
    <w:rsid w:val="00AF1668"/>
    <w:rsid w:val="00AF1878"/>
    <w:rsid w:val="00AF225E"/>
    <w:rsid w:val="00AF2410"/>
    <w:rsid w:val="00AF2433"/>
    <w:rsid w:val="00AF26AF"/>
    <w:rsid w:val="00AF26E6"/>
    <w:rsid w:val="00AF26E8"/>
    <w:rsid w:val="00AF2733"/>
    <w:rsid w:val="00AF27D9"/>
    <w:rsid w:val="00AF2A62"/>
    <w:rsid w:val="00AF2AA5"/>
    <w:rsid w:val="00AF2B4A"/>
    <w:rsid w:val="00AF2F82"/>
    <w:rsid w:val="00AF30CD"/>
    <w:rsid w:val="00AF31E0"/>
    <w:rsid w:val="00AF32A2"/>
    <w:rsid w:val="00AF3352"/>
    <w:rsid w:val="00AF3510"/>
    <w:rsid w:val="00AF3E7D"/>
    <w:rsid w:val="00AF3F7A"/>
    <w:rsid w:val="00AF4163"/>
    <w:rsid w:val="00AF41C8"/>
    <w:rsid w:val="00AF4897"/>
    <w:rsid w:val="00AF4C15"/>
    <w:rsid w:val="00AF4EC0"/>
    <w:rsid w:val="00AF4F19"/>
    <w:rsid w:val="00AF50F8"/>
    <w:rsid w:val="00AF53DD"/>
    <w:rsid w:val="00AF5BAD"/>
    <w:rsid w:val="00AF5E76"/>
    <w:rsid w:val="00AF5EC9"/>
    <w:rsid w:val="00AF5F0C"/>
    <w:rsid w:val="00AF626B"/>
    <w:rsid w:val="00AF653B"/>
    <w:rsid w:val="00AF6734"/>
    <w:rsid w:val="00AF6745"/>
    <w:rsid w:val="00AF6A7D"/>
    <w:rsid w:val="00AF6BDD"/>
    <w:rsid w:val="00AF6FCB"/>
    <w:rsid w:val="00AF741C"/>
    <w:rsid w:val="00AF74D6"/>
    <w:rsid w:val="00AF761F"/>
    <w:rsid w:val="00AF7C2D"/>
    <w:rsid w:val="00AF7ED3"/>
    <w:rsid w:val="00B0031F"/>
    <w:rsid w:val="00B006D6"/>
    <w:rsid w:val="00B008F3"/>
    <w:rsid w:val="00B00BDB"/>
    <w:rsid w:val="00B00D06"/>
    <w:rsid w:val="00B00DDB"/>
    <w:rsid w:val="00B013C9"/>
    <w:rsid w:val="00B0147A"/>
    <w:rsid w:val="00B014AF"/>
    <w:rsid w:val="00B014CC"/>
    <w:rsid w:val="00B01526"/>
    <w:rsid w:val="00B01761"/>
    <w:rsid w:val="00B01B93"/>
    <w:rsid w:val="00B01E4A"/>
    <w:rsid w:val="00B01F95"/>
    <w:rsid w:val="00B02147"/>
    <w:rsid w:val="00B02197"/>
    <w:rsid w:val="00B022B1"/>
    <w:rsid w:val="00B029AF"/>
    <w:rsid w:val="00B02ABD"/>
    <w:rsid w:val="00B02BAA"/>
    <w:rsid w:val="00B02D20"/>
    <w:rsid w:val="00B02FB9"/>
    <w:rsid w:val="00B03138"/>
    <w:rsid w:val="00B03711"/>
    <w:rsid w:val="00B037FC"/>
    <w:rsid w:val="00B03834"/>
    <w:rsid w:val="00B03C3B"/>
    <w:rsid w:val="00B04228"/>
    <w:rsid w:val="00B04342"/>
    <w:rsid w:val="00B0434C"/>
    <w:rsid w:val="00B04442"/>
    <w:rsid w:val="00B04463"/>
    <w:rsid w:val="00B044B8"/>
    <w:rsid w:val="00B044F0"/>
    <w:rsid w:val="00B0456A"/>
    <w:rsid w:val="00B0463C"/>
    <w:rsid w:val="00B049D5"/>
    <w:rsid w:val="00B04D6D"/>
    <w:rsid w:val="00B0540B"/>
    <w:rsid w:val="00B0553D"/>
    <w:rsid w:val="00B0555C"/>
    <w:rsid w:val="00B05643"/>
    <w:rsid w:val="00B05939"/>
    <w:rsid w:val="00B05AF9"/>
    <w:rsid w:val="00B05EC1"/>
    <w:rsid w:val="00B06037"/>
    <w:rsid w:val="00B06219"/>
    <w:rsid w:val="00B063AC"/>
    <w:rsid w:val="00B0647C"/>
    <w:rsid w:val="00B0648E"/>
    <w:rsid w:val="00B064AC"/>
    <w:rsid w:val="00B06AE3"/>
    <w:rsid w:val="00B06DBB"/>
    <w:rsid w:val="00B06DDE"/>
    <w:rsid w:val="00B07038"/>
    <w:rsid w:val="00B073B3"/>
    <w:rsid w:val="00B073DB"/>
    <w:rsid w:val="00B0746C"/>
    <w:rsid w:val="00B07521"/>
    <w:rsid w:val="00B078CF"/>
    <w:rsid w:val="00B079A1"/>
    <w:rsid w:val="00B1008E"/>
    <w:rsid w:val="00B1013A"/>
    <w:rsid w:val="00B103DB"/>
    <w:rsid w:val="00B10697"/>
    <w:rsid w:val="00B1079E"/>
    <w:rsid w:val="00B10AC2"/>
    <w:rsid w:val="00B10B59"/>
    <w:rsid w:val="00B10CC2"/>
    <w:rsid w:val="00B11258"/>
    <w:rsid w:val="00B11343"/>
    <w:rsid w:val="00B115E5"/>
    <w:rsid w:val="00B11D2C"/>
    <w:rsid w:val="00B1233A"/>
    <w:rsid w:val="00B12494"/>
    <w:rsid w:val="00B1256B"/>
    <w:rsid w:val="00B125C2"/>
    <w:rsid w:val="00B129B0"/>
    <w:rsid w:val="00B12A62"/>
    <w:rsid w:val="00B12B03"/>
    <w:rsid w:val="00B12FBF"/>
    <w:rsid w:val="00B12FCD"/>
    <w:rsid w:val="00B130B4"/>
    <w:rsid w:val="00B13369"/>
    <w:rsid w:val="00B13404"/>
    <w:rsid w:val="00B13A7A"/>
    <w:rsid w:val="00B13B37"/>
    <w:rsid w:val="00B14140"/>
    <w:rsid w:val="00B14710"/>
    <w:rsid w:val="00B14872"/>
    <w:rsid w:val="00B14D1D"/>
    <w:rsid w:val="00B14DAA"/>
    <w:rsid w:val="00B15202"/>
    <w:rsid w:val="00B15440"/>
    <w:rsid w:val="00B1559E"/>
    <w:rsid w:val="00B15603"/>
    <w:rsid w:val="00B1584A"/>
    <w:rsid w:val="00B159F6"/>
    <w:rsid w:val="00B15ADD"/>
    <w:rsid w:val="00B15C80"/>
    <w:rsid w:val="00B1601E"/>
    <w:rsid w:val="00B16360"/>
    <w:rsid w:val="00B163F3"/>
    <w:rsid w:val="00B16792"/>
    <w:rsid w:val="00B168E3"/>
    <w:rsid w:val="00B16CE4"/>
    <w:rsid w:val="00B17041"/>
    <w:rsid w:val="00B17656"/>
    <w:rsid w:val="00B17CC8"/>
    <w:rsid w:val="00B20399"/>
    <w:rsid w:val="00B203BD"/>
    <w:rsid w:val="00B20497"/>
    <w:rsid w:val="00B2066E"/>
    <w:rsid w:val="00B209A4"/>
    <w:rsid w:val="00B20C51"/>
    <w:rsid w:val="00B20D63"/>
    <w:rsid w:val="00B20DDE"/>
    <w:rsid w:val="00B20E93"/>
    <w:rsid w:val="00B2113B"/>
    <w:rsid w:val="00B211D2"/>
    <w:rsid w:val="00B212B0"/>
    <w:rsid w:val="00B21436"/>
    <w:rsid w:val="00B2148F"/>
    <w:rsid w:val="00B2155E"/>
    <w:rsid w:val="00B2161C"/>
    <w:rsid w:val="00B219E9"/>
    <w:rsid w:val="00B21AB6"/>
    <w:rsid w:val="00B21AD9"/>
    <w:rsid w:val="00B21B9E"/>
    <w:rsid w:val="00B21D78"/>
    <w:rsid w:val="00B21DF9"/>
    <w:rsid w:val="00B21F23"/>
    <w:rsid w:val="00B22127"/>
    <w:rsid w:val="00B2232A"/>
    <w:rsid w:val="00B223FB"/>
    <w:rsid w:val="00B224B1"/>
    <w:rsid w:val="00B22EB9"/>
    <w:rsid w:val="00B23035"/>
    <w:rsid w:val="00B234DB"/>
    <w:rsid w:val="00B23681"/>
    <w:rsid w:val="00B2372A"/>
    <w:rsid w:val="00B2393A"/>
    <w:rsid w:val="00B23CAD"/>
    <w:rsid w:val="00B23CF3"/>
    <w:rsid w:val="00B23D36"/>
    <w:rsid w:val="00B23F6F"/>
    <w:rsid w:val="00B23FF2"/>
    <w:rsid w:val="00B241E9"/>
    <w:rsid w:val="00B2434E"/>
    <w:rsid w:val="00B246DF"/>
    <w:rsid w:val="00B2484B"/>
    <w:rsid w:val="00B24EC3"/>
    <w:rsid w:val="00B25159"/>
    <w:rsid w:val="00B258F0"/>
    <w:rsid w:val="00B259EF"/>
    <w:rsid w:val="00B25A99"/>
    <w:rsid w:val="00B25AAF"/>
    <w:rsid w:val="00B25AD7"/>
    <w:rsid w:val="00B26519"/>
    <w:rsid w:val="00B26778"/>
    <w:rsid w:val="00B269CF"/>
    <w:rsid w:val="00B26A5C"/>
    <w:rsid w:val="00B26AAF"/>
    <w:rsid w:val="00B26BE8"/>
    <w:rsid w:val="00B26FC9"/>
    <w:rsid w:val="00B27043"/>
    <w:rsid w:val="00B27053"/>
    <w:rsid w:val="00B27163"/>
    <w:rsid w:val="00B2720C"/>
    <w:rsid w:val="00B27A21"/>
    <w:rsid w:val="00B27C14"/>
    <w:rsid w:val="00B27FC6"/>
    <w:rsid w:val="00B30488"/>
    <w:rsid w:val="00B304E3"/>
    <w:rsid w:val="00B305AA"/>
    <w:rsid w:val="00B30BF0"/>
    <w:rsid w:val="00B30C16"/>
    <w:rsid w:val="00B30E6D"/>
    <w:rsid w:val="00B311EB"/>
    <w:rsid w:val="00B313B2"/>
    <w:rsid w:val="00B3179B"/>
    <w:rsid w:val="00B31B4F"/>
    <w:rsid w:val="00B31D06"/>
    <w:rsid w:val="00B31D34"/>
    <w:rsid w:val="00B31D62"/>
    <w:rsid w:val="00B31DDF"/>
    <w:rsid w:val="00B31E9E"/>
    <w:rsid w:val="00B31EE7"/>
    <w:rsid w:val="00B32245"/>
    <w:rsid w:val="00B324B5"/>
    <w:rsid w:val="00B32977"/>
    <w:rsid w:val="00B3299F"/>
    <w:rsid w:val="00B32A7E"/>
    <w:rsid w:val="00B32A98"/>
    <w:rsid w:val="00B32B57"/>
    <w:rsid w:val="00B32C91"/>
    <w:rsid w:val="00B333C7"/>
    <w:rsid w:val="00B33B62"/>
    <w:rsid w:val="00B33C86"/>
    <w:rsid w:val="00B340C9"/>
    <w:rsid w:val="00B34129"/>
    <w:rsid w:val="00B343BE"/>
    <w:rsid w:val="00B34AAA"/>
    <w:rsid w:val="00B34E04"/>
    <w:rsid w:val="00B34E6E"/>
    <w:rsid w:val="00B350F9"/>
    <w:rsid w:val="00B357E4"/>
    <w:rsid w:val="00B3593F"/>
    <w:rsid w:val="00B35AA9"/>
    <w:rsid w:val="00B35B7F"/>
    <w:rsid w:val="00B35C94"/>
    <w:rsid w:val="00B361B8"/>
    <w:rsid w:val="00B364E3"/>
    <w:rsid w:val="00B3654B"/>
    <w:rsid w:val="00B365E9"/>
    <w:rsid w:val="00B368E2"/>
    <w:rsid w:val="00B370A9"/>
    <w:rsid w:val="00B3735A"/>
    <w:rsid w:val="00B3776B"/>
    <w:rsid w:val="00B378AB"/>
    <w:rsid w:val="00B379A4"/>
    <w:rsid w:val="00B37B41"/>
    <w:rsid w:val="00B37CFA"/>
    <w:rsid w:val="00B37E41"/>
    <w:rsid w:val="00B37F35"/>
    <w:rsid w:val="00B40140"/>
    <w:rsid w:val="00B40158"/>
    <w:rsid w:val="00B40189"/>
    <w:rsid w:val="00B40633"/>
    <w:rsid w:val="00B408CB"/>
    <w:rsid w:val="00B40B7A"/>
    <w:rsid w:val="00B40DA8"/>
    <w:rsid w:val="00B40F02"/>
    <w:rsid w:val="00B415D2"/>
    <w:rsid w:val="00B417E6"/>
    <w:rsid w:val="00B41B85"/>
    <w:rsid w:val="00B41FB3"/>
    <w:rsid w:val="00B421AE"/>
    <w:rsid w:val="00B426EB"/>
    <w:rsid w:val="00B42E7A"/>
    <w:rsid w:val="00B42F06"/>
    <w:rsid w:val="00B431DE"/>
    <w:rsid w:val="00B434F9"/>
    <w:rsid w:val="00B43521"/>
    <w:rsid w:val="00B4361F"/>
    <w:rsid w:val="00B4385A"/>
    <w:rsid w:val="00B43869"/>
    <w:rsid w:val="00B43924"/>
    <w:rsid w:val="00B439C1"/>
    <w:rsid w:val="00B43BB1"/>
    <w:rsid w:val="00B43C7F"/>
    <w:rsid w:val="00B43FC1"/>
    <w:rsid w:val="00B441E3"/>
    <w:rsid w:val="00B443FB"/>
    <w:rsid w:val="00B44404"/>
    <w:rsid w:val="00B44833"/>
    <w:rsid w:val="00B44AE8"/>
    <w:rsid w:val="00B44E11"/>
    <w:rsid w:val="00B44FC7"/>
    <w:rsid w:val="00B45041"/>
    <w:rsid w:val="00B45346"/>
    <w:rsid w:val="00B453B0"/>
    <w:rsid w:val="00B45431"/>
    <w:rsid w:val="00B45759"/>
    <w:rsid w:val="00B457BE"/>
    <w:rsid w:val="00B45A36"/>
    <w:rsid w:val="00B45AE0"/>
    <w:rsid w:val="00B45C8A"/>
    <w:rsid w:val="00B45DF7"/>
    <w:rsid w:val="00B45F02"/>
    <w:rsid w:val="00B45F3F"/>
    <w:rsid w:val="00B46242"/>
    <w:rsid w:val="00B46561"/>
    <w:rsid w:val="00B4686D"/>
    <w:rsid w:val="00B46985"/>
    <w:rsid w:val="00B46B05"/>
    <w:rsid w:val="00B470D6"/>
    <w:rsid w:val="00B47412"/>
    <w:rsid w:val="00B47A58"/>
    <w:rsid w:val="00B47AA0"/>
    <w:rsid w:val="00B47AEF"/>
    <w:rsid w:val="00B47B75"/>
    <w:rsid w:val="00B47E04"/>
    <w:rsid w:val="00B47E4B"/>
    <w:rsid w:val="00B500AB"/>
    <w:rsid w:val="00B5032F"/>
    <w:rsid w:val="00B50362"/>
    <w:rsid w:val="00B50505"/>
    <w:rsid w:val="00B50582"/>
    <w:rsid w:val="00B5069E"/>
    <w:rsid w:val="00B5091A"/>
    <w:rsid w:val="00B509AC"/>
    <w:rsid w:val="00B51062"/>
    <w:rsid w:val="00B5153B"/>
    <w:rsid w:val="00B51924"/>
    <w:rsid w:val="00B51B6B"/>
    <w:rsid w:val="00B51C00"/>
    <w:rsid w:val="00B51E6E"/>
    <w:rsid w:val="00B51FBA"/>
    <w:rsid w:val="00B5211E"/>
    <w:rsid w:val="00B52521"/>
    <w:rsid w:val="00B526F8"/>
    <w:rsid w:val="00B528B4"/>
    <w:rsid w:val="00B529ED"/>
    <w:rsid w:val="00B52AE5"/>
    <w:rsid w:val="00B52EEB"/>
    <w:rsid w:val="00B5309C"/>
    <w:rsid w:val="00B53234"/>
    <w:rsid w:val="00B53DEA"/>
    <w:rsid w:val="00B5405C"/>
    <w:rsid w:val="00B5460B"/>
    <w:rsid w:val="00B546D5"/>
    <w:rsid w:val="00B547C1"/>
    <w:rsid w:val="00B547C4"/>
    <w:rsid w:val="00B54928"/>
    <w:rsid w:val="00B54AB6"/>
    <w:rsid w:val="00B54B8E"/>
    <w:rsid w:val="00B54E34"/>
    <w:rsid w:val="00B54EA3"/>
    <w:rsid w:val="00B54F0D"/>
    <w:rsid w:val="00B55036"/>
    <w:rsid w:val="00B55139"/>
    <w:rsid w:val="00B551D9"/>
    <w:rsid w:val="00B55297"/>
    <w:rsid w:val="00B5529C"/>
    <w:rsid w:val="00B552A2"/>
    <w:rsid w:val="00B554C8"/>
    <w:rsid w:val="00B5564C"/>
    <w:rsid w:val="00B559A0"/>
    <w:rsid w:val="00B55A1A"/>
    <w:rsid w:val="00B55EE6"/>
    <w:rsid w:val="00B55F94"/>
    <w:rsid w:val="00B5621B"/>
    <w:rsid w:val="00B562DC"/>
    <w:rsid w:val="00B56776"/>
    <w:rsid w:val="00B56A95"/>
    <w:rsid w:val="00B56D91"/>
    <w:rsid w:val="00B56E71"/>
    <w:rsid w:val="00B5706B"/>
    <w:rsid w:val="00B577DC"/>
    <w:rsid w:val="00B57A15"/>
    <w:rsid w:val="00B57A79"/>
    <w:rsid w:val="00B57B24"/>
    <w:rsid w:val="00B600F5"/>
    <w:rsid w:val="00B60258"/>
    <w:rsid w:val="00B603B9"/>
    <w:rsid w:val="00B60447"/>
    <w:rsid w:val="00B60B3D"/>
    <w:rsid w:val="00B60C14"/>
    <w:rsid w:val="00B60CC5"/>
    <w:rsid w:val="00B60DFA"/>
    <w:rsid w:val="00B6104A"/>
    <w:rsid w:val="00B61292"/>
    <w:rsid w:val="00B61369"/>
    <w:rsid w:val="00B61477"/>
    <w:rsid w:val="00B614CC"/>
    <w:rsid w:val="00B61569"/>
    <w:rsid w:val="00B6165E"/>
    <w:rsid w:val="00B617B3"/>
    <w:rsid w:val="00B61C52"/>
    <w:rsid w:val="00B61DB2"/>
    <w:rsid w:val="00B61E3B"/>
    <w:rsid w:val="00B6208B"/>
    <w:rsid w:val="00B62703"/>
    <w:rsid w:val="00B628B8"/>
    <w:rsid w:val="00B62ABF"/>
    <w:rsid w:val="00B62D50"/>
    <w:rsid w:val="00B62EE8"/>
    <w:rsid w:val="00B632F3"/>
    <w:rsid w:val="00B63480"/>
    <w:rsid w:val="00B63664"/>
    <w:rsid w:val="00B63930"/>
    <w:rsid w:val="00B640AA"/>
    <w:rsid w:val="00B64196"/>
    <w:rsid w:val="00B64265"/>
    <w:rsid w:val="00B6463D"/>
    <w:rsid w:val="00B6464A"/>
    <w:rsid w:val="00B646E8"/>
    <w:rsid w:val="00B646F7"/>
    <w:rsid w:val="00B6480F"/>
    <w:rsid w:val="00B648D8"/>
    <w:rsid w:val="00B64C82"/>
    <w:rsid w:val="00B6534F"/>
    <w:rsid w:val="00B65553"/>
    <w:rsid w:val="00B6556E"/>
    <w:rsid w:val="00B65602"/>
    <w:rsid w:val="00B6566C"/>
    <w:rsid w:val="00B65AB2"/>
    <w:rsid w:val="00B65BB0"/>
    <w:rsid w:val="00B65BEC"/>
    <w:rsid w:val="00B65C32"/>
    <w:rsid w:val="00B65C74"/>
    <w:rsid w:val="00B65D58"/>
    <w:rsid w:val="00B66368"/>
    <w:rsid w:val="00B6636D"/>
    <w:rsid w:val="00B663F6"/>
    <w:rsid w:val="00B666B5"/>
    <w:rsid w:val="00B66D91"/>
    <w:rsid w:val="00B67017"/>
    <w:rsid w:val="00B67293"/>
    <w:rsid w:val="00B67C03"/>
    <w:rsid w:val="00B67C04"/>
    <w:rsid w:val="00B67C1C"/>
    <w:rsid w:val="00B67C4F"/>
    <w:rsid w:val="00B67EB6"/>
    <w:rsid w:val="00B67FF6"/>
    <w:rsid w:val="00B70057"/>
    <w:rsid w:val="00B7028B"/>
    <w:rsid w:val="00B70407"/>
    <w:rsid w:val="00B70690"/>
    <w:rsid w:val="00B70959"/>
    <w:rsid w:val="00B70A3B"/>
    <w:rsid w:val="00B70B92"/>
    <w:rsid w:val="00B70E7B"/>
    <w:rsid w:val="00B70ECE"/>
    <w:rsid w:val="00B7112B"/>
    <w:rsid w:val="00B7117B"/>
    <w:rsid w:val="00B711DB"/>
    <w:rsid w:val="00B71AAF"/>
    <w:rsid w:val="00B71B41"/>
    <w:rsid w:val="00B71DA5"/>
    <w:rsid w:val="00B7214E"/>
    <w:rsid w:val="00B722B1"/>
    <w:rsid w:val="00B72324"/>
    <w:rsid w:val="00B72444"/>
    <w:rsid w:val="00B72A52"/>
    <w:rsid w:val="00B72D96"/>
    <w:rsid w:val="00B72EB2"/>
    <w:rsid w:val="00B730E3"/>
    <w:rsid w:val="00B73105"/>
    <w:rsid w:val="00B7350B"/>
    <w:rsid w:val="00B736B9"/>
    <w:rsid w:val="00B736DD"/>
    <w:rsid w:val="00B7397F"/>
    <w:rsid w:val="00B73C53"/>
    <w:rsid w:val="00B74106"/>
    <w:rsid w:val="00B7424E"/>
    <w:rsid w:val="00B742D7"/>
    <w:rsid w:val="00B743DD"/>
    <w:rsid w:val="00B7451E"/>
    <w:rsid w:val="00B745D4"/>
    <w:rsid w:val="00B7478F"/>
    <w:rsid w:val="00B74860"/>
    <w:rsid w:val="00B74A21"/>
    <w:rsid w:val="00B74A89"/>
    <w:rsid w:val="00B74F50"/>
    <w:rsid w:val="00B74FC9"/>
    <w:rsid w:val="00B75202"/>
    <w:rsid w:val="00B75376"/>
    <w:rsid w:val="00B7591A"/>
    <w:rsid w:val="00B75CD3"/>
    <w:rsid w:val="00B75F20"/>
    <w:rsid w:val="00B75F98"/>
    <w:rsid w:val="00B76098"/>
    <w:rsid w:val="00B7627A"/>
    <w:rsid w:val="00B76855"/>
    <w:rsid w:val="00B769E3"/>
    <w:rsid w:val="00B76A8C"/>
    <w:rsid w:val="00B76F93"/>
    <w:rsid w:val="00B772AF"/>
    <w:rsid w:val="00B775BF"/>
    <w:rsid w:val="00B77618"/>
    <w:rsid w:val="00B77AA8"/>
    <w:rsid w:val="00B803DE"/>
    <w:rsid w:val="00B80435"/>
    <w:rsid w:val="00B80A29"/>
    <w:rsid w:val="00B80A55"/>
    <w:rsid w:val="00B80DF2"/>
    <w:rsid w:val="00B80E51"/>
    <w:rsid w:val="00B8102D"/>
    <w:rsid w:val="00B81233"/>
    <w:rsid w:val="00B815C8"/>
    <w:rsid w:val="00B8169D"/>
    <w:rsid w:val="00B81750"/>
    <w:rsid w:val="00B818F5"/>
    <w:rsid w:val="00B81960"/>
    <w:rsid w:val="00B819CF"/>
    <w:rsid w:val="00B81D48"/>
    <w:rsid w:val="00B81E67"/>
    <w:rsid w:val="00B81F10"/>
    <w:rsid w:val="00B823C6"/>
    <w:rsid w:val="00B823D2"/>
    <w:rsid w:val="00B823F5"/>
    <w:rsid w:val="00B82941"/>
    <w:rsid w:val="00B829A1"/>
    <w:rsid w:val="00B82D8D"/>
    <w:rsid w:val="00B82F2D"/>
    <w:rsid w:val="00B82F38"/>
    <w:rsid w:val="00B83072"/>
    <w:rsid w:val="00B8307A"/>
    <w:rsid w:val="00B833B7"/>
    <w:rsid w:val="00B834A7"/>
    <w:rsid w:val="00B835CE"/>
    <w:rsid w:val="00B83685"/>
    <w:rsid w:val="00B836C6"/>
    <w:rsid w:val="00B8372B"/>
    <w:rsid w:val="00B837BC"/>
    <w:rsid w:val="00B83861"/>
    <w:rsid w:val="00B83F9C"/>
    <w:rsid w:val="00B83FFF"/>
    <w:rsid w:val="00B84134"/>
    <w:rsid w:val="00B847D3"/>
    <w:rsid w:val="00B849B3"/>
    <w:rsid w:val="00B849DA"/>
    <w:rsid w:val="00B84D25"/>
    <w:rsid w:val="00B84DA1"/>
    <w:rsid w:val="00B84E11"/>
    <w:rsid w:val="00B84EA2"/>
    <w:rsid w:val="00B84EB6"/>
    <w:rsid w:val="00B84F80"/>
    <w:rsid w:val="00B852CB"/>
    <w:rsid w:val="00B853C9"/>
    <w:rsid w:val="00B854DC"/>
    <w:rsid w:val="00B8553E"/>
    <w:rsid w:val="00B85712"/>
    <w:rsid w:val="00B8583D"/>
    <w:rsid w:val="00B85899"/>
    <w:rsid w:val="00B85C5D"/>
    <w:rsid w:val="00B86615"/>
    <w:rsid w:val="00B86ABC"/>
    <w:rsid w:val="00B86C95"/>
    <w:rsid w:val="00B86E65"/>
    <w:rsid w:val="00B86E79"/>
    <w:rsid w:val="00B87009"/>
    <w:rsid w:val="00B87023"/>
    <w:rsid w:val="00B870B8"/>
    <w:rsid w:val="00B871A4"/>
    <w:rsid w:val="00B871DC"/>
    <w:rsid w:val="00B87368"/>
    <w:rsid w:val="00B87385"/>
    <w:rsid w:val="00B879C8"/>
    <w:rsid w:val="00B87C37"/>
    <w:rsid w:val="00B87CC1"/>
    <w:rsid w:val="00B9048E"/>
    <w:rsid w:val="00B904A3"/>
    <w:rsid w:val="00B90867"/>
    <w:rsid w:val="00B90B09"/>
    <w:rsid w:val="00B90B4A"/>
    <w:rsid w:val="00B90C15"/>
    <w:rsid w:val="00B90D03"/>
    <w:rsid w:val="00B90D6C"/>
    <w:rsid w:val="00B90DA5"/>
    <w:rsid w:val="00B90E70"/>
    <w:rsid w:val="00B913C1"/>
    <w:rsid w:val="00B91AE6"/>
    <w:rsid w:val="00B91B1F"/>
    <w:rsid w:val="00B92329"/>
    <w:rsid w:val="00B92523"/>
    <w:rsid w:val="00B9268A"/>
    <w:rsid w:val="00B926FD"/>
    <w:rsid w:val="00B92757"/>
    <w:rsid w:val="00B92873"/>
    <w:rsid w:val="00B92A52"/>
    <w:rsid w:val="00B92E0D"/>
    <w:rsid w:val="00B93162"/>
    <w:rsid w:val="00B9341C"/>
    <w:rsid w:val="00B938F3"/>
    <w:rsid w:val="00B93CC2"/>
    <w:rsid w:val="00B93CEE"/>
    <w:rsid w:val="00B93DB4"/>
    <w:rsid w:val="00B94346"/>
    <w:rsid w:val="00B94617"/>
    <w:rsid w:val="00B94950"/>
    <w:rsid w:val="00B949A6"/>
    <w:rsid w:val="00B94A4F"/>
    <w:rsid w:val="00B94A7C"/>
    <w:rsid w:val="00B94C50"/>
    <w:rsid w:val="00B94CF4"/>
    <w:rsid w:val="00B94E3A"/>
    <w:rsid w:val="00B95188"/>
    <w:rsid w:val="00B951CC"/>
    <w:rsid w:val="00B951ED"/>
    <w:rsid w:val="00B9524D"/>
    <w:rsid w:val="00B95435"/>
    <w:rsid w:val="00B95483"/>
    <w:rsid w:val="00B95E28"/>
    <w:rsid w:val="00B9608D"/>
    <w:rsid w:val="00B962D3"/>
    <w:rsid w:val="00B96313"/>
    <w:rsid w:val="00B9632F"/>
    <w:rsid w:val="00B964CB"/>
    <w:rsid w:val="00B96915"/>
    <w:rsid w:val="00B969BD"/>
    <w:rsid w:val="00B96C22"/>
    <w:rsid w:val="00B96CFA"/>
    <w:rsid w:val="00B96F74"/>
    <w:rsid w:val="00B970B7"/>
    <w:rsid w:val="00B972B3"/>
    <w:rsid w:val="00B9759A"/>
    <w:rsid w:val="00B9781F"/>
    <w:rsid w:val="00B979C7"/>
    <w:rsid w:val="00B97B85"/>
    <w:rsid w:val="00B97E53"/>
    <w:rsid w:val="00BA00C0"/>
    <w:rsid w:val="00BA020E"/>
    <w:rsid w:val="00BA0317"/>
    <w:rsid w:val="00BA0883"/>
    <w:rsid w:val="00BA095F"/>
    <w:rsid w:val="00BA0A25"/>
    <w:rsid w:val="00BA0C20"/>
    <w:rsid w:val="00BA0E80"/>
    <w:rsid w:val="00BA0F97"/>
    <w:rsid w:val="00BA10EF"/>
    <w:rsid w:val="00BA1117"/>
    <w:rsid w:val="00BA11E0"/>
    <w:rsid w:val="00BA1513"/>
    <w:rsid w:val="00BA1813"/>
    <w:rsid w:val="00BA19F9"/>
    <w:rsid w:val="00BA1BD5"/>
    <w:rsid w:val="00BA1C24"/>
    <w:rsid w:val="00BA1F42"/>
    <w:rsid w:val="00BA22E2"/>
    <w:rsid w:val="00BA25EA"/>
    <w:rsid w:val="00BA2679"/>
    <w:rsid w:val="00BA290D"/>
    <w:rsid w:val="00BA29EB"/>
    <w:rsid w:val="00BA29F5"/>
    <w:rsid w:val="00BA2DDF"/>
    <w:rsid w:val="00BA2F2D"/>
    <w:rsid w:val="00BA307C"/>
    <w:rsid w:val="00BA30CE"/>
    <w:rsid w:val="00BA3520"/>
    <w:rsid w:val="00BA35FF"/>
    <w:rsid w:val="00BA3BA8"/>
    <w:rsid w:val="00BA3FCF"/>
    <w:rsid w:val="00BA423E"/>
    <w:rsid w:val="00BA4711"/>
    <w:rsid w:val="00BA48E3"/>
    <w:rsid w:val="00BA4A7F"/>
    <w:rsid w:val="00BA4B58"/>
    <w:rsid w:val="00BA4EC0"/>
    <w:rsid w:val="00BA5103"/>
    <w:rsid w:val="00BA511F"/>
    <w:rsid w:val="00BA58F6"/>
    <w:rsid w:val="00BA5976"/>
    <w:rsid w:val="00BA5A93"/>
    <w:rsid w:val="00BA6070"/>
    <w:rsid w:val="00BA62A9"/>
    <w:rsid w:val="00BA66D1"/>
    <w:rsid w:val="00BA69C6"/>
    <w:rsid w:val="00BA6A2D"/>
    <w:rsid w:val="00BA6AAE"/>
    <w:rsid w:val="00BA6B71"/>
    <w:rsid w:val="00BA6D6B"/>
    <w:rsid w:val="00BA756D"/>
    <w:rsid w:val="00BA7875"/>
    <w:rsid w:val="00BA7E1E"/>
    <w:rsid w:val="00BB019C"/>
    <w:rsid w:val="00BB02D2"/>
    <w:rsid w:val="00BB032C"/>
    <w:rsid w:val="00BB0496"/>
    <w:rsid w:val="00BB04B1"/>
    <w:rsid w:val="00BB04EC"/>
    <w:rsid w:val="00BB04FB"/>
    <w:rsid w:val="00BB0A8A"/>
    <w:rsid w:val="00BB0AF9"/>
    <w:rsid w:val="00BB0C31"/>
    <w:rsid w:val="00BB0CB2"/>
    <w:rsid w:val="00BB0F3B"/>
    <w:rsid w:val="00BB181D"/>
    <w:rsid w:val="00BB2567"/>
    <w:rsid w:val="00BB29E3"/>
    <w:rsid w:val="00BB2D83"/>
    <w:rsid w:val="00BB31F5"/>
    <w:rsid w:val="00BB32D9"/>
    <w:rsid w:val="00BB3652"/>
    <w:rsid w:val="00BB3668"/>
    <w:rsid w:val="00BB369E"/>
    <w:rsid w:val="00BB375C"/>
    <w:rsid w:val="00BB3AF8"/>
    <w:rsid w:val="00BB3B1B"/>
    <w:rsid w:val="00BB3CA8"/>
    <w:rsid w:val="00BB436C"/>
    <w:rsid w:val="00BB438B"/>
    <w:rsid w:val="00BB47B9"/>
    <w:rsid w:val="00BB487E"/>
    <w:rsid w:val="00BB4931"/>
    <w:rsid w:val="00BB49EB"/>
    <w:rsid w:val="00BB4B0E"/>
    <w:rsid w:val="00BB4F4A"/>
    <w:rsid w:val="00BB4F8B"/>
    <w:rsid w:val="00BB50EF"/>
    <w:rsid w:val="00BB5913"/>
    <w:rsid w:val="00BB5A4B"/>
    <w:rsid w:val="00BB5B94"/>
    <w:rsid w:val="00BB6108"/>
    <w:rsid w:val="00BB6301"/>
    <w:rsid w:val="00BB655E"/>
    <w:rsid w:val="00BB669D"/>
    <w:rsid w:val="00BB66B5"/>
    <w:rsid w:val="00BB6CCC"/>
    <w:rsid w:val="00BB6F3B"/>
    <w:rsid w:val="00BB7215"/>
    <w:rsid w:val="00BB7263"/>
    <w:rsid w:val="00BB72E3"/>
    <w:rsid w:val="00BB766A"/>
    <w:rsid w:val="00BB7751"/>
    <w:rsid w:val="00BB7A75"/>
    <w:rsid w:val="00BB7ADB"/>
    <w:rsid w:val="00BB7C27"/>
    <w:rsid w:val="00BB7CCE"/>
    <w:rsid w:val="00BB7D8C"/>
    <w:rsid w:val="00BC00E5"/>
    <w:rsid w:val="00BC0332"/>
    <w:rsid w:val="00BC039C"/>
    <w:rsid w:val="00BC0818"/>
    <w:rsid w:val="00BC0B2A"/>
    <w:rsid w:val="00BC0C92"/>
    <w:rsid w:val="00BC0E95"/>
    <w:rsid w:val="00BC0FD3"/>
    <w:rsid w:val="00BC1114"/>
    <w:rsid w:val="00BC1218"/>
    <w:rsid w:val="00BC1319"/>
    <w:rsid w:val="00BC184F"/>
    <w:rsid w:val="00BC1895"/>
    <w:rsid w:val="00BC1A48"/>
    <w:rsid w:val="00BC21BF"/>
    <w:rsid w:val="00BC2615"/>
    <w:rsid w:val="00BC2B90"/>
    <w:rsid w:val="00BC2E57"/>
    <w:rsid w:val="00BC2FCC"/>
    <w:rsid w:val="00BC3057"/>
    <w:rsid w:val="00BC3214"/>
    <w:rsid w:val="00BC3245"/>
    <w:rsid w:val="00BC347A"/>
    <w:rsid w:val="00BC38F0"/>
    <w:rsid w:val="00BC3B3C"/>
    <w:rsid w:val="00BC3C10"/>
    <w:rsid w:val="00BC4044"/>
    <w:rsid w:val="00BC404D"/>
    <w:rsid w:val="00BC41B6"/>
    <w:rsid w:val="00BC4214"/>
    <w:rsid w:val="00BC460F"/>
    <w:rsid w:val="00BC493A"/>
    <w:rsid w:val="00BC49AB"/>
    <w:rsid w:val="00BC4B87"/>
    <w:rsid w:val="00BC4D03"/>
    <w:rsid w:val="00BC4E07"/>
    <w:rsid w:val="00BC503C"/>
    <w:rsid w:val="00BC518F"/>
    <w:rsid w:val="00BC5279"/>
    <w:rsid w:val="00BC5C36"/>
    <w:rsid w:val="00BC5FC5"/>
    <w:rsid w:val="00BC6319"/>
    <w:rsid w:val="00BC63AB"/>
    <w:rsid w:val="00BC64FD"/>
    <w:rsid w:val="00BC679A"/>
    <w:rsid w:val="00BC6DA1"/>
    <w:rsid w:val="00BC73BB"/>
    <w:rsid w:val="00BC7671"/>
    <w:rsid w:val="00BC7BBB"/>
    <w:rsid w:val="00BC7CB1"/>
    <w:rsid w:val="00BC7F4D"/>
    <w:rsid w:val="00BC7FA2"/>
    <w:rsid w:val="00BD00BB"/>
    <w:rsid w:val="00BD0184"/>
    <w:rsid w:val="00BD043B"/>
    <w:rsid w:val="00BD0A7E"/>
    <w:rsid w:val="00BD0BD4"/>
    <w:rsid w:val="00BD0E7D"/>
    <w:rsid w:val="00BD0ECD"/>
    <w:rsid w:val="00BD1001"/>
    <w:rsid w:val="00BD1C9A"/>
    <w:rsid w:val="00BD1CDE"/>
    <w:rsid w:val="00BD209A"/>
    <w:rsid w:val="00BD2269"/>
    <w:rsid w:val="00BD2494"/>
    <w:rsid w:val="00BD2496"/>
    <w:rsid w:val="00BD2B80"/>
    <w:rsid w:val="00BD2E0F"/>
    <w:rsid w:val="00BD2E6C"/>
    <w:rsid w:val="00BD2E92"/>
    <w:rsid w:val="00BD3012"/>
    <w:rsid w:val="00BD3046"/>
    <w:rsid w:val="00BD335C"/>
    <w:rsid w:val="00BD391B"/>
    <w:rsid w:val="00BD3B36"/>
    <w:rsid w:val="00BD3B39"/>
    <w:rsid w:val="00BD3D8A"/>
    <w:rsid w:val="00BD4341"/>
    <w:rsid w:val="00BD443D"/>
    <w:rsid w:val="00BD4972"/>
    <w:rsid w:val="00BD49DD"/>
    <w:rsid w:val="00BD4B84"/>
    <w:rsid w:val="00BD4CB5"/>
    <w:rsid w:val="00BD4E32"/>
    <w:rsid w:val="00BD4F07"/>
    <w:rsid w:val="00BD527D"/>
    <w:rsid w:val="00BD52B3"/>
    <w:rsid w:val="00BD52BB"/>
    <w:rsid w:val="00BD572B"/>
    <w:rsid w:val="00BD5BFE"/>
    <w:rsid w:val="00BD609F"/>
    <w:rsid w:val="00BD61A1"/>
    <w:rsid w:val="00BD649A"/>
    <w:rsid w:val="00BD66DB"/>
    <w:rsid w:val="00BD6B0F"/>
    <w:rsid w:val="00BD6CB1"/>
    <w:rsid w:val="00BD70AC"/>
    <w:rsid w:val="00BD70F9"/>
    <w:rsid w:val="00BD713D"/>
    <w:rsid w:val="00BD73E9"/>
    <w:rsid w:val="00BD7485"/>
    <w:rsid w:val="00BD7856"/>
    <w:rsid w:val="00BD7AD1"/>
    <w:rsid w:val="00BD7BCE"/>
    <w:rsid w:val="00BD7E59"/>
    <w:rsid w:val="00BD7F20"/>
    <w:rsid w:val="00BE00A6"/>
    <w:rsid w:val="00BE01B0"/>
    <w:rsid w:val="00BE0333"/>
    <w:rsid w:val="00BE05E8"/>
    <w:rsid w:val="00BE07CE"/>
    <w:rsid w:val="00BE0873"/>
    <w:rsid w:val="00BE0BCB"/>
    <w:rsid w:val="00BE0CF9"/>
    <w:rsid w:val="00BE0E97"/>
    <w:rsid w:val="00BE10B4"/>
    <w:rsid w:val="00BE11C6"/>
    <w:rsid w:val="00BE138E"/>
    <w:rsid w:val="00BE1689"/>
    <w:rsid w:val="00BE176E"/>
    <w:rsid w:val="00BE1A4F"/>
    <w:rsid w:val="00BE1AFB"/>
    <w:rsid w:val="00BE1B8D"/>
    <w:rsid w:val="00BE1C16"/>
    <w:rsid w:val="00BE20A4"/>
    <w:rsid w:val="00BE2339"/>
    <w:rsid w:val="00BE23CB"/>
    <w:rsid w:val="00BE25FD"/>
    <w:rsid w:val="00BE2957"/>
    <w:rsid w:val="00BE29B3"/>
    <w:rsid w:val="00BE2B63"/>
    <w:rsid w:val="00BE2D17"/>
    <w:rsid w:val="00BE2F0C"/>
    <w:rsid w:val="00BE313C"/>
    <w:rsid w:val="00BE33C1"/>
    <w:rsid w:val="00BE38A5"/>
    <w:rsid w:val="00BE390B"/>
    <w:rsid w:val="00BE3A27"/>
    <w:rsid w:val="00BE3B86"/>
    <w:rsid w:val="00BE3CE2"/>
    <w:rsid w:val="00BE3E5D"/>
    <w:rsid w:val="00BE3EC6"/>
    <w:rsid w:val="00BE3F39"/>
    <w:rsid w:val="00BE40DA"/>
    <w:rsid w:val="00BE459B"/>
    <w:rsid w:val="00BE47DA"/>
    <w:rsid w:val="00BE4929"/>
    <w:rsid w:val="00BE4FB9"/>
    <w:rsid w:val="00BE500E"/>
    <w:rsid w:val="00BE5061"/>
    <w:rsid w:val="00BE52BB"/>
    <w:rsid w:val="00BE5515"/>
    <w:rsid w:val="00BE5587"/>
    <w:rsid w:val="00BE5724"/>
    <w:rsid w:val="00BE59BF"/>
    <w:rsid w:val="00BE5CB0"/>
    <w:rsid w:val="00BE5D64"/>
    <w:rsid w:val="00BE5D7D"/>
    <w:rsid w:val="00BE5DE7"/>
    <w:rsid w:val="00BE5FE1"/>
    <w:rsid w:val="00BE61AA"/>
    <w:rsid w:val="00BE6ABB"/>
    <w:rsid w:val="00BE6AEB"/>
    <w:rsid w:val="00BE6F74"/>
    <w:rsid w:val="00BE6FA2"/>
    <w:rsid w:val="00BE70C9"/>
    <w:rsid w:val="00BE7120"/>
    <w:rsid w:val="00BE724C"/>
    <w:rsid w:val="00BE7758"/>
    <w:rsid w:val="00BE7CCE"/>
    <w:rsid w:val="00BF0429"/>
    <w:rsid w:val="00BF062E"/>
    <w:rsid w:val="00BF07F4"/>
    <w:rsid w:val="00BF08F2"/>
    <w:rsid w:val="00BF0A9F"/>
    <w:rsid w:val="00BF0CB9"/>
    <w:rsid w:val="00BF0DB5"/>
    <w:rsid w:val="00BF10BC"/>
    <w:rsid w:val="00BF1208"/>
    <w:rsid w:val="00BF123B"/>
    <w:rsid w:val="00BF13B8"/>
    <w:rsid w:val="00BF1AB3"/>
    <w:rsid w:val="00BF1D6E"/>
    <w:rsid w:val="00BF1F0F"/>
    <w:rsid w:val="00BF2302"/>
    <w:rsid w:val="00BF23A3"/>
    <w:rsid w:val="00BF2432"/>
    <w:rsid w:val="00BF29B2"/>
    <w:rsid w:val="00BF2A60"/>
    <w:rsid w:val="00BF2A91"/>
    <w:rsid w:val="00BF2CE7"/>
    <w:rsid w:val="00BF32DF"/>
    <w:rsid w:val="00BF3605"/>
    <w:rsid w:val="00BF371C"/>
    <w:rsid w:val="00BF3A88"/>
    <w:rsid w:val="00BF3B09"/>
    <w:rsid w:val="00BF3B8E"/>
    <w:rsid w:val="00BF3BEB"/>
    <w:rsid w:val="00BF3BEE"/>
    <w:rsid w:val="00BF3C6A"/>
    <w:rsid w:val="00BF41FC"/>
    <w:rsid w:val="00BF4308"/>
    <w:rsid w:val="00BF44A5"/>
    <w:rsid w:val="00BF44FE"/>
    <w:rsid w:val="00BF491E"/>
    <w:rsid w:val="00BF4993"/>
    <w:rsid w:val="00BF4B27"/>
    <w:rsid w:val="00BF4ED1"/>
    <w:rsid w:val="00BF540E"/>
    <w:rsid w:val="00BF54C3"/>
    <w:rsid w:val="00BF5A6D"/>
    <w:rsid w:val="00BF5D0B"/>
    <w:rsid w:val="00BF5F37"/>
    <w:rsid w:val="00BF62AA"/>
    <w:rsid w:val="00BF63C4"/>
    <w:rsid w:val="00BF658E"/>
    <w:rsid w:val="00BF6721"/>
    <w:rsid w:val="00BF68C8"/>
    <w:rsid w:val="00BF6914"/>
    <w:rsid w:val="00BF6918"/>
    <w:rsid w:val="00BF69FC"/>
    <w:rsid w:val="00BF6AE0"/>
    <w:rsid w:val="00BF6BB0"/>
    <w:rsid w:val="00BF6C62"/>
    <w:rsid w:val="00BF6CB6"/>
    <w:rsid w:val="00BF6DC3"/>
    <w:rsid w:val="00BF71C9"/>
    <w:rsid w:val="00BF7345"/>
    <w:rsid w:val="00BF75A6"/>
    <w:rsid w:val="00BF76B1"/>
    <w:rsid w:val="00BF7BCE"/>
    <w:rsid w:val="00C00026"/>
    <w:rsid w:val="00C0055F"/>
    <w:rsid w:val="00C009C4"/>
    <w:rsid w:val="00C00BF0"/>
    <w:rsid w:val="00C00D0B"/>
    <w:rsid w:val="00C01644"/>
    <w:rsid w:val="00C016B6"/>
    <w:rsid w:val="00C019E6"/>
    <w:rsid w:val="00C01A4C"/>
    <w:rsid w:val="00C01C30"/>
    <w:rsid w:val="00C01D39"/>
    <w:rsid w:val="00C0216E"/>
    <w:rsid w:val="00C025C6"/>
    <w:rsid w:val="00C026E3"/>
    <w:rsid w:val="00C02A81"/>
    <w:rsid w:val="00C02CC5"/>
    <w:rsid w:val="00C03547"/>
    <w:rsid w:val="00C036F6"/>
    <w:rsid w:val="00C037A0"/>
    <w:rsid w:val="00C03E7A"/>
    <w:rsid w:val="00C03EAA"/>
    <w:rsid w:val="00C041BD"/>
    <w:rsid w:val="00C042A2"/>
    <w:rsid w:val="00C04D52"/>
    <w:rsid w:val="00C04EB4"/>
    <w:rsid w:val="00C05150"/>
    <w:rsid w:val="00C05DD1"/>
    <w:rsid w:val="00C05EF1"/>
    <w:rsid w:val="00C05FCD"/>
    <w:rsid w:val="00C0601B"/>
    <w:rsid w:val="00C06089"/>
    <w:rsid w:val="00C060DE"/>
    <w:rsid w:val="00C06346"/>
    <w:rsid w:val="00C06430"/>
    <w:rsid w:val="00C0681E"/>
    <w:rsid w:val="00C06DA0"/>
    <w:rsid w:val="00C06FE5"/>
    <w:rsid w:val="00C07351"/>
    <w:rsid w:val="00C07370"/>
    <w:rsid w:val="00C075B5"/>
    <w:rsid w:val="00C07B73"/>
    <w:rsid w:val="00C07DF3"/>
    <w:rsid w:val="00C07DF4"/>
    <w:rsid w:val="00C07E1A"/>
    <w:rsid w:val="00C1057E"/>
    <w:rsid w:val="00C1087B"/>
    <w:rsid w:val="00C109D9"/>
    <w:rsid w:val="00C10AE7"/>
    <w:rsid w:val="00C10BE3"/>
    <w:rsid w:val="00C10D7F"/>
    <w:rsid w:val="00C10D98"/>
    <w:rsid w:val="00C11157"/>
    <w:rsid w:val="00C112F1"/>
    <w:rsid w:val="00C113E6"/>
    <w:rsid w:val="00C115AE"/>
    <w:rsid w:val="00C116B6"/>
    <w:rsid w:val="00C116C0"/>
    <w:rsid w:val="00C1188B"/>
    <w:rsid w:val="00C11A50"/>
    <w:rsid w:val="00C11B6C"/>
    <w:rsid w:val="00C11C79"/>
    <w:rsid w:val="00C11CD8"/>
    <w:rsid w:val="00C11CE8"/>
    <w:rsid w:val="00C121F6"/>
    <w:rsid w:val="00C129F2"/>
    <w:rsid w:val="00C12C6E"/>
    <w:rsid w:val="00C12CA2"/>
    <w:rsid w:val="00C131E5"/>
    <w:rsid w:val="00C13279"/>
    <w:rsid w:val="00C135A2"/>
    <w:rsid w:val="00C138A8"/>
    <w:rsid w:val="00C1442B"/>
    <w:rsid w:val="00C14567"/>
    <w:rsid w:val="00C146E7"/>
    <w:rsid w:val="00C1477E"/>
    <w:rsid w:val="00C1479B"/>
    <w:rsid w:val="00C147D3"/>
    <w:rsid w:val="00C14844"/>
    <w:rsid w:val="00C14D5A"/>
    <w:rsid w:val="00C14EDE"/>
    <w:rsid w:val="00C153B1"/>
    <w:rsid w:val="00C15548"/>
    <w:rsid w:val="00C15C68"/>
    <w:rsid w:val="00C15DCD"/>
    <w:rsid w:val="00C15F24"/>
    <w:rsid w:val="00C15F27"/>
    <w:rsid w:val="00C15FEE"/>
    <w:rsid w:val="00C162EC"/>
    <w:rsid w:val="00C165A0"/>
    <w:rsid w:val="00C165FD"/>
    <w:rsid w:val="00C16C77"/>
    <w:rsid w:val="00C16E84"/>
    <w:rsid w:val="00C17195"/>
    <w:rsid w:val="00C1736E"/>
    <w:rsid w:val="00C1758A"/>
    <w:rsid w:val="00C1792C"/>
    <w:rsid w:val="00C179D8"/>
    <w:rsid w:val="00C17A71"/>
    <w:rsid w:val="00C17BBB"/>
    <w:rsid w:val="00C17BC3"/>
    <w:rsid w:val="00C204F6"/>
    <w:rsid w:val="00C2088E"/>
    <w:rsid w:val="00C20B46"/>
    <w:rsid w:val="00C20D6E"/>
    <w:rsid w:val="00C20ECB"/>
    <w:rsid w:val="00C211CE"/>
    <w:rsid w:val="00C21215"/>
    <w:rsid w:val="00C21565"/>
    <w:rsid w:val="00C216AD"/>
    <w:rsid w:val="00C21747"/>
    <w:rsid w:val="00C217E8"/>
    <w:rsid w:val="00C218C7"/>
    <w:rsid w:val="00C21D45"/>
    <w:rsid w:val="00C22059"/>
    <w:rsid w:val="00C223F4"/>
    <w:rsid w:val="00C22703"/>
    <w:rsid w:val="00C22978"/>
    <w:rsid w:val="00C2297E"/>
    <w:rsid w:val="00C22AEF"/>
    <w:rsid w:val="00C22AF9"/>
    <w:rsid w:val="00C22BE5"/>
    <w:rsid w:val="00C23337"/>
    <w:rsid w:val="00C235C2"/>
    <w:rsid w:val="00C235DB"/>
    <w:rsid w:val="00C23B4C"/>
    <w:rsid w:val="00C23FDB"/>
    <w:rsid w:val="00C240E5"/>
    <w:rsid w:val="00C24593"/>
    <w:rsid w:val="00C245D2"/>
    <w:rsid w:val="00C246BB"/>
    <w:rsid w:val="00C25057"/>
    <w:rsid w:val="00C252BE"/>
    <w:rsid w:val="00C2543F"/>
    <w:rsid w:val="00C255EC"/>
    <w:rsid w:val="00C257F6"/>
    <w:rsid w:val="00C25A33"/>
    <w:rsid w:val="00C25DFA"/>
    <w:rsid w:val="00C25F96"/>
    <w:rsid w:val="00C25FC0"/>
    <w:rsid w:val="00C260F9"/>
    <w:rsid w:val="00C2610F"/>
    <w:rsid w:val="00C26561"/>
    <w:rsid w:val="00C2662A"/>
    <w:rsid w:val="00C2694D"/>
    <w:rsid w:val="00C2698F"/>
    <w:rsid w:val="00C26A59"/>
    <w:rsid w:val="00C26B3C"/>
    <w:rsid w:val="00C27001"/>
    <w:rsid w:val="00C2778B"/>
    <w:rsid w:val="00C2781D"/>
    <w:rsid w:val="00C279E2"/>
    <w:rsid w:val="00C27C23"/>
    <w:rsid w:val="00C27D34"/>
    <w:rsid w:val="00C27E30"/>
    <w:rsid w:val="00C27E3C"/>
    <w:rsid w:val="00C3012E"/>
    <w:rsid w:val="00C30244"/>
    <w:rsid w:val="00C30296"/>
    <w:rsid w:val="00C3035A"/>
    <w:rsid w:val="00C30485"/>
    <w:rsid w:val="00C305C8"/>
    <w:rsid w:val="00C3064F"/>
    <w:rsid w:val="00C308CF"/>
    <w:rsid w:val="00C30AC8"/>
    <w:rsid w:val="00C30ACA"/>
    <w:rsid w:val="00C30AFD"/>
    <w:rsid w:val="00C30B29"/>
    <w:rsid w:val="00C30B6C"/>
    <w:rsid w:val="00C30BD9"/>
    <w:rsid w:val="00C30DD9"/>
    <w:rsid w:val="00C31106"/>
    <w:rsid w:val="00C3140B"/>
    <w:rsid w:val="00C316E6"/>
    <w:rsid w:val="00C317EF"/>
    <w:rsid w:val="00C31C1E"/>
    <w:rsid w:val="00C31D8F"/>
    <w:rsid w:val="00C31F52"/>
    <w:rsid w:val="00C32014"/>
    <w:rsid w:val="00C32040"/>
    <w:rsid w:val="00C32788"/>
    <w:rsid w:val="00C3284E"/>
    <w:rsid w:val="00C32A56"/>
    <w:rsid w:val="00C32A9C"/>
    <w:rsid w:val="00C32E63"/>
    <w:rsid w:val="00C33C2E"/>
    <w:rsid w:val="00C33F2F"/>
    <w:rsid w:val="00C34573"/>
    <w:rsid w:val="00C34616"/>
    <w:rsid w:val="00C347FA"/>
    <w:rsid w:val="00C348F4"/>
    <w:rsid w:val="00C34C5F"/>
    <w:rsid w:val="00C34F6B"/>
    <w:rsid w:val="00C34F8B"/>
    <w:rsid w:val="00C355AF"/>
    <w:rsid w:val="00C35695"/>
    <w:rsid w:val="00C3589A"/>
    <w:rsid w:val="00C35946"/>
    <w:rsid w:val="00C35A1C"/>
    <w:rsid w:val="00C35E2C"/>
    <w:rsid w:val="00C35E6D"/>
    <w:rsid w:val="00C36371"/>
    <w:rsid w:val="00C3644E"/>
    <w:rsid w:val="00C3657F"/>
    <w:rsid w:val="00C3677A"/>
    <w:rsid w:val="00C3693D"/>
    <w:rsid w:val="00C36B74"/>
    <w:rsid w:val="00C36D6D"/>
    <w:rsid w:val="00C36DCE"/>
    <w:rsid w:val="00C36DD6"/>
    <w:rsid w:val="00C37019"/>
    <w:rsid w:val="00C371BC"/>
    <w:rsid w:val="00C3728D"/>
    <w:rsid w:val="00C37752"/>
    <w:rsid w:val="00C37A1A"/>
    <w:rsid w:val="00C37B7C"/>
    <w:rsid w:val="00C400F1"/>
    <w:rsid w:val="00C401CF"/>
    <w:rsid w:val="00C402C0"/>
    <w:rsid w:val="00C405FD"/>
    <w:rsid w:val="00C408C8"/>
    <w:rsid w:val="00C408E5"/>
    <w:rsid w:val="00C40AF4"/>
    <w:rsid w:val="00C40EC3"/>
    <w:rsid w:val="00C40F71"/>
    <w:rsid w:val="00C41245"/>
    <w:rsid w:val="00C413D0"/>
    <w:rsid w:val="00C4173B"/>
    <w:rsid w:val="00C41846"/>
    <w:rsid w:val="00C41A94"/>
    <w:rsid w:val="00C41C2A"/>
    <w:rsid w:val="00C42A5A"/>
    <w:rsid w:val="00C42B6C"/>
    <w:rsid w:val="00C42DF3"/>
    <w:rsid w:val="00C43271"/>
    <w:rsid w:val="00C432D9"/>
    <w:rsid w:val="00C435DB"/>
    <w:rsid w:val="00C435ED"/>
    <w:rsid w:val="00C43B98"/>
    <w:rsid w:val="00C43F34"/>
    <w:rsid w:val="00C440A3"/>
    <w:rsid w:val="00C4421C"/>
    <w:rsid w:val="00C44322"/>
    <w:rsid w:val="00C4489C"/>
    <w:rsid w:val="00C44DE8"/>
    <w:rsid w:val="00C44E04"/>
    <w:rsid w:val="00C458BC"/>
    <w:rsid w:val="00C4624F"/>
    <w:rsid w:val="00C463C5"/>
    <w:rsid w:val="00C464B4"/>
    <w:rsid w:val="00C46714"/>
    <w:rsid w:val="00C468CA"/>
    <w:rsid w:val="00C46DB8"/>
    <w:rsid w:val="00C471FE"/>
    <w:rsid w:val="00C47475"/>
    <w:rsid w:val="00C478AE"/>
    <w:rsid w:val="00C479CA"/>
    <w:rsid w:val="00C47A3F"/>
    <w:rsid w:val="00C47AE4"/>
    <w:rsid w:val="00C47B4D"/>
    <w:rsid w:val="00C47C99"/>
    <w:rsid w:val="00C47E18"/>
    <w:rsid w:val="00C47E49"/>
    <w:rsid w:val="00C5042F"/>
    <w:rsid w:val="00C50528"/>
    <w:rsid w:val="00C507D6"/>
    <w:rsid w:val="00C509B2"/>
    <w:rsid w:val="00C50B00"/>
    <w:rsid w:val="00C51020"/>
    <w:rsid w:val="00C51082"/>
    <w:rsid w:val="00C510B1"/>
    <w:rsid w:val="00C51159"/>
    <w:rsid w:val="00C512F4"/>
    <w:rsid w:val="00C5137E"/>
    <w:rsid w:val="00C51470"/>
    <w:rsid w:val="00C5174D"/>
    <w:rsid w:val="00C51803"/>
    <w:rsid w:val="00C51D4D"/>
    <w:rsid w:val="00C520C1"/>
    <w:rsid w:val="00C521BA"/>
    <w:rsid w:val="00C526D5"/>
    <w:rsid w:val="00C527AB"/>
    <w:rsid w:val="00C5289B"/>
    <w:rsid w:val="00C52E80"/>
    <w:rsid w:val="00C53354"/>
    <w:rsid w:val="00C534BA"/>
    <w:rsid w:val="00C53527"/>
    <w:rsid w:val="00C536C8"/>
    <w:rsid w:val="00C537D0"/>
    <w:rsid w:val="00C53C20"/>
    <w:rsid w:val="00C53E91"/>
    <w:rsid w:val="00C5433C"/>
    <w:rsid w:val="00C5482C"/>
    <w:rsid w:val="00C54886"/>
    <w:rsid w:val="00C550D5"/>
    <w:rsid w:val="00C55A66"/>
    <w:rsid w:val="00C55B3C"/>
    <w:rsid w:val="00C55DDD"/>
    <w:rsid w:val="00C5659F"/>
    <w:rsid w:val="00C565F4"/>
    <w:rsid w:val="00C567DE"/>
    <w:rsid w:val="00C5688E"/>
    <w:rsid w:val="00C57484"/>
    <w:rsid w:val="00C57592"/>
    <w:rsid w:val="00C579AF"/>
    <w:rsid w:val="00C57E88"/>
    <w:rsid w:val="00C60144"/>
    <w:rsid w:val="00C601C5"/>
    <w:rsid w:val="00C6021D"/>
    <w:rsid w:val="00C60308"/>
    <w:rsid w:val="00C6042A"/>
    <w:rsid w:val="00C60486"/>
    <w:rsid w:val="00C608EE"/>
    <w:rsid w:val="00C60E6F"/>
    <w:rsid w:val="00C61050"/>
    <w:rsid w:val="00C61515"/>
    <w:rsid w:val="00C61551"/>
    <w:rsid w:val="00C616AB"/>
    <w:rsid w:val="00C617F2"/>
    <w:rsid w:val="00C61F24"/>
    <w:rsid w:val="00C62E10"/>
    <w:rsid w:val="00C63654"/>
    <w:rsid w:val="00C63860"/>
    <w:rsid w:val="00C63F26"/>
    <w:rsid w:val="00C63F7B"/>
    <w:rsid w:val="00C64289"/>
    <w:rsid w:val="00C642C4"/>
    <w:rsid w:val="00C6454C"/>
    <w:rsid w:val="00C64587"/>
    <w:rsid w:val="00C648A3"/>
    <w:rsid w:val="00C64D43"/>
    <w:rsid w:val="00C64DE4"/>
    <w:rsid w:val="00C64EDF"/>
    <w:rsid w:val="00C652B2"/>
    <w:rsid w:val="00C653A4"/>
    <w:rsid w:val="00C653B9"/>
    <w:rsid w:val="00C656B1"/>
    <w:rsid w:val="00C65B1D"/>
    <w:rsid w:val="00C65CFA"/>
    <w:rsid w:val="00C65EF6"/>
    <w:rsid w:val="00C65F11"/>
    <w:rsid w:val="00C66033"/>
    <w:rsid w:val="00C6619D"/>
    <w:rsid w:val="00C6649E"/>
    <w:rsid w:val="00C665D9"/>
    <w:rsid w:val="00C6677B"/>
    <w:rsid w:val="00C668D4"/>
    <w:rsid w:val="00C669A4"/>
    <w:rsid w:val="00C66A1E"/>
    <w:rsid w:val="00C66D8A"/>
    <w:rsid w:val="00C66DA0"/>
    <w:rsid w:val="00C67034"/>
    <w:rsid w:val="00C670F7"/>
    <w:rsid w:val="00C673EA"/>
    <w:rsid w:val="00C674DD"/>
    <w:rsid w:val="00C677E6"/>
    <w:rsid w:val="00C67933"/>
    <w:rsid w:val="00C67A57"/>
    <w:rsid w:val="00C67A74"/>
    <w:rsid w:val="00C67E96"/>
    <w:rsid w:val="00C70119"/>
    <w:rsid w:val="00C70215"/>
    <w:rsid w:val="00C70592"/>
    <w:rsid w:val="00C706A6"/>
    <w:rsid w:val="00C707E3"/>
    <w:rsid w:val="00C70BDD"/>
    <w:rsid w:val="00C70FBE"/>
    <w:rsid w:val="00C7106B"/>
    <w:rsid w:val="00C711E9"/>
    <w:rsid w:val="00C71407"/>
    <w:rsid w:val="00C716E6"/>
    <w:rsid w:val="00C7177E"/>
    <w:rsid w:val="00C71786"/>
    <w:rsid w:val="00C71AE0"/>
    <w:rsid w:val="00C71E13"/>
    <w:rsid w:val="00C71F0F"/>
    <w:rsid w:val="00C72120"/>
    <w:rsid w:val="00C721AF"/>
    <w:rsid w:val="00C726FC"/>
    <w:rsid w:val="00C72701"/>
    <w:rsid w:val="00C7270C"/>
    <w:rsid w:val="00C72AB9"/>
    <w:rsid w:val="00C72D80"/>
    <w:rsid w:val="00C72FFD"/>
    <w:rsid w:val="00C73041"/>
    <w:rsid w:val="00C730DF"/>
    <w:rsid w:val="00C73641"/>
    <w:rsid w:val="00C73779"/>
    <w:rsid w:val="00C738AE"/>
    <w:rsid w:val="00C73AC1"/>
    <w:rsid w:val="00C74024"/>
    <w:rsid w:val="00C742B1"/>
    <w:rsid w:val="00C74490"/>
    <w:rsid w:val="00C74561"/>
    <w:rsid w:val="00C74EF2"/>
    <w:rsid w:val="00C7519E"/>
    <w:rsid w:val="00C75385"/>
    <w:rsid w:val="00C75410"/>
    <w:rsid w:val="00C7568F"/>
    <w:rsid w:val="00C7580D"/>
    <w:rsid w:val="00C75871"/>
    <w:rsid w:val="00C7595E"/>
    <w:rsid w:val="00C75BE8"/>
    <w:rsid w:val="00C7615B"/>
    <w:rsid w:val="00C765BD"/>
    <w:rsid w:val="00C76879"/>
    <w:rsid w:val="00C76B6E"/>
    <w:rsid w:val="00C76D60"/>
    <w:rsid w:val="00C76D6C"/>
    <w:rsid w:val="00C77380"/>
    <w:rsid w:val="00C778DA"/>
    <w:rsid w:val="00C77A51"/>
    <w:rsid w:val="00C77C16"/>
    <w:rsid w:val="00C77D5C"/>
    <w:rsid w:val="00C77DD3"/>
    <w:rsid w:val="00C77DDE"/>
    <w:rsid w:val="00C77E8C"/>
    <w:rsid w:val="00C800E6"/>
    <w:rsid w:val="00C8012E"/>
    <w:rsid w:val="00C801F5"/>
    <w:rsid w:val="00C80534"/>
    <w:rsid w:val="00C8053F"/>
    <w:rsid w:val="00C8057B"/>
    <w:rsid w:val="00C80CBE"/>
    <w:rsid w:val="00C80D92"/>
    <w:rsid w:val="00C80E9E"/>
    <w:rsid w:val="00C80EA6"/>
    <w:rsid w:val="00C8111F"/>
    <w:rsid w:val="00C814E6"/>
    <w:rsid w:val="00C81739"/>
    <w:rsid w:val="00C817B1"/>
    <w:rsid w:val="00C81878"/>
    <w:rsid w:val="00C818B9"/>
    <w:rsid w:val="00C81C15"/>
    <w:rsid w:val="00C81F82"/>
    <w:rsid w:val="00C820D7"/>
    <w:rsid w:val="00C82571"/>
    <w:rsid w:val="00C827CD"/>
    <w:rsid w:val="00C82887"/>
    <w:rsid w:val="00C829E9"/>
    <w:rsid w:val="00C82A08"/>
    <w:rsid w:val="00C82C2E"/>
    <w:rsid w:val="00C82D56"/>
    <w:rsid w:val="00C82DE9"/>
    <w:rsid w:val="00C83263"/>
    <w:rsid w:val="00C83605"/>
    <w:rsid w:val="00C8363F"/>
    <w:rsid w:val="00C836A3"/>
    <w:rsid w:val="00C8384F"/>
    <w:rsid w:val="00C83A75"/>
    <w:rsid w:val="00C83BCD"/>
    <w:rsid w:val="00C83DDE"/>
    <w:rsid w:val="00C83FFC"/>
    <w:rsid w:val="00C8509A"/>
    <w:rsid w:val="00C850E5"/>
    <w:rsid w:val="00C8512B"/>
    <w:rsid w:val="00C853A8"/>
    <w:rsid w:val="00C855DA"/>
    <w:rsid w:val="00C85A24"/>
    <w:rsid w:val="00C85AB7"/>
    <w:rsid w:val="00C85BA5"/>
    <w:rsid w:val="00C85BA7"/>
    <w:rsid w:val="00C85D19"/>
    <w:rsid w:val="00C85E21"/>
    <w:rsid w:val="00C85FB8"/>
    <w:rsid w:val="00C85FF3"/>
    <w:rsid w:val="00C867E6"/>
    <w:rsid w:val="00C86883"/>
    <w:rsid w:val="00C869F0"/>
    <w:rsid w:val="00C86CA4"/>
    <w:rsid w:val="00C86CA5"/>
    <w:rsid w:val="00C86CA6"/>
    <w:rsid w:val="00C86D95"/>
    <w:rsid w:val="00C87203"/>
    <w:rsid w:val="00C87226"/>
    <w:rsid w:val="00C873F3"/>
    <w:rsid w:val="00C875B4"/>
    <w:rsid w:val="00C87AF0"/>
    <w:rsid w:val="00C87DC1"/>
    <w:rsid w:val="00C87EFC"/>
    <w:rsid w:val="00C900E7"/>
    <w:rsid w:val="00C90415"/>
    <w:rsid w:val="00C9067B"/>
    <w:rsid w:val="00C90A3A"/>
    <w:rsid w:val="00C90D56"/>
    <w:rsid w:val="00C91716"/>
    <w:rsid w:val="00C917EC"/>
    <w:rsid w:val="00C919B8"/>
    <w:rsid w:val="00C91A16"/>
    <w:rsid w:val="00C924D8"/>
    <w:rsid w:val="00C92F21"/>
    <w:rsid w:val="00C930A1"/>
    <w:rsid w:val="00C93119"/>
    <w:rsid w:val="00C935B9"/>
    <w:rsid w:val="00C93A06"/>
    <w:rsid w:val="00C93A90"/>
    <w:rsid w:val="00C93E01"/>
    <w:rsid w:val="00C93E7B"/>
    <w:rsid w:val="00C93FE0"/>
    <w:rsid w:val="00C94041"/>
    <w:rsid w:val="00C94225"/>
    <w:rsid w:val="00C94481"/>
    <w:rsid w:val="00C945B5"/>
    <w:rsid w:val="00C947DE"/>
    <w:rsid w:val="00C949AC"/>
    <w:rsid w:val="00C94BF0"/>
    <w:rsid w:val="00C9513F"/>
    <w:rsid w:val="00C95290"/>
    <w:rsid w:val="00C9532C"/>
    <w:rsid w:val="00C957F8"/>
    <w:rsid w:val="00C9583F"/>
    <w:rsid w:val="00C95AAC"/>
    <w:rsid w:val="00C95BEF"/>
    <w:rsid w:val="00C95FD8"/>
    <w:rsid w:val="00C964D8"/>
    <w:rsid w:val="00C967E6"/>
    <w:rsid w:val="00C96884"/>
    <w:rsid w:val="00C969FE"/>
    <w:rsid w:val="00C96B65"/>
    <w:rsid w:val="00C96D78"/>
    <w:rsid w:val="00C96D9F"/>
    <w:rsid w:val="00C974EE"/>
    <w:rsid w:val="00C974F5"/>
    <w:rsid w:val="00C9758B"/>
    <w:rsid w:val="00C975C7"/>
    <w:rsid w:val="00C977FD"/>
    <w:rsid w:val="00C97878"/>
    <w:rsid w:val="00C97E92"/>
    <w:rsid w:val="00CA0339"/>
    <w:rsid w:val="00CA0518"/>
    <w:rsid w:val="00CA06D7"/>
    <w:rsid w:val="00CA0752"/>
    <w:rsid w:val="00CA0A09"/>
    <w:rsid w:val="00CA0D7C"/>
    <w:rsid w:val="00CA0E12"/>
    <w:rsid w:val="00CA10D5"/>
    <w:rsid w:val="00CA111F"/>
    <w:rsid w:val="00CA1685"/>
    <w:rsid w:val="00CA1839"/>
    <w:rsid w:val="00CA1AFC"/>
    <w:rsid w:val="00CA1B9D"/>
    <w:rsid w:val="00CA1E5E"/>
    <w:rsid w:val="00CA2166"/>
    <w:rsid w:val="00CA24F9"/>
    <w:rsid w:val="00CA2895"/>
    <w:rsid w:val="00CA2A9C"/>
    <w:rsid w:val="00CA3380"/>
    <w:rsid w:val="00CA3872"/>
    <w:rsid w:val="00CA38AF"/>
    <w:rsid w:val="00CA38EA"/>
    <w:rsid w:val="00CA392C"/>
    <w:rsid w:val="00CA3A9A"/>
    <w:rsid w:val="00CA3D40"/>
    <w:rsid w:val="00CA3F44"/>
    <w:rsid w:val="00CA3FE3"/>
    <w:rsid w:val="00CA4585"/>
    <w:rsid w:val="00CA495A"/>
    <w:rsid w:val="00CA5081"/>
    <w:rsid w:val="00CA50E6"/>
    <w:rsid w:val="00CA5875"/>
    <w:rsid w:val="00CA5F52"/>
    <w:rsid w:val="00CA5F65"/>
    <w:rsid w:val="00CA648A"/>
    <w:rsid w:val="00CA65F0"/>
    <w:rsid w:val="00CA687F"/>
    <w:rsid w:val="00CA68F8"/>
    <w:rsid w:val="00CA6937"/>
    <w:rsid w:val="00CA6D07"/>
    <w:rsid w:val="00CA6D9F"/>
    <w:rsid w:val="00CA6E89"/>
    <w:rsid w:val="00CA6F72"/>
    <w:rsid w:val="00CA7575"/>
    <w:rsid w:val="00CB00A7"/>
    <w:rsid w:val="00CB0155"/>
    <w:rsid w:val="00CB0348"/>
    <w:rsid w:val="00CB07B7"/>
    <w:rsid w:val="00CB089F"/>
    <w:rsid w:val="00CB0938"/>
    <w:rsid w:val="00CB0957"/>
    <w:rsid w:val="00CB0C01"/>
    <w:rsid w:val="00CB0C4E"/>
    <w:rsid w:val="00CB0E9F"/>
    <w:rsid w:val="00CB0F43"/>
    <w:rsid w:val="00CB0F58"/>
    <w:rsid w:val="00CB1403"/>
    <w:rsid w:val="00CB1409"/>
    <w:rsid w:val="00CB1564"/>
    <w:rsid w:val="00CB1739"/>
    <w:rsid w:val="00CB186D"/>
    <w:rsid w:val="00CB1949"/>
    <w:rsid w:val="00CB1A22"/>
    <w:rsid w:val="00CB1C78"/>
    <w:rsid w:val="00CB1C8B"/>
    <w:rsid w:val="00CB1D6B"/>
    <w:rsid w:val="00CB1E46"/>
    <w:rsid w:val="00CB1E96"/>
    <w:rsid w:val="00CB1FAA"/>
    <w:rsid w:val="00CB1FBF"/>
    <w:rsid w:val="00CB2000"/>
    <w:rsid w:val="00CB20F6"/>
    <w:rsid w:val="00CB21E2"/>
    <w:rsid w:val="00CB224A"/>
    <w:rsid w:val="00CB2323"/>
    <w:rsid w:val="00CB23B9"/>
    <w:rsid w:val="00CB2417"/>
    <w:rsid w:val="00CB2520"/>
    <w:rsid w:val="00CB25F3"/>
    <w:rsid w:val="00CB2886"/>
    <w:rsid w:val="00CB28DA"/>
    <w:rsid w:val="00CB2D72"/>
    <w:rsid w:val="00CB3525"/>
    <w:rsid w:val="00CB3604"/>
    <w:rsid w:val="00CB36A5"/>
    <w:rsid w:val="00CB3924"/>
    <w:rsid w:val="00CB3A55"/>
    <w:rsid w:val="00CB3B56"/>
    <w:rsid w:val="00CB3DC2"/>
    <w:rsid w:val="00CB3F6B"/>
    <w:rsid w:val="00CB4452"/>
    <w:rsid w:val="00CB468E"/>
    <w:rsid w:val="00CB473C"/>
    <w:rsid w:val="00CB4918"/>
    <w:rsid w:val="00CB4ADB"/>
    <w:rsid w:val="00CB50BD"/>
    <w:rsid w:val="00CB5228"/>
    <w:rsid w:val="00CB52A3"/>
    <w:rsid w:val="00CB5600"/>
    <w:rsid w:val="00CB56AA"/>
    <w:rsid w:val="00CB5F2C"/>
    <w:rsid w:val="00CB5F6B"/>
    <w:rsid w:val="00CB64C7"/>
    <w:rsid w:val="00CB6867"/>
    <w:rsid w:val="00CB68CE"/>
    <w:rsid w:val="00CB6903"/>
    <w:rsid w:val="00CB6B0B"/>
    <w:rsid w:val="00CB6E89"/>
    <w:rsid w:val="00CB719A"/>
    <w:rsid w:val="00CB721F"/>
    <w:rsid w:val="00CB7458"/>
    <w:rsid w:val="00CB7533"/>
    <w:rsid w:val="00CB76A8"/>
    <w:rsid w:val="00CB7D5A"/>
    <w:rsid w:val="00CB7E8E"/>
    <w:rsid w:val="00CB7F73"/>
    <w:rsid w:val="00CB7FA1"/>
    <w:rsid w:val="00CC0013"/>
    <w:rsid w:val="00CC03D3"/>
    <w:rsid w:val="00CC0B4B"/>
    <w:rsid w:val="00CC0E3A"/>
    <w:rsid w:val="00CC1179"/>
    <w:rsid w:val="00CC132A"/>
    <w:rsid w:val="00CC1335"/>
    <w:rsid w:val="00CC15B4"/>
    <w:rsid w:val="00CC1DB9"/>
    <w:rsid w:val="00CC2067"/>
    <w:rsid w:val="00CC25CC"/>
    <w:rsid w:val="00CC2708"/>
    <w:rsid w:val="00CC2841"/>
    <w:rsid w:val="00CC2948"/>
    <w:rsid w:val="00CC2C5E"/>
    <w:rsid w:val="00CC2DE9"/>
    <w:rsid w:val="00CC3190"/>
    <w:rsid w:val="00CC33BF"/>
    <w:rsid w:val="00CC3456"/>
    <w:rsid w:val="00CC3740"/>
    <w:rsid w:val="00CC3778"/>
    <w:rsid w:val="00CC4114"/>
    <w:rsid w:val="00CC4371"/>
    <w:rsid w:val="00CC4B51"/>
    <w:rsid w:val="00CC51E5"/>
    <w:rsid w:val="00CC53E6"/>
    <w:rsid w:val="00CC5709"/>
    <w:rsid w:val="00CC59A7"/>
    <w:rsid w:val="00CC5DFB"/>
    <w:rsid w:val="00CC64AF"/>
    <w:rsid w:val="00CC65D9"/>
    <w:rsid w:val="00CC65F4"/>
    <w:rsid w:val="00CC6731"/>
    <w:rsid w:val="00CC67A0"/>
    <w:rsid w:val="00CC6833"/>
    <w:rsid w:val="00CC6BC3"/>
    <w:rsid w:val="00CC6BF8"/>
    <w:rsid w:val="00CC6C6F"/>
    <w:rsid w:val="00CC72DB"/>
    <w:rsid w:val="00CC78E7"/>
    <w:rsid w:val="00CC7DA7"/>
    <w:rsid w:val="00CC7F8F"/>
    <w:rsid w:val="00CD016A"/>
    <w:rsid w:val="00CD018C"/>
    <w:rsid w:val="00CD0619"/>
    <w:rsid w:val="00CD0ADE"/>
    <w:rsid w:val="00CD0D77"/>
    <w:rsid w:val="00CD0FD4"/>
    <w:rsid w:val="00CD1035"/>
    <w:rsid w:val="00CD1040"/>
    <w:rsid w:val="00CD112B"/>
    <w:rsid w:val="00CD1286"/>
    <w:rsid w:val="00CD154C"/>
    <w:rsid w:val="00CD15BC"/>
    <w:rsid w:val="00CD16FB"/>
    <w:rsid w:val="00CD1AB4"/>
    <w:rsid w:val="00CD1C6E"/>
    <w:rsid w:val="00CD2172"/>
    <w:rsid w:val="00CD23A9"/>
    <w:rsid w:val="00CD23AA"/>
    <w:rsid w:val="00CD2523"/>
    <w:rsid w:val="00CD25FD"/>
    <w:rsid w:val="00CD262D"/>
    <w:rsid w:val="00CD27D2"/>
    <w:rsid w:val="00CD2844"/>
    <w:rsid w:val="00CD2A57"/>
    <w:rsid w:val="00CD2BE6"/>
    <w:rsid w:val="00CD32DA"/>
    <w:rsid w:val="00CD374F"/>
    <w:rsid w:val="00CD3C72"/>
    <w:rsid w:val="00CD3CCD"/>
    <w:rsid w:val="00CD3F6A"/>
    <w:rsid w:val="00CD4B04"/>
    <w:rsid w:val="00CD4C8E"/>
    <w:rsid w:val="00CD4E03"/>
    <w:rsid w:val="00CD5608"/>
    <w:rsid w:val="00CD5B61"/>
    <w:rsid w:val="00CD5C7A"/>
    <w:rsid w:val="00CD61E2"/>
    <w:rsid w:val="00CD62FB"/>
    <w:rsid w:val="00CD65F3"/>
    <w:rsid w:val="00CD6603"/>
    <w:rsid w:val="00CD6D4E"/>
    <w:rsid w:val="00CD6E92"/>
    <w:rsid w:val="00CD6EC0"/>
    <w:rsid w:val="00CD6FC5"/>
    <w:rsid w:val="00CD7799"/>
    <w:rsid w:val="00CD7B3F"/>
    <w:rsid w:val="00CD7CB1"/>
    <w:rsid w:val="00CD7CB7"/>
    <w:rsid w:val="00CD7FDA"/>
    <w:rsid w:val="00CE04C4"/>
    <w:rsid w:val="00CE08C9"/>
    <w:rsid w:val="00CE09F9"/>
    <w:rsid w:val="00CE0A4D"/>
    <w:rsid w:val="00CE0C6C"/>
    <w:rsid w:val="00CE0C9F"/>
    <w:rsid w:val="00CE0ED9"/>
    <w:rsid w:val="00CE0F06"/>
    <w:rsid w:val="00CE12C7"/>
    <w:rsid w:val="00CE12CD"/>
    <w:rsid w:val="00CE1460"/>
    <w:rsid w:val="00CE14C7"/>
    <w:rsid w:val="00CE1BAA"/>
    <w:rsid w:val="00CE1E46"/>
    <w:rsid w:val="00CE1F47"/>
    <w:rsid w:val="00CE24F1"/>
    <w:rsid w:val="00CE27D7"/>
    <w:rsid w:val="00CE2D6B"/>
    <w:rsid w:val="00CE3130"/>
    <w:rsid w:val="00CE314E"/>
    <w:rsid w:val="00CE320C"/>
    <w:rsid w:val="00CE36BF"/>
    <w:rsid w:val="00CE380A"/>
    <w:rsid w:val="00CE3AA6"/>
    <w:rsid w:val="00CE4FB6"/>
    <w:rsid w:val="00CE50F4"/>
    <w:rsid w:val="00CE5741"/>
    <w:rsid w:val="00CE58B4"/>
    <w:rsid w:val="00CE5B2C"/>
    <w:rsid w:val="00CE5C9F"/>
    <w:rsid w:val="00CE5D14"/>
    <w:rsid w:val="00CE5F6C"/>
    <w:rsid w:val="00CE61D2"/>
    <w:rsid w:val="00CE6424"/>
    <w:rsid w:val="00CE6721"/>
    <w:rsid w:val="00CE67BB"/>
    <w:rsid w:val="00CE6821"/>
    <w:rsid w:val="00CE69AD"/>
    <w:rsid w:val="00CE6C66"/>
    <w:rsid w:val="00CE6D9A"/>
    <w:rsid w:val="00CE6F2E"/>
    <w:rsid w:val="00CE7189"/>
    <w:rsid w:val="00CE74B6"/>
    <w:rsid w:val="00CE77DD"/>
    <w:rsid w:val="00CE7820"/>
    <w:rsid w:val="00CE78A6"/>
    <w:rsid w:val="00CE7958"/>
    <w:rsid w:val="00CE7A89"/>
    <w:rsid w:val="00CE7AD6"/>
    <w:rsid w:val="00CE7BE9"/>
    <w:rsid w:val="00CE7C14"/>
    <w:rsid w:val="00CF00A3"/>
    <w:rsid w:val="00CF00F6"/>
    <w:rsid w:val="00CF0438"/>
    <w:rsid w:val="00CF04CF"/>
    <w:rsid w:val="00CF06FE"/>
    <w:rsid w:val="00CF0AD9"/>
    <w:rsid w:val="00CF0BFD"/>
    <w:rsid w:val="00CF0CEA"/>
    <w:rsid w:val="00CF0FEA"/>
    <w:rsid w:val="00CF10E9"/>
    <w:rsid w:val="00CF1212"/>
    <w:rsid w:val="00CF14B9"/>
    <w:rsid w:val="00CF18B3"/>
    <w:rsid w:val="00CF210B"/>
    <w:rsid w:val="00CF2272"/>
    <w:rsid w:val="00CF276D"/>
    <w:rsid w:val="00CF28D8"/>
    <w:rsid w:val="00CF2DCD"/>
    <w:rsid w:val="00CF2ED7"/>
    <w:rsid w:val="00CF31BC"/>
    <w:rsid w:val="00CF3810"/>
    <w:rsid w:val="00CF39A6"/>
    <w:rsid w:val="00CF39D2"/>
    <w:rsid w:val="00CF41C4"/>
    <w:rsid w:val="00CF4C8A"/>
    <w:rsid w:val="00CF4C97"/>
    <w:rsid w:val="00CF4D62"/>
    <w:rsid w:val="00CF4EB7"/>
    <w:rsid w:val="00CF4FD1"/>
    <w:rsid w:val="00CF5233"/>
    <w:rsid w:val="00CF531F"/>
    <w:rsid w:val="00CF5488"/>
    <w:rsid w:val="00CF576E"/>
    <w:rsid w:val="00CF6006"/>
    <w:rsid w:val="00CF6036"/>
    <w:rsid w:val="00CF605E"/>
    <w:rsid w:val="00CF6195"/>
    <w:rsid w:val="00CF6596"/>
    <w:rsid w:val="00CF6643"/>
    <w:rsid w:val="00CF6A3A"/>
    <w:rsid w:val="00CF6B41"/>
    <w:rsid w:val="00CF6DBB"/>
    <w:rsid w:val="00CF6DDD"/>
    <w:rsid w:val="00CF6DF2"/>
    <w:rsid w:val="00CF6EC9"/>
    <w:rsid w:val="00CF71DC"/>
    <w:rsid w:val="00CF7235"/>
    <w:rsid w:val="00CF74BB"/>
    <w:rsid w:val="00CF75D7"/>
    <w:rsid w:val="00CF77E3"/>
    <w:rsid w:val="00CF786E"/>
    <w:rsid w:val="00CF788D"/>
    <w:rsid w:val="00CF7B11"/>
    <w:rsid w:val="00CF7B2B"/>
    <w:rsid w:val="00D00276"/>
    <w:rsid w:val="00D003E5"/>
    <w:rsid w:val="00D006F4"/>
    <w:rsid w:val="00D0091F"/>
    <w:rsid w:val="00D00B9E"/>
    <w:rsid w:val="00D00BEA"/>
    <w:rsid w:val="00D00E26"/>
    <w:rsid w:val="00D00F18"/>
    <w:rsid w:val="00D016BE"/>
    <w:rsid w:val="00D01859"/>
    <w:rsid w:val="00D019A1"/>
    <w:rsid w:val="00D01A4A"/>
    <w:rsid w:val="00D01A63"/>
    <w:rsid w:val="00D01B04"/>
    <w:rsid w:val="00D01B51"/>
    <w:rsid w:val="00D01B55"/>
    <w:rsid w:val="00D01C12"/>
    <w:rsid w:val="00D01C48"/>
    <w:rsid w:val="00D01DF3"/>
    <w:rsid w:val="00D01E49"/>
    <w:rsid w:val="00D01F3C"/>
    <w:rsid w:val="00D02070"/>
    <w:rsid w:val="00D02219"/>
    <w:rsid w:val="00D02294"/>
    <w:rsid w:val="00D02412"/>
    <w:rsid w:val="00D0242E"/>
    <w:rsid w:val="00D029F2"/>
    <w:rsid w:val="00D02A78"/>
    <w:rsid w:val="00D02BD0"/>
    <w:rsid w:val="00D02D68"/>
    <w:rsid w:val="00D03581"/>
    <w:rsid w:val="00D036D7"/>
    <w:rsid w:val="00D03884"/>
    <w:rsid w:val="00D0397F"/>
    <w:rsid w:val="00D03A7C"/>
    <w:rsid w:val="00D03E85"/>
    <w:rsid w:val="00D0414C"/>
    <w:rsid w:val="00D04314"/>
    <w:rsid w:val="00D043F2"/>
    <w:rsid w:val="00D044D5"/>
    <w:rsid w:val="00D04684"/>
    <w:rsid w:val="00D046DC"/>
    <w:rsid w:val="00D04853"/>
    <w:rsid w:val="00D048E3"/>
    <w:rsid w:val="00D049CB"/>
    <w:rsid w:val="00D04F3C"/>
    <w:rsid w:val="00D04F46"/>
    <w:rsid w:val="00D058E0"/>
    <w:rsid w:val="00D05BB2"/>
    <w:rsid w:val="00D05E58"/>
    <w:rsid w:val="00D062A8"/>
    <w:rsid w:val="00D06567"/>
    <w:rsid w:val="00D067C0"/>
    <w:rsid w:val="00D06D91"/>
    <w:rsid w:val="00D06EEA"/>
    <w:rsid w:val="00D06F1A"/>
    <w:rsid w:val="00D07122"/>
    <w:rsid w:val="00D0721D"/>
    <w:rsid w:val="00D07222"/>
    <w:rsid w:val="00D07472"/>
    <w:rsid w:val="00D07656"/>
    <w:rsid w:val="00D07891"/>
    <w:rsid w:val="00D078E5"/>
    <w:rsid w:val="00D0793F"/>
    <w:rsid w:val="00D079E8"/>
    <w:rsid w:val="00D07ADC"/>
    <w:rsid w:val="00D07AE1"/>
    <w:rsid w:val="00D100C9"/>
    <w:rsid w:val="00D101A8"/>
    <w:rsid w:val="00D10484"/>
    <w:rsid w:val="00D1089A"/>
    <w:rsid w:val="00D10B9A"/>
    <w:rsid w:val="00D1108F"/>
    <w:rsid w:val="00D111B5"/>
    <w:rsid w:val="00D11408"/>
    <w:rsid w:val="00D11423"/>
    <w:rsid w:val="00D11769"/>
    <w:rsid w:val="00D117A1"/>
    <w:rsid w:val="00D11D6B"/>
    <w:rsid w:val="00D11E68"/>
    <w:rsid w:val="00D11E7A"/>
    <w:rsid w:val="00D11EB5"/>
    <w:rsid w:val="00D1271A"/>
    <w:rsid w:val="00D12EE9"/>
    <w:rsid w:val="00D1309E"/>
    <w:rsid w:val="00D13186"/>
    <w:rsid w:val="00D133E4"/>
    <w:rsid w:val="00D13413"/>
    <w:rsid w:val="00D1342A"/>
    <w:rsid w:val="00D1348F"/>
    <w:rsid w:val="00D137B0"/>
    <w:rsid w:val="00D13E7D"/>
    <w:rsid w:val="00D13F33"/>
    <w:rsid w:val="00D142E6"/>
    <w:rsid w:val="00D142EE"/>
    <w:rsid w:val="00D1449A"/>
    <w:rsid w:val="00D14504"/>
    <w:rsid w:val="00D1494C"/>
    <w:rsid w:val="00D14AA3"/>
    <w:rsid w:val="00D14AB9"/>
    <w:rsid w:val="00D14D96"/>
    <w:rsid w:val="00D14E46"/>
    <w:rsid w:val="00D150A9"/>
    <w:rsid w:val="00D1523B"/>
    <w:rsid w:val="00D1526B"/>
    <w:rsid w:val="00D152C8"/>
    <w:rsid w:val="00D152F5"/>
    <w:rsid w:val="00D1532B"/>
    <w:rsid w:val="00D1543A"/>
    <w:rsid w:val="00D154B1"/>
    <w:rsid w:val="00D15567"/>
    <w:rsid w:val="00D1589E"/>
    <w:rsid w:val="00D160AC"/>
    <w:rsid w:val="00D161DA"/>
    <w:rsid w:val="00D16274"/>
    <w:rsid w:val="00D163D9"/>
    <w:rsid w:val="00D164B5"/>
    <w:rsid w:val="00D164D5"/>
    <w:rsid w:val="00D165A1"/>
    <w:rsid w:val="00D16640"/>
    <w:rsid w:val="00D16854"/>
    <w:rsid w:val="00D169D6"/>
    <w:rsid w:val="00D169DF"/>
    <w:rsid w:val="00D16CE5"/>
    <w:rsid w:val="00D176C3"/>
    <w:rsid w:val="00D17966"/>
    <w:rsid w:val="00D17A05"/>
    <w:rsid w:val="00D17A3D"/>
    <w:rsid w:val="00D17A6A"/>
    <w:rsid w:val="00D17DCE"/>
    <w:rsid w:val="00D17F15"/>
    <w:rsid w:val="00D20048"/>
    <w:rsid w:val="00D20302"/>
    <w:rsid w:val="00D20314"/>
    <w:rsid w:val="00D2068B"/>
    <w:rsid w:val="00D20F4A"/>
    <w:rsid w:val="00D21017"/>
    <w:rsid w:val="00D21331"/>
    <w:rsid w:val="00D2155D"/>
    <w:rsid w:val="00D21882"/>
    <w:rsid w:val="00D21BCA"/>
    <w:rsid w:val="00D21F33"/>
    <w:rsid w:val="00D21FCF"/>
    <w:rsid w:val="00D2228E"/>
    <w:rsid w:val="00D22634"/>
    <w:rsid w:val="00D22A61"/>
    <w:rsid w:val="00D22A96"/>
    <w:rsid w:val="00D23167"/>
    <w:rsid w:val="00D23292"/>
    <w:rsid w:val="00D232D3"/>
    <w:rsid w:val="00D2341B"/>
    <w:rsid w:val="00D234A2"/>
    <w:rsid w:val="00D236AA"/>
    <w:rsid w:val="00D23762"/>
    <w:rsid w:val="00D2397A"/>
    <w:rsid w:val="00D240C0"/>
    <w:rsid w:val="00D24164"/>
    <w:rsid w:val="00D241A9"/>
    <w:rsid w:val="00D244FE"/>
    <w:rsid w:val="00D24545"/>
    <w:rsid w:val="00D246C2"/>
    <w:rsid w:val="00D2477C"/>
    <w:rsid w:val="00D248E5"/>
    <w:rsid w:val="00D24987"/>
    <w:rsid w:val="00D24B5A"/>
    <w:rsid w:val="00D24C12"/>
    <w:rsid w:val="00D24CFC"/>
    <w:rsid w:val="00D24DC0"/>
    <w:rsid w:val="00D25053"/>
    <w:rsid w:val="00D251E1"/>
    <w:rsid w:val="00D2549E"/>
    <w:rsid w:val="00D25562"/>
    <w:rsid w:val="00D255E6"/>
    <w:rsid w:val="00D258D9"/>
    <w:rsid w:val="00D25E9D"/>
    <w:rsid w:val="00D25FB4"/>
    <w:rsid w:val="00D26125"/>
    <w:rsid w:val="00D26126"/>
    <w:rsid w:val="00D26378"/>
    <w:rsid w:val="00D26473"/>
    <w:rsid w:val="00D265BB"/>
    <w:rsid w:val="00D265F9"/>
    <w:rsid w:val="00D26627"/>
    <w:rsid w:val="00D266E5"/>
    <w:rsid w:val="00D268CF"/>
    <w:rsid w:val="00D26B1A"/>
    <w:rsid w:val="00D26E01"/>
    <w:rsid w:val="00D26EC7"/>
    <w:rsid w:val="00D27061"/>
    <w:rsid w:val="00D2746B"/>
    <w:rsid w:val="00D278BF"/>
    <w:rsid w:val="00D27954"/>
    <w:rsid w:val="00D27AA8"/>
    <w:rsid w:val="00D27AD3"/>
    <w:rsid w:val="00D27C67"/>
    <w:rsid w:val="00D27D38"/>
    <w:rsid w:val="00D27F5E"/>
    <w:rsid w:val="00D3017F"/>
    <w:rsid w:val="00D3036D"/>
    <w:rsid w:val="00D3052F"/>
    <w:rsid w:val="00D3058E"/>
    <w:rsid w:val="00D3080F"/>
    <w:rsid w:val="00D30A10"/>
    <w:rsid w:val="00D30BAC"/>
    <w:rsid w:val="00D30BCF"/>
    <w:rsid w:val="00D30D2E"/>
    <w:rsid w:val="00D30D6C"/>
    <w:rsid w:val="00D30E69"/>
    <w:rsid w:val="00D31632"/>
    <w:rsid w:val="00D31785"/>
    <w:rsid w:val="00D3240D"/>
    <w:rsid w:val="00D324E9"/>
    <w:rsid w:val="00D324EF"/>
    <w:rsid w:val="00D327A6"/>
    <w:rsid w:val="00D32C87"/>
    <w:rsid w:val="00D32EC7"/>
    <w:rsid w:val="00D330D4"/>
    <w:rsid w:val="00D333D7"/>
    <w:rsid w:val="00D33C86"/>
    <w:rsid w:val="00D33DCE"/>
    <w:rsid w:val="00D33FE6"/>
    <w:rsid w:val="00D342F2"/>
    <w:rsid w:val="00D34926"/>
    <w:rsid w:val="00D349B2"/>
    <w:rsid w:val="00D34CCB"/>
    <w:rsid w:val="00D34F20"/>
    <w:rsid w:val="00D35442"/>
    <w:rsid w:val="00D354E2"/>
    <w:rsid w:val="00D3560C"/>
    <w:rsid w:val="00D35A3D"/>
    <w:rsid w:val="00D35FC2"/>
    <w:rsid w:val="00D3602B"/>
    <w:rsid w:val="00D36094"/>
    <w:rsid w:val="00D3619B"/>
    <w:rsid w:val="00D361F4"/>
    <w:rsid w:val="00D365BE"/>
    <w:rsid w:val="00D365E4"/>
    <w:rsid w:val="00D365EE"/>
    <w:rsid w:val="00D36820"/>
    <w:rsid w:val="00D36B67"/>
    <w:rsid w:val="00D36F80"/>
    <w:rsid w:val="00D37453"/>
    <w:rsid w:val="00D37845"/>
    <w:rsid w:val="00D378FB"/>
    <w:rsid w:val="00D3790E"/>
    <w:rsid w:val="00D37A8D"/>
    <w:rsid w:val="00D37AF7"/>
    <w:rsid w:val="00D37C71"/>
    <w:rsid w:val="00D37E1C"/>
    <w:rsid w:val="00D37F9C"/>
    <w:rsid w:val="00D400EE"/>
    <w:rsid w:val="00D40222"/>
    <w:rsid w:val="00D4066B"/>
    <w:rsid w:val="00D40B84"/>
    <w:rsid w:val="00D40BBB"/>
    <w:rsid w:val="00D40BE7"/>
    <w:rsid w:val="00D40D94"/>
    <w:rsid w:val="00D40F3C"/>
    <w:rsid w:val="00D411D1"/>
    <w:rsid w:val="00D414D4"/>
    <w:rsid w:val="00D417B2"/>
    <w:rsid w:val="00D417D2"/>
    <w:rsid w:val="00D41BD2"/>
    <w:rsid w:val="00D41DD2"/>
    <w:rsid w:val="00D41E67"/>
    <w:rsid w:val="00D42177"/>
    <w:rsid w:val="00D42219"/>
    <w:rsid w:val="00D422B0"/>
    <w:rsid w:val="00D4264F"/>
    <w:rsid w:val="00D4289F"/>
    <w:rsid w:val="00D42D1C"/>
    <w:rsid w:val="00D42E66"/>
    <w:rsid w:val="00D42FF6"/>
    <w:rsid w:val="00D43061"/>
    <w:rsid w:val="00D43086"/>
    <w:rsid w:val="00D432B5"/>
    <w:rsid w:val="00D4342C"/>
    <w:rsid w:val="00D43481"/>
    <w:rsid w:val="00D43531"/>
    <w:rsid w:val="00D43594"/>
    <w:rsid w:val="00D435F4"/>
    <w:rsid w:val="00D43AFB"/>
    <w:rsid w:val="00D43B82"/>
    <w:rsid w:val="00D43C94"/>
    <w:rsid w:val="00D43CB9"/>
    <w:rsid w:val="00D43D46"/>
    <w:rsid w:val="00D43F87"/>
    <w:rsid w:val="00D4466F"/>
    <w:rsid w:val="00D44918"/>
    <w:rsid w:val="00D44B87"/>
    <w:rsid w:val="00D44BB0"/>
    <w:rsid w:val="00D44CD2"/>
    <w:rsid w:val="00D44E86"/>
    <w:rsid w:val="00D44F50"/>
    <w:rsid w:val="00D45145"/>
    <w:rsid w:val="00D45352"/>
    <w:rsid w:val="00D4547A"/>
    <w:rsid w:val="00D45534"/>
    <w:rsid w:val="00D458E9"/>
    <w:rsid w:val="00D458EC"/>
    <w:rsid w:val="00D45976"/>
    <w:rsid w:val="00D45A1C"/>
    <w:rsid w:val="00D45C7D"/>
    <w:rsid w:val="00D45E37"/>
    <w:rsid w:val="00D45EA8"/>
    <w:rsid w:val="00D45F8B"/>
    <w:rsid w:val="00D45FE3"/>
    <w:rsid w:val="00D462A9"/>
    <w:rsid w:val="00D4642A"/>
    <w:rsid w:val="00D4688A"/>
    <w:rsid w:val="00D4694A"/>
    <w:rsid w:val="00D46A21"/>
    <w:rsid w:val="00D46B47"/>
    <w:rsid w:val="00D46C28"/>
    <w:rsid w:val="00D46C61"/>
    <w:rsid w:val="00D46EB1"/>
    <w:rsid w:val="00D471E4"/>
    <w:rsid w:val="00D47696"/>
    <w:rsid w:val="00D47FBD"/>
    <w:rsid w:val="00D502C9"/>
    <w:rsid w:val="00D50367"/>
    <w:rsid w:val="00D50475"/>
    <w:rsid w:val="00D505D4"/>
    <w:rsid w:val="00D50618"/>
    <w:rsid w:val="00D506A1"/>
    <w:rsid w:val="00D506A9"/>
    <w:rsid w:val="00D50907"/>
    <w:rsid w:val="00D50EB5"/>
    <w:rsid w:val="00D510AF"/>
    <w:rsid w:val="00D511D5"/>
    <w:rsid w:val="00D513AF"/>
    <w:rsid w:val="00D5198D"/>
    <w:rsid w:val="00D51B39"/>
    <w:rsid w:val="00D51D85"/>
    <w:rsid w:val="00D51F0B"/>
    <w:rsid w:val="00D52079"/>
    <w:rsid w:val="00D52100"/>
    <w:rsid w:val="00D52602"/>
    <w:rsid w:val="00D5280A"/>
    <w:rsid w:val="00D53119"/>
    <w:rsid w:val="00D532E8"/>
    <w:rsid w:val="00D53542"/>
    <w:rsid w:val="00D53A44"/>
    <w:rsid w:val="00D53B8E"/>
    <w:rsid w:val="00D53ED6"/>
    <w:rsid w:val="00D540D9"/>
    <w:rsid w:val="00D5417E"/>
    <w:rsid w:val="00D54854"/>
    <w:rsid w:val="00D54B23"/>
    <w:rsid w:val="00D54DE1"/>
    <w:rsid w:val="00D55591"/>
    <w:rsid w:val="00D5617E"/>
    <w:rsid w:val="00D56284"/>
    <w:rsid w:val="00D563E6"/>
    <w:rsid w:val="00D56449"/>
    <w:rsid w:val="00D565EF"/>
    <w:rsid w:val="00D56625"/>
    <w:rsid w:val="00D56914"/>
    <w:rsid w:val="00D5692C"/>
    <w:rsid w:val="00D56C79"/>
    <w:rsid w:val="00D56F94"/>
    <w:rsid w:val="00D56FA7"/>
    <w:rsid w:val="00D57046"/>
    <w:rsid w:val="00D5706E"/>
    <w:rsid w:val="00D570DE"/>
    <w:rsid w:val="00D570E5"/>
    <w:rsid w:val="00D5716F"/>
    <w:rsid w:val="00D57461"/>
    <w:rsid w:val="00D57676"/>
    <w:rsid w:val="00D57902"/>
    <w:rsid w:val="00D605E3"/>
    <w:rsid w:val="00D60AB4"/>
    <w:rsid w:val="00D60C3B"/>
    <w:rsid w:val="00D60CD0"/>
    <w:rsid w:val="00D60F59"/>
    <w:rsid w:val="00D61216"/>
    <w:rsid w:val="00D615D7"/>
    <w:rsid w:val="00D6171D"/>
    <w:rsid w:val="00D617F7"/>
    <w:rsid w:val="00D61889"/>
    <w:rsid w:val="00D621C3"/>
    <w:rsid w:val="00D623E2"/>
    <w:rsid w:val="00D62692"/>
    <w:rsid w:val="00D62B6D"/>
    <w:rsid w:val="00D62BC3"/>
    <w:rsid w:val="00D62BE6"/>
    <w:rsid w:val="00D630EF"/>
    <w:rsid w:val="00D63504"/>
    <w:rsid w:val="00D63725"/>
    <w:rsid w:val="00D63C6D"/>
    <w:rsid w:val="00D64027"/>
    <w:rsid w:val="00D6403F"/>
    <w:rsid w:val="00D642D9"/>
    <w:rsid w:val="00D64A67"/>
    <w:rsid w:val="00D64FC1"/>
    <w:rsid w:val="00D6509A"/>
    <w:rsid w:val="00D65189"/>
    <w:rsid w:val="00D65244"/>
    <w:rsid w:val="00D656DB"/>
    <w:rsid w:val="00D658CD"/>
    <w:rsid w:val="00D65E54"/>
    <w:rsid w:val="00D66333"/>
    <w:rsid w:val="00D668E0"/>
    <w:rsid w:val="00D66962"/>
    <w:rsid w:val="00D66BF9"/>
    <w:rsid w:val="00D67556"/>
    <w:rsid w:val="00D6757A"/>
    <w:rsid w:val="00D6780D"/>
    <w:rsid w:val="00D67ECD"/>
    <w:rsid w:val="00D70223"/>
    <w:rsid w:val="00D7082B"/>
    <w:rsid w:val="00D7091D"/>
    <w:rsid w:val="00D70CE3"/>
    <w:rsid w:val="00D70D95"/>
    <w:rsid w:val="00D71040"/>
    <w:rsid w:val="00D71313"/>
    <w:rsid w:val="00D7149B"/>
    <w:rsid w:val="00D715AC"/>
    <w:rsid w:val="00D71C89"/>
    <w:rsid w:val="00D720A2"/>
    <w:rsid w:val="00D724D1"/>
    <w:rsid w:val="00D7275F"/>
    <w:rsid w:val="00D72A5A"/>
    <w:rsid w:val="00D72DF9"/>
    <w:rsid w:val="00D72FE9"/>
    <w:rsid w:val="00D7388C"/>
    <w:rsid w:val="00D73924"/>
    <w:rsid w:val="00D73B3C"/>
    <w:rsid w:val="00D73F12"/>
    <w:rsid w:val="00D74025"/>
    <w:rsid w:val="00D74058"/>
    <w:rsid w:val="00D7410D"/>
    <w:rsid w:val="00D7411C"/>
    <w:rsid w:val="00D7465A"/>
    <w:rsid w:val="00D74674"/>
    <w:rsid w:val="00D747AF"/>
    <w:rsid w:val="00D7499A"/>
    <w:rsid w:val="00D749E9"/>
    <w:rsid w:val="00D74AA3"/>
    <w:rsid w:val="00D74AC9"/>
    <w:rsid w:val="00D74CD9"/>
    <w:rsid w:val="00D74F2D"/>
    <w:rsid w:val="00D750D0"/>
    <w:rsid w:val="00D75441"/>
    <w:rsid w:val="00D754FC"/>
    <w:rsid w:val="00D755AA"/>
    <w:rsid w:val="00D75892"/>
    <w:rsid w:val="00D75C2E"/>
    <w:rsid w:val="00D75F5A"/>
    <w:rsid w:val="00D75F92"/>
    <w:rsid w:val="00D76003"/>
    <w:rsid w:val="00D760EB"/>
    <w:rsid w:val="00D762CA"/>
    <w:rsid w:val="00D76790"/>
    <w:rsid w:val="00D76C11"/>
    <w:rsid w:val="00D76FE8"/>
    <w:rsid w:val="00D76FF2"/>
    <w:rsid w:val="00D77589"/>
    <w:rsid w:val="00D7765E"/>
    <w:rsid w:val="00D777C3"/>
    <w:rsid w:val="00D77BAF"/>
    <w:rsid w:val="00D77C61"/>
    <w:rsid w:val="00D77D3A"/>
    <w:rsid w:val="00D77EDD"/>
    <w:rsid w:val="00D77FC9"/>
    <w:rsid w:val="00D8026E"/>
    <w:rsid w:val="00D803D0"/>
    <w:rsid w:val="00D805DA"/>
    <w:rsid w:val="00D805E3"/>
    <w:rsid w:val="00D806E2"/>
    <w:rsid w:val="00D808C3"/>
    <w:rsid w:val="00D80DAC"/>
    <w:rsid w:val="00D8136C"/>
    <w:rsid w:val="00D8139E"/>
    <w:rsid w:val="00D81581"/>
    <w:rsid w:val="00D815F3"/>
    <w:rsid w:val="00D81B37"/>
    <w:rsid w:val="00D81C7D"/>
    <w:rsid w:val="00D81D05"/>
    <w:rsid w:val="00D81DB1"/>
    <w:rsid w:val="00D820C5"/>
    <w:rsid w:val="00D8214F"/>
    <w:rsid w:val="00D827B3"/>
    <w:rsid w:val="00D82889"/>
    <w:rsid w:val="00D82AF1"/>
    <w:rsid w:val="00D82E60"/>
    <w:rsid w:val="00D82EB6"/>
    <w:rsid w:val="00D82F01"/>
    <w:rsid w:val="00D83207"/>
    <w:rsid w:val="00D834E5"/>
    <w:rsid w:val="00D835E4"/>
    <w:rsid w:val="00D837BA"/>
    <w:rsid w:val="00D838A9"/>
    <w:rsid w:val="00D83D22"/>
    <w:rsid w:val="00D83EDC"/>
    <w:rsid w:val="00D83F22"/>
    <w:rsid w:val="00D84125"/>
    <w:rsid w:val="00D84411"/>
    <w:rsid w:val="00D84582"/>
    <w:rsid w:val="00D84CC2"/>
    <w:rsid w:val="00D84F87"/>
    <w:rsid w:val="00D851FC"/>
    <w:rsid w:val="00D85311"/>
    <w:rsid w:val="00D853E9"/>
    <w:rsid w:val="00D85610"/>
    <w:rsid w:val="00D858B9"/>
    <w:rsid w:val="00D85F1A"/>
    <w:rsid w:val="00D86160"/>
    <w:rsid w:val="00D86532"/>
    <w:rsid w:val="00D8680D"/>
    <w:rsid w:val="00D86864"/>
    <w:rsid w:val="00D86907"/>
    <w:rsid w:val="00D86972"/>
    <w:rsid w:val="00D86981"/>
    <w:rsid w:val="00D872B4"/>
    <w:rsid w:val="00D8732D"/>
    <w:rsid w:val="00D87568"/>
    <w:rsid w:val="00D876BD"/>
    <w:rsid w:val="00D87871"/>
    <w:rsid w:val="00D8793B"/>
    <w:rsid w:val="00D87C3E"/>
    <w:rsid w:val="00D87C73"/>
    <w:rsid w:val="00D87D80"/>
    <w:rsid w:val="00D87E7C"/>
    <w:rsid w:val="00D907D8"/>
    <w:rsid w:val="00D90843"/>
    <w:rsid w:val="00D9089D"/>
    <w:rsid w:val="00D908D5"/>
    <w:rsid w:val="00D909DC"/>
    <w:rsid w:val="00D90C85"/>
    <w:rsid w:val="00D919DE"/>
    <w:rsid w:val="00D91A39"/>
    <w:rsid w:val="00D91B38"/>
    <w:rsid w:val="00D91E86"/>
    <w:rsid w:val="00D91ED7"/>
    <w:rsid w:val="00D921D4"/>
    <w:rsid w:val="00D922FE"/>
    <w:rsid w:val="00D9243C"/>
    <w:rsid w:val="00D926A4"/>
    <w:rsid w:val="00D92725"/>
    <w:rsid w:val="00D927AE"/>
    <w:rsid w:val="00D929D4"/>
    <w:rsid w:val="00D92AA2"/>
    <w:rsid w:val="00D92AC7"/>
    <w:rsid w:val="00D92CBD"/>
    <w:rsid w:val="00D92E0C"/>
    <w:rsid w:val="00D93033"/>
    <w:rsid w:val="00D930DE"/>
    <w:rsid w:val="00D9343B"/>
    <w:rsid w:val="00D935DA"/>
    <w:rsid w:val="00D9362C"/>
    <w:rsid w:val="00D93647"/>
    <w:rsid w:val="00D93A39"/>
    <w:rsid w:val="00D93AA8"/>
    <w:rsid w:val="00D93B49"/>
    <w:rsid w:val="00D93D21"/>
    <w:rsid w:val="00D93F74"/>
    <w:rsid w:val="00D9409F"/>
    <w:rsid w:val="00D94117"/>
    <w:rsid w:val="00D941C5"/>
    <w:rsid w:val="00D9483D"/>
    <w:rsid w:val="00D94B26"/>
    <w:rsid w:val="00D94FA7"/>
    <w:rsid w:val="00D950B6"/>
    <w:rsid w:val="00D95200"/>
    <w:rsid w:val="00D95366"/>
    <w:rsid w:val="00D9536A"/>
    <w:rsid w:val="00D9547F"/>
    <w:rsid w:val="00D958A8"/>
    <w:rsid w:val="00D959B3"/>
    <w:rsid w:val="00D95B92"/>
    <w:rsid w:val="00D95FEB"/>
    <w:rsid w:val="00D960E7"/>
    <w:rsid w:val="00D9613F"/>
    <w:rsid w:val="00D964F6"/>
    <w:rsid w:val="00D96663"/>
    <w:rsid w:val="00D966B0"/>
    <w:rsid w:val="00D966F3"/>
    <w:rsid w:val="00D96711"/>
    <w:rsid w:val="00D96A81"/>
    <w:rsid w:val="00D96CC1"/>
    <w:rsid w:val="00D96EF0"/>
    <w:rsid w:val="00D97027"/>
    <w:rsid w:val="00D9703E"/>
    <w:rsid w:val="00D973B5"/>
    <w:rsid w:val="00D974C9"/>
    <w:rsid w:val="00D974DC"/>
    <w:rsid w:val="00D9759C"/>
    <w:rsid w:val="00D977E0"/>
    <w:rsid w:val="00D979A8"/>
    <w:rsid w:val="00DA02A9"/>
    <w:rsid w:val="00DA041D"/>
    <w:rsid w:val="00DA0517"/>
    <w:rsid w:val="00DA07DB"/>
    <w:rsid w:val="00DA0ACD"/>
    <w:rsid w:val="00DA0B68"/>
    <w:rsid w:val="00DA0D03"/>
    <w:rsid w:val="00DA0EDB"/>
    <w:rsid w:val="00DA10CC"/>
    <w:rsid w:val="00DA11E1"/>
    <w:rsid w:val="00DA1554"/>
    <w:rsid w:val="00DA177C"/>
    <w:rsid w:val="00DA1ADE"/>
    <w:rsid w:val="00DA1BA4"/>
    <w:rsid w:val="00DA20E8"/>
    <w:rsid w:val="00DA2C17"/>
    <w:rsid w:val="00DA2F99"/>
    <w:rsid w:val="00DA3159"/>
    <w:rsid w:val="00DA32B6"/>
    <w:rsid w:val="00DA3928"/>
    <w:rsid w:val="00DA3D0B"/>
    <w:rsid w:val="00DA3E4C"/>
    <w:rsid w:val="00DA44F5"/>
    <w:rsid w:val="00DA456C"/>
    <w:rsid w:val="00DA4771"/>
    <w:rsid w:val="00DA49FA"/>
    <w:rsid w:val="00DA4B39"/>
    <w:rsid w:val="00DA4BB8"/>
    <w:rsid w:val="00DA5445"/>
    <w:rsid w:val="00DA5968"/>
    <w:rsid w:val="00DA5AB8"/>
    <w:rsid w:val="00DA60E9"/>
    <w:rsid w:val="00DA634F"/>
    <w:rsid w:val="00DA63FF"/>
    <w:rsid w:val="00DA67CF"/>
    <w:rsid w:val="00DA6B31"/>
    <w:rsid w:val="00DA6BF4"/>
    <w:rsid w:val="00DA6C42"/>
    <w:rsid w:val="00DA6EB2"/>
    <w:rsid w:val="00DA6F66"/>
    <w:rsid w:val="00DA6FEF"/>
    <w:rsid w:val="00DA7110"/>
    <w:rsid w:val="00DA757A"/>
    <w:rsid w:val="00DA7589"/>
    <w:rsid w:val="00DA769C"/>
    <w:rsid w:val="00DB0190"/>
    <w:rsid w:val="00DB01F1"/>
    <w:rsid w:val="00DB03DA"/>
    <w:rsid w:val="00DB07B5"/>
    <w:rsid w:val="00DB07FE"/>
    <w:rsid w:val="00DB0808"/>
    <w:rsid w:val="00DB0DBA"/>
    <w:rsid w:val="00DB0E83"/>
    <w:rsid w:val="00DB1268"/>
    <w:rsid w:val="00DB12C4"/>
    <w:rsid w:val="00DB1404"/>
    <w:rsid w:val="00DB14BC"/>
    <w:rsid w:val="00DB1A20"/>
    <w:rsid w:val="00DB1BF2"/>
    <w:rsid w:val="00DB1D71"/>
    <w:rsid w:val="00DB1DE4"/>
    <w:rsid w:val="00DB21E8"/>
    <w:rsid w:val="00DB264E"/>
    <w:rsid w:val="00DB293A"/>
    <w:rsid w:val="00DB2A8C"/>
    <w:rsid w:val="00DB2EDF"/>
    <w:rsid w:val="00DB3033"/>
    <w:rsid w:val="00DB30BA"/>
    <w:rsid w:val="00DB31B0"/>
    <w:rsid w:val="00DB31FB"/>
    <w:rsid w:val="00DB39E5"/>
    <w:rsid w:val="00DB3ACC"/>
    <w:rsid w:val="00DB3E16"/>
    <w:rsid w:val="00DB3ED5"/>
    <w:rsid w:val="00DB413D"/>
    <w:rsid w:val="00DB416B"/>
    <w:rsid w:val="00DB44E7"/>
    <w:rsid w:val="00DB4726"/>
    <w:rsid w:val="00DB4A7B"/>
    <w:rsid w:val="00DB4C25"/>
    <w:rsid w:val="00DB4D35"/>
    <w:rsid w:val="00DB4E4E"/>
    <w:rsid w:val="00DB525B"/>
    <w:rsid w:val="00DB5952"/>
    <w:rsid w:val="00DB602B"/>
    <w:rsid w:val="00DB6571"/>
    <w:rsid w:val="00DB6A53"/>
    <w:rsid w:val="00DB6BB8"/>
    <w:rsid w:val="00DB6BFE"/>
    <w:rsid w:val="00DB6D67"/>
    <w:rsid w:val="00DB6F7D"/>
    <w:rsid w:val="00DB6FAE"/>
    <w:rsid w:val="00DB7109"/>
    <w:rsid w:val="00DB7307"/>
    <w:rsid w:val="00DB749A"/>
    <w:rsid w:val="00DB7632"/>
    <w:rsid w:val="00DB78E1"/>
    <w:rsid w:val="00DB794D"/>
    <w:rsid w:val="00DB79C9"/>
    <w:rsid w:val="00DB7A67"/>
    <w:rsid w:val="00DB7B37"/>
    <w:rsid w:val="00DB7EE9"/>
    <w:rsid w:val="00DC0039"/>
    <w:rsid w:val="00DC012E"/>
    <w:rsid w:val="00DC02B3"/>
    <w:rsid w:val="00DC02ED"/>
    <w:rsid w:val="00DC0340"/>
    <w:rsid w:val="00DC0808"/>
    <w:rsid w:val="00DC0AFE"/>
    <w:rsid w:val="00DC0B0D"/>
    <w:rsid w:val="00DC0BBF"/>
    <w:rsid w:val="00DC0E55"/>
    <w:rsid w:val="00DC110D"/>
    <w:rsid w:val="00DC13C6"/>
    <w:rsid w:val="00DC16F2"/>
    <w:rsid w:val="00DC17CE"/>
    <w:rsid w:val="00DC194B"/>
    <w:rsid w:val="00DC1A32"/>
    <w:rsid w:val="00DC1AA2"/>
    <w:rsid w:val="00DC1B1F"/>
    <w:rsid w:val="00DC2083"/>
    <w:rsid w:val="00DC208F"/>
    <w:rsid w:val="00DC2174"/>
    <w:rsid w:val="00DC220D"/>
    <w:rsid w:val="00DC228A"/>
    <w:rsid w:val="00DC22C2"/>
    <w:rsid w:val="00DC22C4"/>
    <w:rsid w:val="00DC2413"/>
    <w:rsid w:val="00DC264A"/>
    <w:rsid w:val="00DC2968"/>
    <w:rsid w:val="00DC2970"/>
    <w:rsid w:val="00DC2A23"/>
    <w:rsid w:val="00DC2AEA"/>
    <w:rsid w:val="00DC2DEC"/>
    <w:rsid w:val="00DC3009"/>
    <w:rsid w:val="00DC308E"/>
    <w:rsid w:val="00DC3486"/>
    <w:rsid w:val="00DC3C09"/>
    <w:rsid w:val="00DC3E1A"/>
    <w:rsid w:val="00DC410D"/>
    <w:rsid w:val="00DC41BC"/>
    <w:rsid w:val="00DC41FE"/>
    <w:rsid w:val="00DC4557"/>
    <w:rsid w:val="00DC46BB"/>
    <w:rsid w:val="00DC4BA3"/>
    <w:rsid w:val="00DC4F4F"/>
    <w:rsid w:val="00DC50AB"/>
    <w:rsid w:val="00DC51C5"/>
    <w:rsid w:val="00DC5504"/>
    <w:rsid w:val="00DC564F"/>
    <w:rsid w:val="00DC594D"/>
    <w:rsid w:val="00DC59F9"/>
    <w:rsid w:val="00DC5A35"/>
    <w:rsid w:val="00DC5C6F"/>
    <w:rsid w:val="00DC5C9A"/>
    <w:rsid w:val="00DC5CDA"/>
    <w:rsid w:val="00DC5DAD"/>
    <w:rsid w:val="00DC5E1D"/>
    <w:rsid w:val="00DC6081"/>
    <w:rsid w:val="00DC60A3"/>
    <w:rsid w:val="00DC6DC5"/>
    <w:rsid w:val="00DC6F31"/>
    <w:rsid w:val="00DC73A8"/>
    <w:rsid w:val="00DC7414"/>
    <w:rsid w:val="00DC786D"/>
    <w:rsid w:val="00DC7D73"/>
    <w:rsid w:val="00DD012D"/>
    <w:rsid w:val="00DD01D5"/>
    <w:rsid w:val="00DD029E"/>
    <w:rsid w:val="00DD0455"/>
    <w:rsid w:val="00DD0768"/>
    <w:rsid w:val="00DD09C0"/>
    <w:rsid w:val="00DD0AE1"/>
    <w:rsid w:val="00DD0B8B"/>
    <w:rsid w:val="00DD0E70"/>
    <w:rsid w:val="00DD0ED5"/>
    <w:rsid w:val="00DD10E2"/>
    <w:rsid w:val="00DD117B"/>
    <w:rsid w:val="00DD13D4"/>
    <w:rsid w:val="00DD1595"/>
    <w:rsid w:val="00DD175A"/>
    <w:rsid w:val="00DD1785"/>
    <w:rsid w:val="00DD1D58"/>
    <w:rsid w:val="00DD1F61"/>
    <w:rsid w:val="00DD22CC"/>
    <w:rsid w:val="00DD23B4"/>
    <w:rsid w:val="00DD2457"/>
    <w:rsid w:val="00DD2759"/>
    <w:rsid w:val="00DD28D2"/>
    <w:rsid w:val="00DD28FE"/>
    <w:rsid w:val="00DD2BA4"/>
    <w:rsid w:val="00DD3251"/>
    <w:rsid w:val="00DD376F"/>
    <w:rsid w:val="00DD3825"/>
    <w:rsid w:val="00DD3879"/>
    <w:rsid w:val="00DD390E"/>
    <w:rsid w:val="00DD395E"/>
    <w:rsid w:val="00DD3C7B"/>
    <w:rsid w:val="00DD3CEB"/>
    <w:rsid w:val="00DD3DDA"/>
    <w:rsid w:val="00DD3F88"/>
    <w:rsid w:val="00DD40FC"/>
    <w:rsid w:val="00DD43D9"/>
    <w:rsid w:val="00DD4430"/>
    <w:rsid w:val="00DD44A3"/>
    <w:rsid w:val="00DD474C"/>
    <w:rsid w:val="00DD4972"/>
    <w:rsid w:val="00DD4BEC"/>
    <w:rsid w:val="00DD4D4C"/>
    <w:rsid w:val="00DD532C"/>
    <w:rsid w:val="00DD5334"/>
    <w:rsid w:val="00DD54F1"/>
    <w:rsid w:val="00DD5D55"/>
    <w:rsid w:val="00DD668F"/>
    <w:rsid w:val="00DD6814"/>
    <w:rsid w:val="00DD6CCE"/>
    <w:rsid w:val="00DD6EF7"/>
    <w:rsid w:val="00DD7202"/>
    <w:rsid w:val="00DD7595"/>
    <w:rsid w:val="00DD7665"/>
    <w:rsid w:val="00DD770E"/>
    <w:rsid w:val="00DD7AAE"/>
    <w:rsid w:val="00DD7F5E"/>
    <w:rsid w:val="00DE002B"/>
    <w:rsid w:val="00DE003B"/>
    <w:rsid w:val="00DE007C"/>
    <w:rsid w:val="00DE016E"/>
    <w:rsid w:val="00DE01D3"/>
    <w:rsid w:val="00DE0205"/>
    <w:rsid w:val="00DE0206"/>
    <w:rsid w:val="00DE021C"/>
    <w:rsid w:val="00DE0225"/>
    <w:rsid w:val="00DE0405"/>
    <w:rsid w:val="00DE0469"/>
    <w:rsid w:val="00DE0629"/>
    <w:rsid w:val="00DE076D"/>
    <w:rsid w:val="00DE0844"/>
    <w:rsid w:val="00DE0A95"/>
    <w:rsid w:val="00DE0A9F"/>
    <w:rsid w:val="00DE0CEB"/>
    <w:rsid w:val="00DE0D58"/>
    <w:rsid w:val="00DE0DD8"/>
    <w:rsid w:val="00DE0E21"/>
    <w:rsid w:val="00DE0F27"/>
    <w:rsid w:val="00DE1150"/>
    <w:rsid w:val="00DE1189"/>
    <w:rsid w:val="00DE1366"/>
    <w:rsid w:val="00DE1567"/>
    <w:rsid w:val="00DE1655"/>
    <w:rsid w:val="00DE1792"/>
    <w:rsid w:val="00DE1824"/>
    <w:rsid w:val="00DE18F3"/>
    <w:rsid w:val="00DE1C69"/>
    <w:rsid w:val="00DE1CB0"/>
    <w:rsid w:val="00DE1E69"/>
    <w:rsid w:val="00DE20B5"/>
    <w:rsid w:val="00DE229B"/>
    <w:rsid w:val="00DE247B"/>
    <w:rsid w:val="00DE27C1"/>
    <w:rsid w:val="00DE2828"/>
    <w:rsid w:val="00DE29D7"/>
    <w:rsid w:val="00DE33F7"/>
    <w:rsid w:val="00DE37B3"/>
    <w:rsid w:val="00DE3D1F"/>
    <w:rsid w:val="00DE4669"/>
    <w:rsid w:val="00DE477B"/>
    <w:rsid w:val="00DE4F69"/>
    <w:rsid w:val="00DE5328"/>
    <w:rsid w:val="00DE541F"/>
    <w:rsid w:val="00DE59D8"/>
    <w:rsid w:val="00DE5B97"/>
    <w:rsid w:val="00DE60F0"/>
    <w:rsid w:val="00DE6143"/>
    <w:rsid w:val="00DE6612"/>
    <w:rsid w:val="00DE6643"/>
    <w:rsid w:val="00DE68C3"/>
    <w:rsid w:val="00DE73C2"/>
    <w:rsid w:val="00DE73C4"/>
    <w:rsid w:val="00DE75B7"/>
    <w:rsid w:val="00DE772F"/>
    <w:rsid w:val="00DE77D8"/>
    <w:rsid w:val="00DE7C45"/>
    <w:rsid w:val="00DE7E8C"/>
    <w:rsid w:val="00DF012C"/>
    <w:rsid w:val="00DF072D"/>
    <w:rsid w:val="00DF0780"/>
    <w:rsid w:val="00DF086E"/>
    <w:rsid w:val="00DF09E2"/>
    <w:rsid w:val="00DF0E5A"/>
    <w:rsid w:val="00DF1009"/>
    <w:rsid w:val="00DF10F1"/>
    <w:rsid w:val="00DF1257"/>
    <w:rsid w:val="00DF140A"/>
    <w:rsid w:val="00DF1741"/>
    <w:rsid w:val="00DF179F"/>
    <w:rsid w:val="00DF1965"/>
    <w:rsid w:val="00DF19EA"/>
    <w:rsid w:val="00DF1A1B"/>
    <w:rsid w:val="00DF1F7D"/>
    <w:rsid w:val="00DF21E6"/>
    <w:rsid w:val="00DF231B"/>
    <w:rsid w:val="00DF23CA"/>
    <w:rsid w:val="00DF23F7"/>
    <w:rsid w:val="00DF25C1"/>
    <w:rsid w:val="00DF2887"/>
    <w:rsid w:val="00DF2BEA"/>
    <w:rsid w:val="00DF2CFB"/>
    <w:rsid w:val="00DF2D8B"/>
    <w:rsid w:val="00DF3217"/>
    <w:rsid w:val="00DF35F7"/>
    <w:rsid w:val="00DF3684"/>
    <w:rsid w:val="00DF37DE"/>
    <w:rsid w:val="00DF3DA6"/>
    <w:rsid w:val="00DF44A4"/>
    <w:rsid w:val="00DF44C9"/>
    <w:rsid w:val="00DF4DC7"/>
    <w:rsid w:val="00DF4F2E"/>
    <w:rsid w:val="00DF5225"/>
    <w:rsid w:val="00DF5395"/>
    <w:rsid w:val="00DF57E8"/>
    <w:rsid w:val="00DF5AB8"/>
    <w:rsid w:val="00DF5E44"/>
    <w:rsid w:val="00DF6046"/>
    <w:rsid w:val="00DF62E1"/>
    <w:rsid w:val="00DF67CD"/>
    <w:rsid w:val="00DF67DD"/>
    <w:rsid w:val="00DF68FE"/>
    <w:rsid w:val="00DF6CCE"/>
    <w:rsid w:val="00DF6DCB"/>
    <w:rsid w:val="00DF6E09"/>
    <w:rsid w:val="00DF6E6A"/>
    <w:rsid w:val="00DF703E"/>
    <w:rsid w:val="00DF708D"/>
    <w:rsid w:val="00DF726C"/>
    <w:rsid w:val="00DF76B1"/>
    <w:rsid w:val="00DF7702"/>
    <w:rsid w:val="00DF79DC"/>
    <w:rsid w:val="00DF7A94"/>
    <w:rsid w:val="00DF7BD3"/>
    <w:rsid w:val="00DF7E7F"/>
    <w:rsid w:val="00E00049"/>
    <w:rsid w:val="00E002FA"/>
    <w:rsid w:val="00E002FD"/>
    <w:rsid w:val="00E00337"/>
    <w:rsid w:val="00E004A0"/>
    <w:rsid w:val="00E00596"/>
    <w:rsid w:val="00E009BA"/>
    <w:rsid w:val="00E009BE"/>
    <w:rsid w:val="00E009F1"/>
    <w:rsid w:val="00E00D62"/>
    <w:rsid w:val="00E014D1"/>
    <w:rsid w:val="00E01753"/>
    <w:rsid w:val="00E019EB"/>
    <w:rsid w:val="00E01ADE"/>
    <w:rsid w:val="00E01E6B"/>
    <w:rsid w:val="00E020D5"/>
    <w:rsid w:val="00E0230F"/>
    <w:rsid w:val="00E024CC"/>
    <w:rsid w:val="00E0253E"/>
    <w:rsid w:val="00E02562"/>
    <w:rsid w:val="00E02623"/>
    <w:rsid w:val="00E029A1"/>
    <w:rsid w:val="00E02C32"/>
    <w:rsid w:val="00E02E7B"/>
    <w:rsid w:val="00E03211"/>
    <w:rsid w:val="00E0321E"/>
    <w:rsid w:val="00E03607"/>
    <w:rsid w:val="00E038F1"/>
    <w:rsid w:val="00E03A3B"/>
    <w:rsid w:val="00E03A5B"/>
    <w:rsid w:val="00E03B23"/>
    <w:rsid w:val="00E03C3E"/>
    <w:rsid w:val="00E03C6C"/>
    <w:rsid w:val="00E03E03"/>
    <w:rsid w:val="00E045EC"/>
    <w:rsid w:val="00E04790"/>
    <w:rsid w:val="00E04943"/>
    <w:rsid w:val="00E04FEA"/>
    <w:rsid w:val="00E050F1"/>
    <w:rsid w:val="00E0520F"/>
    <w:rsid w:val="00E0556C"/>
    <w:rsid w:val="00E055D9"/>
    <w:rsid w:val="00E057B9"/>
    <w:rsid w:val="00E05A91"/>
    <w:rsid w:val="00E05C2A"/>
    <w:rsid w:val="00E06067"/>
    <w:rsid w:val="00E06200"/>
    <w:rsid w:val="00E062DF"/>
    <w:rsid w:val="00E06449"/>
    <w:rsid w:val="00E06B91"/>
    <w:rsid w:val="00E06C10"/>
    <w:rsid w:val="00E06DF2"/>
    <w:rsid w:val="00E07142"/>
    <w:rsid w:val="00E071FC"/>
    <w:rsid w:val="00E0725F"/>
    <w:rsid w:val="00E0734E"/>
    <w:rsid w:val="00E07651"/>
    <w:rsid w:val="00E07814"/>
    <w:rsid w:val="00E07B7D"/>
    <w:rsid w:val="00E100B9"/>
    <w:rsid w:val="00E10111"/>
    <w:rsid w:val="00E107DA"/>
    <w:rsid w:val="00E10ACE"/>
    <w:rsid w:val="00E10DE6"/>
    <w:rsid w:val="00E10FC1"/>
    <w:rsid w:val="00E11235"/>
    <w:rsid w:val="00E115A5"/>
    <w:rsid w:val="00E11AE5"/>
    <w:rsid w:val="00E11DC2"/>
    <w:rsid w:val="00E11F8D"/>
    <w:rsid w:val="00E11F99"/>
    <w:rsid w:val="00E12132"/>
    <w:rsid w:val="00E1223E"/>
    <w:rsid w:val="00E122F1"/>
    <w:rsid w:val="00E12376"/>
    <w:rsid w:val="00E12708"/>
    <w:rsid w:val="00E1281E"/>
    <w:rsid w:val="00E12831"/>
    <w:rsid w:val="00E12E5E"/>
    <w:rsid w:val="00E1309A"/>
    <w:rsid w:val="00E130DD"/>
    <w:rsid w:val="00E13333"/>
    <w:rsid w:val="00E134F2"/>
    <w:rsid w:val="00E13504"/>
    <w:rsid w:val="00E138C3"/>
    <w:rsid w:val="00E138FE"/>
    <w:rsid w:val="00E13A0F"/>
    <w:rsid w:val="00E13AEB"/>
    <w:rsid w:val="00E13EDD"/>
    <w:rsid w:val="00E13F71"/>
    <w:rsid w:val="00E141B7"/>
    <w:rsid w:val="00E141B9"/>
    <w:rsid w:val="00E141E9"/>
    <w:rsid w:val="00E1447C"/>
    <w:rsid w:val="00E1483B"/>
    <w:rsid w:val="00E14D66"/>
    <w:rsid w:val="00E15012"/>
    <w:rsid w:val="00E15105"/>
    <w:rsid w:val="00E15503"/>
    <w:rsid w:val="00E15567"/>
    <w:rsid w:val="00E15B68"/>
    <w:rsid w:val="00E15BD1"/>
    <w:rsid w:val="00E16303"/>
    <w:rsid w:val="00E1682D"/>
    <w:rsid w:val="00E1695F"/>
    <w:rsid w:val="00E16DD0"/>
    <w:rsid w:val="00E16DD3"/>
    <w:rsid w:val="00E16E62"/>
    <w:rsid w:val="00E16F93"/>
    <w:rsid w:val="00E17443"/>
    <w:rsid w:val="00E1747D"/>
    <w:rsid w:val="00E175EA"/>
    <w:rsid w:val="00E1768F"/>
    <w:rsid w:val="00E17B92"/>
    <w:rsid w:val="00E17BB9"/>
    <w:rsid w:val="00E17C74"/>
    <w:rsid w:val="00E2020D"/>
    <w:rsid w:val="00E2023B"/>
    <w:rsid w:val="00E20E8D"/>
    <w:rsid w:val="00E20F03"/>
    <w:rsid w:val="00E20FBE"/>
    <w:rsid w:val="00E2116B"/>
    <w:rsid w:val="00E2116F"/>
    <w:rsid w:val="00E21790"/>
    <w:rsid w:val="00E217CB"/>
    <w:rsid w:val="00E2181C"/>
    <w:rsid w:val="00E2183D"/>
    <w:rsid w:val="00E21AF8"/>
    <w:rsid w:val="00E21E3D"/>
    <w:rsid w:val="00E21ED4"/>
    <w:rsid w:val="00E220BD"/>
    <w:rsid w:val="00E2222D"/>
    <w:rsid w:val="00E22304"/>
    <w:rsid w:val="00E22310"/>
    <w:rsid w:val="00E223AF"/>
    <w:rsid w:val="00E2251A"/>
    <w:rsid w:val="00E225B3"/>
    <w:rsid w:val="00E225E7"/>
    <w:rsid w:val="00E228C6"/>
    <w:rsid w:val="00E22D51"/>
    <w:rsid w:val="00E22E78"/>
    <w:rsid w:val="00E22EC9"/>
    <w:rsid w:val="00E22F50"/>
    <w:rsid w:val="00E231BC"/>
    <w:rsid w:val="00E23254"/>
    <w:rsid w:val="00E2343E"/>
    <w:rsid w:val="00E23462"/>
    <w:rsid w:val="00E234F0"/>
    <w:rsid w:val="00E235C6"/>
    <w:rsid w:val="00E235DC"/>
    <w:rsid w:val="00E237D3"/>
    <w:rsid w:val="00E23C1A"/>
    <w:rsid w:val="00E23CFF"/>
    <w:rsid w:val="00E24008"/>
    <w:rsid w:val="00E24035"/>
    <w:rsid w:val="00E24533"/>
    <w:rsid w:val="00E247B1"/>
    <w:rsid w:val="00E24866"/>
    <w:rsid w:val="00E248B9"/>
    <w:rsid w:val="00E24AB2"/>
    <w:rsid w:val="00E24B8E"/>
    <w:rsid w:val="00E250FC"/>
    <w:rsid w:val="00E2521A"/>
    <w:rsid w:val="00E253E0"/>
    <w:rsid w:val="00E253FD"/>
    <w:rsid w:val="00E25BBA"/>
    <w:rsid w:val="00E25DA8"/>
    <w:rsid w:val="00E26467"/>
    <w:rsid w:val="00E264EA"/>
    <w:rsid w:val="00E2659B"/>
    <w:rsid w:val="00E26AB8"/>
    <w:rsid w:val="00E26BAC"/>
    <w:rsid w:val="00E26D31"/>
    <w:rsid w:val="00E26DD6"/>
    <w:rsid w:val="00E27005"/>
    <w:rsid w:val="00E27605"/>
    <w:rsid w:val="00E276A4"/>
    <w:rsid w:val="00E27DCF"/>
    <w:rsid w:val="00E27FA7"/>
    <w:rsid w:val="00E308F1"/>
    <w:rsid w:val="00E30ABD"/>
    <w:rsid w:val="00E30F26"/>
    <w:rsid w:val="00E30F6C"/>
    <w:rsid w:val="00E312BB"/>
    <w:rsid w:val="00E3146E"/>
    <w:rsid w:val="00E3161B"/>
    <w:rsid w:val="00E31686"/>
    <w:rsid w:val="00E31861"/>
    <w:rsid w:val="00E318BE"/>
    <w:rsid w:val="00E31925"/>
    <w:rsid w:val="00E31B03"/>
    <w:rsid w:val="00E31BA9"/>
    <w:rsid w:val="00E320D7"/>
    <w:rsid w:val="00E32427"/>
    <w:rsid w:val="00E32908"/>
    <w:rsid w:val="00E32BD2"/>
    <w:rsid w:val="00E32DA8"/>
    <w:rsid w:val="00E332E9"/>
    <w:rsid w:val="00E3330F"/>
    <w:rsid w:val="00E33340"/>
    <w:rsid w:val="00E334D8"/>
    <w:rsid w:val="00E3355F"/>
    <w:rsid w:val="00E33633"/>
    <w:rsid w:val="00E33899"/>
    <w:rsid w:val="00E33B7E"/>
    <w:rsid w:val="00E33B85"/>
    <w:rsid w:val="00E33BF9"/>
    <w:rsid w:val="00E33C23"/>
    <w:rsid w:val="00E33D0C"/>
    <w:rsid w:val="00E3464B"/>
    <w:rsid w:val="00E346B2"/>
    <w:rsid w:val="00E3487D"/>
    <w:rsid w:val="00E3498E"/>
    <w:rsid w:val="00E34E54"/>
    <w:rsid w:val="00E34E9B"/>
    <w:rsid w:val="00E34F2F"/>
    <w:rsid w:val="00E350C5"/>
    <w:rsid w:val="00E35214"/>
    <w:rsid w:val="00E353E0"/>
    <w:rsid w:val="00E35408"/>
    <w:rsid w:val="00E354A6"/>
    <w:rsid w:val="00E35585"/>
    <w:rsid w:val="00E3597D"/>
    <w:rsid w:val="00E359FD"/>
    <w:rsid w:val="00E35A04"/>
    <w:rsid w:val="00E35A78"/>
    <w:rsid w:val="00E35AD8"/>
    <w:rsid w:val="00E35C61"/>
    <w:rsid w:val="00E35D15"/>
    <w:rsid w:val="00E35E25"/>
    <w:rsid w:val="00E36202"/>
    <w:rsid w:val="00E36223"/>
    <w:rsid w:val="00E363A6"/>
    <w:rsid w:val="00E36547"/>
    <w:rsid w:val="00E365F6"/>
    <w:rsid w:val="00E3665D"/>
    <w:rsid w:val="00E36719"/>
    <w:rsid w:val="00E36745"/>
    <w:rsid w:val="00E36779"/>
    <w:rsid w:val="00E3680E"/>
    <w:rsid w:val="00E3696B"/>
    <w:rsid w:val="00E36C70"/>
    <w:rsid w:val="00E36C8F"/>
    <w:rsid w:val="00E36C9A"/>
    <w:rsid w:val="00E36FBE"/>
    <w:rsid w:val="00E37423"/>
    <w:rsid w:val="00E3753E"/>
    <w:rsid w:val="00E37942"/>
    <w:rsid w:val="00E37B2A"/>
    <w:rsid w:val="00E40250"/>
    <w:rsid w:val="00E4031E"/>
    <w:rsid w:val="00E405DE"/>
    <w:rsid w:val="00E406E8"/>
    <w:rsid w:val="00E4088E"/>
    <w:rsid w:val="00E40C76"/>
    <w:rsid w:val="00E40FD8"/>
    <w:rsid w:val="00E410F1"/>
    <w:rsid w:val="00E41174"/>
    <w:rsid w:val="00E4143B"/>
    <w:rsid w:val="00E41449"/>
    <w:rsid w:val="00E414F9"/>
    <w:rsid w:val="00E41883"/>
    <w:rsid w:val="00E4250C"/>
    <w:rsid w:val="00E426BD"/>
    <w:rsid w:val="00E42953"/>
    <w:rsid w:val="00E42C66"/>
    <w:rsid w:val="00E42D93"/>
    <w:rsid w:val="00E42DFA"/>
    <w:rsid w:val="00E42E19"/>
    <w:rsid w:val="00E43241"/>
    <w:rsid w:val="00E43244"/>
    <w:rsid w:val="00E4336D"/>
    <w:rsid w:val="00E43408"/>
    <w:rsid w:val="00E4391C"/>
    <w:rsid w:val="00E43A30"/>
    <w:rsid w:val="00E43BF2"/>
    <w:rsid w:val="00E43C13"/>
    <w:rsid w:val="00E43D84"/>
    <w:rsid w:val="00E4443B"/>
    <w:rsid w:val="00E4459A"/>
    <w:rsid w:val="00E44738"/>
    <w:rsid w:val="00E4485E"/>
    <w:rsid w:val="00E44CFA"/>
    <w:rsid w:val="00E44D39"/>
    <w:rsid w:val="00E450A6"/>
    <w:rsid w:val="00E45257"/>
    <w:rsid w:val="00E45889"/>
    <w:rsid w:val="00E45B71"/>
    <w:rsid w:val="00E45F5C"/>
    <w:rsid w:val="00E460B0"/>
    <w:rsid w:val="00E461E4"/>
    <w:rsid w:val="00E462C5"/>
    <w:rsid w:val="00E462F0"/>
    <w:rsid w:val="00E462FD"/>
    <w:rsid w:val="00E4658A"/>
    <w:rsid w:val="00E465DD"/>
    <w:rsid w:val="00E46605"/>
    <w:rsid w:val="00E46AF9"/>
    <w:rsid w:val="00E46CD2"/>
    <w:rsid w:val="00E46D89"/>
    <w:rsid w:val="00E46FDA"/>
    <w:rsid w:val="00E47025"/>
    <w:rsid w:val="00E47B6D"/>
    <w:rsid w:val="00E47DA6"/>
    <w:rsid w:val="00E50019"/>
    <w:rsid w:val="00E500AE"/>
    <w:rsid w:val="00E5037D"/>
    <w:rsid w:val="00E50836"/>
    <w:rsid w:val="00E509CD"/>
    <w:rsid w:val="00E50A9D"/>
    <w:rsid w:val="00E50B77"/>
    <w:rsid w:val="00E50B9E"/>
    <w:rsid w:val="00E50D46"/>
    <w:rsid w:val="00E50DF9"/>
    <w:rsid w:val="00E5100C"/>
    <w:rsid w:val="00E512B1"/>
    <w:rsid w:val="00E51830"/>
    <w:rsid w:val="00E51B0E"/>
    <w:rsid w:val="00E51FE6"/>
    <w:rsid w:val="00E5240A"/>
    <w:rsid w:val="00E528C3"/>
    <w:rsid w:val="00E529FF"/>
    <w:rsid w:val="00E52A58"/>
    <w:rsid w:val="00E52C57"/>
    <w:rsid w:val="00E52D4B"/>
    <w:rsid w:val="00E531A8"/>
    <w:rsid w:val="00E53213"/>
    <w:rsid w:val="00E533A4"/>
    <w:rsid w:val="00E53790"/>
    <w:rsid w:val="00E53A4E"/>
    <w:rsid w:val="00E53BCF"/>
    <w:rsid w:val="00E5405D"/>
    <w:rsid w:val="00E5417F"/>
    <w:rsid w:val="00E544D2"/>
    <w:rsid w:val="00E544E3"/>
    <w:rsid w:val="00E545A2"/>
    <w:rsid w:val="00E54A33"/>
    <w:rsid w:val="00E54C49"/>
    <w:rsid w:val="00E55260"/>
    <w:rsid w:val="00E55663"/>
    <w:rsid w:val="00E55796"/>
    <w:rsid w:val="00E55A06"/>
    <w:rsid w:val="00E55A46"/>
    <w:rsid w:val="00E56261"/>
    <w:rsid w:val="00E566C7"/>
    <w:rsid w:val="00E56744"/>
    <w:rsid w:val="00E56941"/>
    <w:rsid w:val="00E569B6"/>
    <w:rsid w:val="00E56D2B"/>
    <w:rsid w:val="00E57228"/>
    <w:rsid w:val="00E579B2"/>
    <w:rsid w:val="00E601C8"/>
    <w:rsid w:val="00E60594"/>
    <w:rsid w:val="00E60598"/>
    <w:rsid w:val="00E6086D"/>
    <w:rsid w:val="00E60C94"/>
    <w:rsid w:val="00E60C97"/>
    <w:rsid w:val="00E60EC5"/>
    <w:rsid w:val="00E61594"/>
    <w:rsid w:val="00E6183F"/>
    <w:rsid w:val="00E6192C"/>
    <w:rsid w:val="00E61D55"/>
    <w:rsid w:val="00E62249"/>
    <w:rsid w:val="00E622BA"/>
    <w:rsid w:val="00E623B6"/>
    <w:rsid w:val="00E62454"/>
    <w:rsid w:val="00E626B6"/>
    <w:rsid w:val="00E62729"/>
    <w:rsid w:val="00E62A60"/>
    <w:rsid w:val="00E62E80"/>
    <w:rsid w:val="00E62E81"/>
    <w:rsid w:val="00E62EA4"/>
    <w:rsid w:val="00E62F43"/>
    <w:rsid w:val="00E62F8D"/>
    <w:rsid w:val="00E631F5"/>
    <w:rsid w:val="00E634F1"/>
    <w:rsid w:val="00E6387C"/>
    <w:rsid w:val="00E63D2E"/>
    <w:rsid w:val="00E63DB3"/>
    <w:rsid w:val="00E64022"/>
    <w:rsid w:val="00E64041"/>
    <w:rsid w:val="00E6442A"/>
    <w:rsid w:val="00E644AE"/>
    <w:rsid w:val="00E64645"/>
    <w:rsid w:val="00E64978"/>
    <w:rsid w:val="00E649A3"/>
    <w:rsid w:val="00E64A9E"/>
    <w:rsid w:val="00E64B12"/>
    <w:rsid w:val="00E64E09"/>
    <w:rsid w:val="00E64E4A"/>
    <w:rsid w:val="00E64F2E"/>
    <w:rsid w:val="00E64F89"/>
    <w:rsid w:val="00E650BB"/>
    <w:rsid w:val="00E65199"/>
    <w:rsid w:val="00E65430"/>
    <w:rsid w:val="00E6556B"/>
    <w:rsid w:val="00E65CB8"/>
    <w:rsid w:val="00E65F3A"/>
    <w:rsid w:val="00E663F0"/>
    <w:rsid w:val="00E6663C"/>
    <w:rsid w:val="00E66711"/>
    <w:rsid w:val="00E66714"/>
    <w:rsid w:val="00E6695A"/>
    <w:rsid w:val="00E66C24"/>
    <w:rsid w:val="00E66C6E"/>
    <w:rsid w:val="00E66D04"/>
    <w:rsid w:val="00E66D0A"/>
    <w:rsid w:val="00E66E32"/>
    <w:rsid w:val="00E66ED4"/>
    <w:rsid w:val="00E66F4A"/>
    <w:rsid w:val="00E676E6"/>
    <w:rsid w:val="00E67B11"/>
    <w:rsid w:val="00E67C2F"/>
    <w:rsid w:val="00E67FE9"/>
    <w:rsid w:val="00E70058"/>
    <w:rsid w:val="00E7010F"/>
    <w:rsid w:val="00E70289"/>
    <w:rsid w:val="00E702AC"/>
    <w:rsid w:val="00E70420"/>
    <w:rsid w:val="00E705AB"/>
    <w:rsid w:val="00E705B0"/>
    <w:rsid w:val="00E709A3"/>
    <w:rsid w:val="00E709C5"/>
    <w:rsid w:val="00E70A72"/>
    <w:rsid w:val="00E70DDE"/>
    <w:rsid w:val="00E7107A"/>
    <w:rsid w:val="00E71186"/>
    <w:rsid w:val="00E713F5"/>
    <w:rsid w:val="00E71AAE"/>
    <w:rsid w:val="00E71AF3"/>
    <w:rsid w:val="00E71B26"/>
    <w:rsid w:val="00E71BBE"/>
    <w:rsid w:val="00E71D4B"/>
    <w:rsid w:val="00E71E03"/>
    <w:rsid w:val="00E71FFC"/>
    <w:rsid w:val="00E721DF"/>
    <w:rsid w:val="00E7227A"/>
    <w:rsid w:val="00E724EC"/>
    <w:rsid w:val="00E72701"/>
    <w:rsid w:val="00E72764"/>
    <w:rsid w:val="00E72DE6"/>
    <w:rsid w:val="00E72E35"/>
    <w:rsid w:val="00E72EA0"/>
    <w:rsid w:val="00E72F94"/>
    <w:rsid w:val="00E7311A"/>
    <w:rsid w:val="00E73136"/>
    <w:rsid w:val="00E73152"/>
    <w:rsid w:val="00E7338C"/>
    <w:rsid w:val="00E73472"/>
    <w:rsid w:val="00E738CF"/>
    <w:rsid w:val="00E73A67"/>
    <w:rsid w:val="00E73A85"/>
    <w:rsid w:val="00E73C99"/>
    <w:rsid w:val="00E73CBC"/>
    <w:rsid w:val="00E73D2C"/>
    <w:rsid w:val="00E73FD2"/>
    <w:rsid w:val="00E7402B"/>
    <w:rsid w:val="00E7415C"/>
    <w:rsid w:val="00E74376"/>
    <w:rsid w:val="00E745A6"/>
    <w:rsid w:val="00E74876"/>
    <w:rsid w:val="00E74A88"/>
    <w:rsid w:val="00E74E24"/>
    <w:rsid w:val="00E74E83"/>
    <w:rsid w:val="00E752DA"/>
    <w:rsid w:val="00E7530F"/>
    <w:rsid w:val="00E75361"/>
    <w:rsid w:val="00E75A1A"/>
    <w:rsid w:val="00E75A24"/>
    <w:rsid w:val="00E75BB8"/>
    <w:rsid w:val="00E75EC7"/>
    <w:rsid w:val="00E75F4A"/>
    <w:rsid w:val="00E76C3B"/>
    <w:rsid w:val="00E76C92"/>
    <w:rsid w:val="00E76E07"/>
    <w:rsid w:val="00E76EB5"/>
    <w:rsid w:val="00E76EDB"/>
    <w:rsid w:val="00E773FD"/>
    <w:rsid w:val="00E7757D"/>
    <w:rsid w:val="00E77632"/>
    <w:rsid w:val="00E77832"/>
    <w:rsid w:val="00E779E5"/>
    <w:rsid w:val="00E77A20"/>
    <w:rsid w:val="00E77D76"/>
    <w:rsid w:val="00E77E02"/>
    <w:rsid w:val="00E77FDB"/>
    <w:rsid w:val="00E80124"/>
    <w:rsid w:val="00E8018E"/>
    <w:rsid w:val="00E8049A"/>
    <w:rsid w:val="00E804E8"/>
    <w:rsid w:val="00E80572"/>
    <w:rsid w:val="00E805BE"/>
    <w:rsid w:val="00E80C10"/>
    <w:rsid w:val="00E80FFE"/>
    <w:rsid w:val="00E8128A"/>
    <w:rsid w:val="00E8128E"/>
    <w:rsid w:val="00E812DA"/>
    <w:rsid w:val="00E8184D"/>
    <w:rsid w:val="00E81A6B"/>
    <w:rsid w:val="00E81E3B"/>
    <w:rsid w:val="00E82177"/>
    <w:rsid w:val="00E821E2"/>
    <w:rsid w:val="00E82252"/>
    <w:rsid w:val="00E823A8"/>
    <w:rsid w:val="00E8296B"/>
    <w:rsid w:val="00E829CC"/>
    <w:rsid w:val="00E833DD"/>
    <w:rsid w:val="00E83739"/>
    <w:rsid w:val="00E83D56"/>
    <w:rsid w:val="00E83F46"/>
    <w:rsid w:val="00E84148"/>
    <w:rsid w:val="00E84197"/>
    <w:rsid w:val="00E842F0"/>
    <w:rsid w:val="00E84467"/>
    <w:rsid w:val="00E84487"/>
    <w:rsid w:val="00E844D3"/>
    <w:rsid w:val="00E84673"/>
    <w:rsid w:val="00E846CA"/>
    <w:rsid w:val="00E846E1"/>
    <w:rsid w:val="00E84841"/>
    <w:rsid w:val="00E8518C"/>
    <w:rsid w:val="00E85217"/>
    <w:rsid w:val="00E8539C"/>
    <w:rsid w:val="00E85682"/>
    <w:rsid w:val="00E85A0B"/>
    <w:rsid w:val="00E85AD0"/>
    <w:rsid w:val="00E85B0D"/>
    <w:rsid w:val="00E85BF6"/>
    <w:rsid w:val="00E85CE6"/>
    <w:rsid w:val="00E85D50"/>
    <w:rsid w:val="00E85E0C"/>
    <w:rsid w:val="00E85E89"/>
    <w:rsid w:val="00E86173"/>
    <w:rsid w:val="00E8617E"/>
    <w:rsid w:val="00E8620F"/>
    <w:rsid w:val="00E86416"/>
    <w:rsid w:val="00E86565"/>
    <w:rsid w:val="00E8657D"/>
    <w:rsid w:val="00E86826"/>
    <w:rsid w:val="00E86A59"/>
    <w:rsid w:val="00E86B45"/>
    <w:rsid w:val="00E86D52"/>
    <w:rsid w:val="00E86FAA"/>
    <w:rsid w:val="00E8703E"/>
    <w:rsid w:val="00E871BD"/>
    <w:rsid w:val="00E871D0"/>
    <w:rsid w:val="00E87314"/>
    <w:rsid w:val="00E8732E"/>
    <w:rsid w:val="00E873D0"/>
    <w:rsid w:val="00E874C5"/>
    <w:rsid w:val="00E87689"/>
    <w:rsid w:val="00E878A0"/>
    <w:rsid w:val="00E87CDC"/>
    <w:rsid w:val="00E87D1C"/>
    <w:rsid w:val="00E900B5"/>
    <w:rsid w:val="00E904D1"/>
    <w:rsid w:val="00E90533"/>
    <w:rsid w:val="00E90702"/>
    <w:rsid w:val="00E90E78"/>
    <w:rsid w:val="00E90EEA"/>
    <w:rsid w:val="00E91303"/>
    <w:rsid w:val="00E913CE"/>
    <w:rsid w:val="00E9165D"/>
    <w:rsid w:val="00E9167A"/>
    <w:rsid w:val="00E91685"/>
    <w:rsid w:val="00E91819"/>
    <w:rsid w:val="00E91AD4"/>
    <w:rsid w:val="00E91D2C"/>
    <w:rsid w:val="00E92051"/>
    <w:rsid w:val="00E9225E"/>
    <w:rsid w:val="00E922E6"/>
    <w:rsid w:val="00E92908"/>
    <w:rsid w:val="00E92A3C"/>
    <w:rsid w:val="00E92B65"/>
    <w:rsid w:val="00E9334B"/>
    <w:rsid w:val="00E933EF"/>
    <w:rsid w:val="00E934EE"/>
    <w:rsid w:val="00E93A1C"/>
    <w:rsid w:val="00E93A86"/>
    <w:rsid w:val="00E93C72"/>
    <w:rsid w:val="00E93D6C"/>
    <w:rsid w:val="00E94319"/>
    <w:rsid w:val="00E94E91"/>
    <w:rsid w:val="00E952B7"/>
    <w:rsid w:val="00E95401"/>
    <w:rsid w:val="00E954A0"/>
    <w:rsid w:val="00E95632"/>
    <w:rsid w:val="00E95895"/>
    <w:rsid w:val="00E95898"/>
    <w:rsid w:val="00E958D0"/>
    <w:rsid w:val="00E959CF"/>
    <w:rsid w:val="00E95AAB"/>
    <w:rsid w:val="00E95D6B"/>
    <w:rsid w:val="00E95D6E"/>
    <w:rsid w:val="00E9605A"/>
    <w:rsid w:val="00E96676"/>
    <w:rsid w:val="00E96ADE"/>
    <w:rsid w:val="00E96B09"/>
    <w:rsid w:val="00E96D00"/>
    <w:rsid w:val="00E96DFC"/>
    <w:rsid w:val="00E9704E"/>
    <w:rsid w:val="00E9750B"/>
    <w:rsid w:val="00E97975"/>
    <w:rsid w:val="00E979E6"/>
    <w:rsid w:val="00E97A0A"/>
    <w:rsid w:val="00E97BBC"/>
    <w:rsid w:val="00E97BED"/>
    <w:rsid w:val="00EA024A"/>
    <w:rsid w:val="00EA0259"/>
    <w:rsid w:val="00EA028A"/>
    <w:rsid w:val="00EA02A9"/>
    <w:rsid w:val="00EA052D"/>
    <w:rsid w:val="00EA06D4"/>
    <w:rsid w:val="00EA074A"/>
    <w:rsid w:val="00EA0B98"/>
    <w:rsid w:val="00EA0CE1"/>
    <w:rsid w:val="00EA0D34"/>
    <w:rsid w:val="00EA11E8"/>
    <w:rsid w:val="00EA121D"/>
    <w:rsid w:val="00EA1617"/>
    <w:rsid w:val="00EA178A"/>
    <w:rsid w:val="00EA1BD2"/>
    <w:rsid w:val="00EA1E79"/>
    <w:rsid w:val="00EA202F"/>
    <w:rsid w:val="00EA22E0"/>
    <w:rsid w:val="00EA2335"/>
    <w:rsid w:val="00EA266E"/>
    <w:rsid w:val="00EA293C"/>
    <w:rsid w:val="00EA2AE9"/>
    <w:rsid w:val="00EA2B0C"/>
    <w:rsid w:val="00EA2BFB"/>
    <w:rsid w:val="00EA2D04"/>
    <w:rsid w:val="00EA2DC4"/>
    <w:rsid w:val="00EA2DEA"/>
    <w:rsid w:val="00EA3324"/>
    <w:rsid w:val="00EA33C2"/>
    <w:rsid w:val="00EA3407"/>
    <w:rsid w:val="00EA399A"/>
    <w:rsid w:val="00EA3E14"/>
    <w:rsid w:val="00EA4057"/>
    <w:rsid w:val="00EA4496"/>
    <w:rsid w:val="00EA4636"/>
    <w:rsid w:val="00EA467A"/>
    <w:rsid w:val="00EA4914"/>
    <w:rsid w:val="00EA4EC6"/>
    <w:rsid w:val="00EA5222"/>
    <w:rsid w:val="00EA534C"/>
    <w:rsid w:val="00EA5846"/>
    <w:rsid w:val="00EA5A8E"/>
    <w:rsid w:val="00EA5C53"/>
    <w:rsid w:val="00EA5D6E"/>
    <w:rsid w:val="00EA5E23"/>
    <w:rsid w:val="00EA5EF6"/>
    <w:rsid w:val="00EA621C"/>
    <w:rsid w:val="00EA647A"/>
    <w:rsid w:val="00EA68B4"/>
    <w:rsid w:val="00EA69CC"/>
    <w:rsid w:val="00EA69D5"/>
    <w:rsid w:val="00EA6D9B"/>
    <w:rsid w:val="00EA6DEE"/>
    <w:rsid w:val="00EA6FE5"/>
    <w:rsid w:val="00EA7153"/>
    <w:rsid w:val="00EA72BC"/>
    <w:rsid w:val="00EA7607"/>
    <w:rsid w:val="00EA7811"/>
    <w:rsid w:val="00EA791C"/>
    <w:rsid w:val="00EA7D0D"/>
    <w:rsid w:val="00EA7F2F"/>
    <w:rsid w:val="00EA7F72"/>
    <w:rsid w:val="00EB006A"/>
    <w:rsid w:val="00EB0203"/>
    <w:rsid w:val="00EB05A7"/>
    <w:rsid w:val="00EB06A8"/>
    <w:rsid w:val="00EB1225"/>
    <w:rsid w:val="00EB145B"/>
    <w:rsid w:val="00EB14A9"/>
    <w:rsid w:val="00EB14F5"/>
    <w:rsid w:val="00EB161D"/>
    <w:rsid w:val="00EB17F4"/>
    <w:rsid w:val="00EB1A54"/>
    <w:rsid w:val="00EB1B27"/>
    <w:rsid w:val="00EB1E2B"/>
    <w:rsid w:val="00EB1EB5"/>
    <w:rsid w:val="00EB1F53"/>
    <w:rsid w:val="00EB22F5"/>
    <w:rsid w:val="00EB2470"/>
    <w:rsid w:val="00EB2803"/>
    <w:rsid w:val="00EB2E54"/>
    <w:rsid w:val="00EB320D"/>
    <w:rsid w:val="00EB3663"/>
    <w:rsid w:val="00EB3829"/>
    <w:rsid w:val="00EB3C2A"/>
    <w:rsid w:val="00EB402E"/>
    <w:rsid w:val="00EB408D"/>
    <w:rsid w:val="00EB4537"/>
    <w:rsid w:val="00EB455F"/>
    <w:rsid w:val="00EB45DC"/>
    <w:rsid w:val="00EB45FA"/>
    <w:rsid w:val="00EB4763"/>
    <w:rsid w:val="00EB483F"/>
    <w:rsid w:val="00EB4AFB"/>
    <w:rsid w:val="00EB50D8"/>
    <w:rsid w:val="00EB56B7"/>
    <w:rsid w:val="00EB59F3"/>
    <w:rsid w:val="00EB5C30"/>
    <w:rsid w:val="00EB61E6"/>
    <w:rsid w:val="00EB639F"/>
    <w:rsid w:val="00EB6501"/>
    <w:rsid w:val="00EB6B54"/>
    <w:rsid w:val="00EB6DD1"/>
    <w:rsid w:val="00EB6E51"/>
    <w:rsid w:val="00EB6ED0"/>
    <w:rsid w:val="00EB6EE3"/>
    <w:rsid w:val="00EB7173"/>
    <w:rsid w:val="00EB7335"/>
    <w:rsid w:val="00EB77AE"/>
    <w:rsid w:val="00EB785A"/>
    <w:rsid w:val="00EB7A0C"/>
    <w:rsid w:val="00EB7BE9"/>
    <w:rsid w:val="00EB7CE3"/>
    <w:rsid w:val="00EC00B7"/>
    <w:rsid w:val="00EC00CC"/>
    <w:rsid w:val="00EC0478"/>
    <w:rsid w:val="00EC053C"/>
    <w:rsid w:val="00EC0804"/>
    <w:rsid w:val="00EC0818"/>
    <w:rsid w:val="00EC0C9B"/>
    <w:rsid w:val="00EC0CE8"/>
    <w:rsid w:val="00EC0E9D"/>
    <w:rsid w:val="00EC0FFF"/>
    <w:rsid w:val="00EC10AA"/>
    <w:rsid w:val="00EC13AD"/>
    <w:rsid w:val="00EC149F"/>
    <w:rsid w:val="00EC17E8"/>
    <w:rsid w:val="00EC18AE"/>
    <w:rsid w:val="00EC1999"/>
    <w:rsid w:val="00EC1AFB"/>
    <w:rsid w:val="00EC1F26"/>
    <w:rsid w:val="00EC24A1"/>
    <w:rsid w:val="00EC2D8C"/>
    <w:rsid w:val="00EC2D9A"/>
    <w:rsid w:val="00EC2E77"/>
    <w:rsid w:val="00EC31B1"/>
    <w:rsid w:val="00EC3AD6"/>
    <w:rsid w:val="00EC3BCE"/>
    <w:rsid w:val="00EC3C5D"/>
    <w:rsid w:val="00EC3DA9"/>
    <w:rsid w:val="00EC3DCF"/>
    <w:rsid w:val="00EC3FFC"/>
    <w:rsid w:val="00EC4064"/>
    <w:rsid w:val="00EC414E"/>
    <w:rsid w:val="00EC4453"/>
    <w:rsid w:val="00EC477D"/>
    <w:rsid w:val="00EC4E7E"/>
    <w:rsid w:val="00EC4FE6"/>
    <w:rsid w:val="00EC5223"/>
    <w:rsid w:val="00EC541B"/>
    <w:rsid w:val="00EC5B5C"/>
    <w:rsid w:val="00EC62F5"/>
    <w:rsid w:val="00EC6326"/>
    <w:rsid w:val="00EC6428"/>
    <w:rsid w:val="00EC6450"/>
    <w:rsid w:val="00EC6D01"/>
    <w:rsid w:val="00EC6E9E"/>
    <w:rsid w:val="00EC6F4F"/>
    <w:rsid w:val="00EC6F99"/>
    <w:rsid w:val="00EC7059"/>
    <w:rsid w:val="00EC76C3"/>
    <w:rsid w:val="00EC785C"/>
    <w:rsid w:val="00EC7BAF"/>
    <w:rsid w:val="00EC7CAC"/>
    <w:rsid w:val="00ED0077"/>
    <w:rsid w:val="00ED02E5"/>
    <w:rsid w:val="00ED0466"/>
    <w:rsid w:val="00ED068D"/>
    <w:rsid w:val="00ED06C2"/>
    <w:rsid w:val="00ED0864"/>
    <w:rsid w:val="00ED091A"/>
    <w:rsid w:val="00ED0A32"/>
    <w:rsid w:val="00ED0B2E"/>
    <w:rsid w:val="00ED16AC"/>
    <w:rsid w:val="00ED1A8C"/>
    <w:rsid w:val="00ED1CC2"/>
    <w:rsid w:val="00ED1F9A"/>
    <w:rsid w:val="00ED2204"/>
    <w:rsid w:val="00ED23F1"/>
    <w:rsid w:val="00ED2669"/>
    <w:rsid w:val="00ED283A"/>
    <w:rsid w:val="00ED2B22"/>
    <w:rsid w:val="00ED34C3"/>
    <w:rsid w:val="00ED364C"/>
    <w:rsid w:val="00ED381A"/>
    <w:rsid w:val="00ED3A39"/>
    <w:rsid w:val="00ED3BB9"/>
    <w:rsid w:val="00ED41A7"/>
    <w:rsid w:val="00ED48F6"/>
    <w:rsid w:val="00ED4A24"/>
    <w:rsid w:val="00ED4A59"/>
    <w:rsid w:val="00ED4E8A"/>
    <w:rsid w:val="00ED517C"/>
    <w:rsid w:val="00ED5205"/>
    <w:rsid w:val="00ED5542"/>
    <w:rsid w:val="00ED55D5"/>
    <w:rsid w:val="00ED5648"/>
    <w:rsid w:val="00ED59BE"/>
    <w:rsid w:val="00ED5B3A"/>
    <w:rsid w:val="00ED5D46"/>
    <w:rsid w:val="00ED5FD4"/>
    <w:rsid w:val="00ED63A6"/>
    <w:rsid w:val="00ED6469"/>
    <w:rsid w:val="00ED64B1"/>
    <w:rsid w:val="00ED6582"/>
    <w:rsid w:val="00ED664B"/>
    <w:rsid w:val="00ED69CD"/>
    <w:rsid w:val="00ED6A74"/>
    <w:rsid w:val="00ED6C40"/>
    <w:rsid w:val="00ED6D09"/>
    <w:rsid w:val="00ED6EF5"/>
    <w:rsid w:val="00ED710F"/>
    <w:rsid w:val="00ED7153"/>
    <w:rsid w:val="00ED7458"/>
    <w:rsid w:val="00ED764F"/>
    <w:rsid w:val="00ED7713"/>
    <w:rsid w:val="00ED77FD"/>
    <w:rsid w:val="00ED783A"/>
    <w:rsid w:val="00ED79A4"/>
    <w:rsid w:val="00ED7B28"/>
    <w:rsid w:val="00EE00A5"/>
    <w:rsid w:val="00EE024C"/>
    <w:rsid w:val="00EE0510"/>
    <w:rsid w:val="00EE0A8F"/>
    <w:rsid w:val="00EE119F"/>
    <w:rsid w:val="00EE11C6"/>
    <w:rsid w:val="00EE15BB"/>
    <w:rsid w:val="00EE1932"/>
    <w:rsid w:val="00EE1BC0"/>
    <w:rsid w:val="00EE20AC"/>
    <w:rsid w:val="00EE20CC"/>
    <w:rsid w:val="00EE239F"/>
    <w:rsid w:val="00EE2B6B"/>
    <w:rsid w:val="00EE2B84"/>
    <w:rsid w:val="00EE2F50"/>
    <w:rsid w:val="00EE3386"/>
    <w:rsid w:val="00EE34EC"/>
    <w:rsid w:val="00EE355B"/>
    <w:rsid w:val="00EE3649"/>
    <w:rsid w:val="00EE36CB"/>
    <w:rsid w:val="00EE3B2B"/>
    <w:rsid w:val="00EE3F42"/>
    <w:rsid w:val="00EE421F"/>
    <w:rsid w:val="00EE4567"/>
    <w:rsid w:val="00EE46C6"/>
    <w:rsid w:val="00EE491A"/>
    <w:rsid w:val="00EE497B"/>
    <w:rsid w:val="00EE4B24"/>
    <w:rsid w:val="00EE4BFF"/>
    <w:rsid w:val="00EE5212"/>
    <w:rsid w:val="00EE55A3"/>
    <w:rsid w:val="00EE586C"/>
    <w:rsid w:val="00EE5C00"/>
    <w:rsid w:val="00EE5D11"/>
    <w:rsid w:val="00EE6275"/>
    <w:rsid w:val="00EE64B9"/>
    <w:rsid w:val="00EE6583"/>
    <w:rsid w:val="00EE66D0"/>
    <w:rsid w:val="00EE6732"/>
    <w:rsid w:val="00EE6B3A"/>
    <w:rsid w:val="00EE6E3A"/>
    <w:rsid w:val="00EE70CF"/>
    <w:rsid w:val="00EE71C9"/>
    <w:rsid w:val="00EE74F5"/>
    <w:rsid w:val="00EE76CA"/>
    <w:rsid w:val="00EE777D"/>
    <w:rsid w:val="00EE77BF"/>
    <w:rsid w:val="00EE78B9"/>
    <w:rsid w:val="00EF01BC"/>
    <w:rsid w:val="00EF0871"/>
    <w:rsid w:val="00EF0E8C"/>
    <w:rsid w:val="00EF1440"/>
    <w:rsid w:val="00EF149A"/>
    <w:rsid w:val="00EF17A6"/>
    <w:rsid w:val="00EF20BC"/>
    <w:rsid w:val="00EF226D"/>
    <w:rsid w:val="00EF2867"/>
    <w:rsid w:val="00EF2EE9"/>
    <w:rsid w:val="00EF3007"/>
    <w:rsid w:val="00EF3513"/>
    <w:rsid w:val="00EF35C4"/>
    <w:rsid w:val="00EF3630"/>
    <w:rsid w:val="00EF3AAD"/>
    <w:rsid w:val="00EF3D09"/>
    <w:rsid w:val="00EF3F2A"/>
    <w:rsid w:val="00EF413A"/>
    <w:rsid w:val="00EF4226"/>
    <w:rsid w:val="00EF4260"/>
    <w:rsid w:val="00EF4384"/>
    <w:rsid w:val="00EF45C7"/>
    <w:rsid w:val="00EF480B"/>
    <w:rsid w:val="00EF49AB"/>
    <w:rsid w:val="00EF4DAF"/>
    <w:rsid w:val="00EF4E6F"/>
    <w:rsid w:val="00EF50FC"/>
    <w:rsid w:val="00EF517E"/>
    <w:rsid w:val="00EF51D9"/>
    <w:rsid w:val="00EF53C5"/>
    <w:rsid w:val="00EF5728"/>
    <w:rsid w:val="00EF5900"/>
    <w:rsid w:val="00EF59FF"/>
    <w:rsid w:val="00EF6084"/>
    <w:rsid w:val="00EF63C1"/>
    <w:rsid w:val="00EF6518"/>
    <w:rsid w:val="00EF65D3"/>
    <w:rsid w:val="00EF662A"/>
    <w:rsid w:val="00EF6758"/>
    <w:rsid w:val="00EF6B45"/>
    <w:rsid w:val="00EF6BFB"/>
    <w:rsid w:val="00EF6F86"/>
    <w:rsid w:val="00EF705F"/>
    <w:rsid w:val="00EF712F"/>
    <w:rsid w:val="00EF72EA"/>
    <w:rsid w:val="00EF73B8"/>
    <w:rsid w:val="00EF74CF"/>
    <w:rsid w:val="00EF7765"/>
    <w:rsid w:val="00EF78DB"/>
    <w:rsid w:val="00EF7D69"/>
    <w:rsid w:val="00F00138"/>
    <w:rsid w:val="00F00574"/>
    <w:rsid w:val="00F00A1C"/>
    <w:rsid w:val="00F00BBA"/>
    <w:rsid w:val="00F00EDA"/>
    <w:rsid w:val="00F00FC2"/>
    <w:rsid w:val="00F0104E"/>
    <w:rsid w:val="00F01098"/>
    <w:rsid w:val="00F013D3"/>
    <w:rsid w:val="00F014D8"/>
    <w:rsid w:val="00F01537"/>
    <w:rsid w:val="00F0154B"/>
    <w:rsid w:val="00F01AE7"/>
    <w:rsid w:val="00F01BB3"/>
    <w:rsid w:val="00F01DC0"/>
    <w:rsid w:val="00F01F1E"/>
    <w:rsid w:val="00F01FB3"/>
    <w:rsid w:val="00F02360"/>
    <w:rsid w:val="00F026B0"/>
    <w:rsid w:val="00F02AB6"/>
    <w:rsid w:val="00F02B89"/>
    <w:rsid w:val="00F032D3"/>
    <w:rsid w:val="00F03613"/>
    <w:rsid w:val="00F0387A"/>
    <w:rsid w:val="00F03B37"/>
    <w:rsid w:val="00F03CB6"/>
    <w:rsid w:val="00F04343"/>
    <w:rsid w:val="00F04372"/>
    <w:rsid w:val="00F049A8"/>
    <w:rsid w:val="00F04C00"/>
    <w:rsid w:val="00F04C50"/>
    <w:rsid w:val="00F04C59"/>
    <w:rsid w:val="00F04F27"/>
    <w:rsid w:val="00F05871"/>
    <w:rsid w:val="00F058B0"/>
    <w:rsid w:val="00F05AF8"/>
    <w:rsid w:val="00F05B26"/>
    <w:rsid w:val="00F05EE5"/>
    <w:rsid w:val="00F05FC1"/>
    <w:rsid w:val="00F0622C"/>
    <w:rsid w:val="00F0642C"/>
    <w:rsid w:val="00F064B2"/>
    <w:rsid w:val="00F0652F"/>
    <w:rsid w:val="00F066BE"/>
    <w:rsid w:val="00F06712"/>
    <w:rsid w:val="00F068AD"/>
    <w:rsid w:val="00F073F8"/>
    <w:rsid w:val="00F07462"/>
    <w:rsid w:val="00F074C7"/>
    <w:rsid w:val="00F074FE"/>
    <w:rsid w:val="00F07695"/>
    <w:rsid w:val="00F103B2"/>
    <w:rsid w:val="00F1040B"/>
    <w:rsid w:val="00F105AF"/>
    <w:rsid w:val="00F10736"/>
    <w:rsid w:val="00F10C6A"/>
    <w:rsid w:val="00F10ECD"/>
    <w:rsid w:val="00F10F09"/>
    <w:rsid w:val="00F10F74"/>
    <w:rsid w:val="00F11030"/>
    <w:rsid w:val="00F110C7"/>
    <w:rsid w:val="00F110CD"/>
    <w:rsid w:val="00F117C1"/>
    <w:rsid w:val="00F11C7F"/>
    <w:rsid w:val="00F122EE"/>
    <w:rsid w:val="00F122FA"/>
    <w:rsid w:val="00F12549"/>
    <w:rsid w:val="00F12764"/>
    <w:rsid w:val="00F129B9"/>
    <w:rsid w:val="00F12ACB"/>
    <w:rsid w:val="00F12CCF"/>
    <w:rsid w:val="00F12F3B"/>
    <w:rsid w:val="00F13284"/>
    <w:rsid w:val="00F136BD"/>
    <w:rsid w:val="00F137FC"/>
    <w:rsid w:val="00F13FE5"/>
    <w:rsid w:val="00F14553"/>
    <w:rsid w:val="00F14625"/>
    <w:rsid w:val="00F1494D"/>
    <w:rsid w:val="00F14A97"/>
    <w:rsid w:val="00F14AAE"/>
    <w:rsid w:val="00F14BF9"/>
    <w:rsid w:val="00F14D3A"/>
    <w:rsid w:val="00F14EC5"/>
    <w:rsid w:val="00F1513E"/>
    <w:rsid w:val="00F151AE"/>
    <w:rsid w:val="00F15482"/>
    <w:rsid w:val="00F15553"/>
    <w:rsid w:val="00F156A8"/>
    <w:rsid w:val="00F157B9"/>
    <w:rsid w:val="00F158BC"/>
    <w:rsid w:val="00F15AB7"/>
    <w:rsid w:val="00F15E62"/>
    <w:rsid w:val="00F15F39"/>
    <w:rsid w:val="00F160EB"/>
    <w:rsid w:val="00F162F7"/>
    <w:rsid w:val="00F163B1"/>
    <w:rsid w:val="00F165A8"/>
    <w:rsid w:val="00F165BF"/>
    <w:rsid w:val="00F165C7"/>
    <w:rsid w:val="00F166C8"/>
    <w:rsid w:val="00F168A0"/>
    <w:rsid w:val="00F16C2C"/>
    <w:rsid w:val="00F16C2D"/>
    <w:rsid w:val="00F16DE2"/>
    <w:rsid w:val="00F174FF"/>
    <w:rsid w:val="00F1753F"/>
    <w:rsid w:val="00F17810"/>
    <w:rsid w:val="00F17DD3"/>
    <w:rsid w:val="00F2055E"/>
    <w:rsid w:val="00F2063A"/>
    <w:rsid w:val="00F20C78"/>
    <w:rsid w:val="00F20D3F"/>
    <w:rsid w:val="00F20F48"/>
    <w:rsid w:val="00F2110E"/>
    <w:rsid w:val="00F211EE"/>
    <w:rsid w:val="00F21378"/>
    <w:rsid w:val="00F214BD"/>
    <w:rsid w:val="00F21696"/>
    <w:rsid w:val="00F21712"/>
    <w:rsid w:val="00F2180F"/>
    <w:rsid w:val="00F21F0D"/>
    <w:rsid w:val="00F21F34"/>
    <w:rsid w:val="00F21F98"/>
    <w:rsid w:val="00F22358"/>
    <w:rsid w:val="00F22728"/>
    <w:rsid w:val="00F229D8"/>
    <w:rsid w:val="00F22A7B"/>
    <w:rsid w:val="00F22AD6"/>
    <w:rsid w:val="00F22EEE"/>
    <w:rsid w:val="00F23638"/>
    <w:rsid w:val="00F23F72"/>
    <w:rsid w:val="00F243C0"/>
    <w:rsid w:val="00F2482C"/>
    <w:rsid w:val="00F248AD"/>
    <w:rsid w:val="00F24914"/>
    <w:rsid w:val="00F249FD"/>
    <w:rsid w:val="00F24A0D"/>
    <w:rsid w:val="00F24B38"/>
    <w:rsid w:val="00F24F5A"/>
    <w:rsid w:val="00F24FB3"/>
    <w:rsid w:val="00F250B8"/>
    <w:rsid w:val="00F255D1"/>
    <w:rsid w:val="00F25A26"/>
    <w:rsid w:val="00F25B17"/>
    <w:rsid w:val="00F26001"/>
    <w:rsid w:val="00F26355"/>
    <w:rsid w:val="00F266A5"/>
    <w:rsid w:val="00F266E4"/>
    <w:rsid w:val="00F26984"/>
    <w:rsid w:val="00F26C13"/>
    <w:rsid w:val="00F26E89"/>
    <w:rsid w:val="00F271AA"/>
    <w:rsid w:val="00F2736E"/>
    <w:rsid w:val="00F276E1"/>
    <w:rsid w:val="00F27EA2"/>
    <w:rsid w:val="00F27F03"/>
    <w:rsid w:val="00F27FBA"/>
    <w:rsid w:val="00F30518"/>
    <w:rsid w:val="00F305A5"/>
    <w:rsid w:val="00F30663"/>
    <w:rsid w:val="00F30674"/>
    <w:rsid w:val="00F3070C"/>
    <w:rsid w:val="00F3083D"/>
    <w:rsid w:val="00F30DDD"/>
    <w:rsid w:val="00F30E78"/>
    <w:rsid w:val="00F3113B"/>
    <w:rsid w:val="00F3125A"/>
    <w:rsid w:val="00F313EE"/>
    <w:rsid w:val="00F31538"/>
    <w:rsid w:val="00F31716"/>
    <w:rsid w:val="00F317A8"/>
    <w:rsid w:val="00F31DEC"/>
    <w:rsid w:val="00F31FB5"/>
    <w:rsid w:val="00F3213E"/>
    <w:rsid w:val="00F32161"/>
    <w:rsid w:val="00F327AE"/>
    <w:rsid w:val="00F32918"/>
    <w:rsid w:val="00F32A74"/>
    <w:rsid w:val="00F32CC7"/>
    <w:rsid w:val="00F32E05"/>
    <w:rsid w:val="00F33064"/>
    <w:rsid w:val="00F3310C"/>
    <w:rsid w:val="00F33382"/>
    <w:rsid w:val="00F3352F"/>
    <w:rsid w:val="00F33806"/>
    <w:rsid w:val="00F33A22"/>
    <w:rsid w:val="00F33B53"/>
    <w:rsid w:val="00F33CE4"/>
    <w:rsid w:val="00F33E12"/>
    <w:rsid w:val="00F34077"/>
    <w:rsid w:val="00F3425C"/>
    <w:rsid w:val="00F343FB"/>
    <w:rsid w:val="00F34671"/>
    <w:rsid w:val="00F34A62"/>
    <w:rsid w:val="00F34BE5"/>
    <w:rsid w:val="00F34CD9"/>
    <w:rsid w:val="00F34EF4"/>
    <w:rsid w:val="00F351D4"/>
    <w:rsid w:val="00F35290"/>
    <w:rsid w:val="00F3535C"/>
    <w:rsid w:val="00F35476"/>
    <w:rsid w:val="00F35523"/>
    <w:rsid w:val="00F356D9"/>
    <w:rsid w:val="00F35C10"/>
    <w:rsid w:val="00F35C91"/>
    <w:rsid w:val="00F35D7A"/>
    <w:rsid w:val="00F362ED"/>
    <w:rsid w:val="00F363CB"/>
    <w:rsid w:val="00F36466"/>
    <w:rsid w:val="00F36B70"/>
    <w:rsid w:val="00F37325"/>
    <w:rsid w:val="00F37930"/>
    <w:rsid w:val="00F37AD2"/>
    <w:rsid w:val="00F37DC5"/>
    <w:rsid w:val="00F37DF8"/>
    <w:rsid w:val="00F40045"/>
    <w:rsid w:val="00F40093"/>
    <w:rsid w:val="00F40148"/>
    <w:rsid w:val="00F40230"/>
    <w:rsid w:val="00F4029A"/>
    <w:rsid w:val="00F403B1"/>
    <w:rsid w:val="00F403F6"/>
    <w:rsid w:val="00F40890"/>
    <w:rsid w:val="00F408E1"/>
    <w:rsid w:val="00F40B6E"/>
    <w:rsid w:val="00F40E4E"/>
    <w:rsid w:val="00F41079"/>
    <w:rsid w:val="00F418F4"/>
    <w:rsid w:val="00F41F90"/>
    <w:rsid w:val="00F41FCC"/>
    <w:rsid w:val="00F42196"/>
    <w:rsid w:val="00F4244F"/>
    <w:rsid w:val="00F42CC0"/>
    <w:rsid w:val="00F42FAF"/>
    <w:rsid w:val="00F432DC"/>
    <w:rsid w:val="00F435D4"/>
    <w:rsid w:val="00F437C9"/>
    <w:rsid w:val="00F43944"/>
    <w:rsid w:val="00F43C1B"/>
    <w:rsid w:val="00F44225"/>
    <w:rsid w:val="00F4428D"/>
    <w:rsid w:val="00F442C5"/>
    <w:rsid w:val="00F442E7"/>
    <w:rsid w:val="00F44467"/>
    <w:rsid w:val="00F44765"/>
    <w:rsid w:val="00F44A95"/>
    <w:rsid w:val="00F44ED8"/>
    <w:rsid w:val="00F45610"/>
    <w:rsid w:val="00F456DD"/>
    <w:rsid w:val="00F45730"/>
    <w:rsid w:val="00F4597A"/>
    <w:rsid w:val="00F45F57"/>
    <w:rsid w:val="00F464B5"/>
    <w:rsid w:val="00F4665D"/>
    <w:rsid w:val="00F469B5"/>
    <w:rsid w:val="00F46CF6"/>
    <w:rsid w:val="00F46F66"/>
    <w:rsid w:val="00F47170"/>
    <w:rsid w:val="00F47380"/>
    <w:rsid w:val="00F477BA"/>
    <w:rsid w:val="00F47B53"/>
    <w:rsid w:val="00F50276"/>
    <w:rsid w:val="00F502E9"/>
    <w:rsid w:val="00F5038B"/>
    <w:rsid w:val="00F5074D"/>
    <w:rsid w:val="00F50759"/>
    <w:rsid w:val="00F508C4"/>
    <w:rsid w:val="00F50EA8"/>
    <w:rsid w:val="00F5116B"/>
    <w:rsid w:val="00F511CA"/>
    <w:rsid w:val="00F511DC"/>
    <w:rsid w:val="00F5125F"/>
    <w:rsid w:val="00F516F7"/>
    <w:rsid w:val="00F51780"/>
    <w:rsid w:val="00F5190E"/>
    <w:rsid w:val="00F519F6"/>
    <w:rsid w:val="00F52177"/>
    <w:rsid w:val="00F52217"/>
    <w:rsid w:val="00F52226"/>
    <w:rsid w:val="00F52968"/>
    <w:rsid w:val="00F52A69"/>
    <w:rsid w:val="00F52F76"/>
    <w:rsid w:val="00F5320F"/>
    <w:rsid w:val="00F5347D"/>
    <w:rsid w:val="00F53635"/>
    <w:rsid w:val="00F53690"/>
    <w:rsid w:val="00F53698"/>
    <w:rsid w:val="00F53E9F"/>
    <w:rsid w:val="00F5417F"/>
    <w:rsid w:val="00F543C4"/>
    <w:rsid w:val="00F54494"/>
    <w:rsid w:val="00F546DB"/>
    <w:rsid w:val="00F5483D"/>
    <w:rsid w:val="00F54885"/>
    <w:rsid w:val="00F54A30"/>
    <w:rsid w:val="00F54C8E"/>
    <w:rsid w:val="00F54D0C"/>
    <w:rsid w:val="00F54ECF"/>
    <w:rsid w:val="00F54FD3"/>
    <w:rsid w:val="00F55929"/>
    <w:rsid w:val="00F55B85"/>
    <w:rsid w:val="00F55D97"/>
    <w:rsid w:val="00F55DB3"/>
    <w:rsid w:val="00F5660B"/>
    <w:rsid w:val="00F5685F"/>
    <w:rsid w:val="00F56A90"/>
    <w:rsid w:val="00F56AF4"/>
    <w:rsid w:val="00F56C98"/>
    <w:rsid w:val="00F56DBA"/>
    <w:rsid w:val="00F56E1E"/>
    <w:rsid w:val="00F5724E"/>
    <w:rsid w:val="00F57490"/>
    <w:rsid w:val="00F5750F"/>
    <w:rsid w:val="00F57757"/>
    <w:rsid w:val="00F57827"/>
    <w:rsid w:val="00F579EE"/>
    <w:rsid w:val="00F57B6A"/>
    <w:rsid w:val="00F57CA7"/>
    <w:rsid w:val="00F57DA4"/>
    <w:rsid w:val="00F60506"/>
    <w:rsid w:val="00F6079B"/>
    <w:rsid w:val="00F60A95"/>
    <w:rsid w:val="00F60BDF"/>
    <w:rsid w:val="00F60F26"/>
    <w:rsid w:val="00F61348"/>
    <w:rsid w:val="00F61588"/>
    <w:rsid w:val="00F61718"/>
    <w:rsid w:val="00F61B46"/>
    <w:rsid w:val="00F61CFA"/>
    <w:rsid w:val="00F61F0E"/>
    <w:rsid w:val="00F6251C"/>
    <w:rsid w:val="00F6254C"/>
    <w:rsid w:val="00F62B5C"/>
    <w:rsid w:val="00F62D14"/>
    <w:rsid w:val="00F62F56"/>
    <w:rsid w:val="00F63484"/>
    <w:rsid w:val="00F63604"/>
    <w:rsid w:val="00F6374A"/>
    <w:rsid w:val="00F63758"/>
    <w:rsid w:val="00F63797"/>
    <w:rsid w:val="00F638DF"/>
    <w:rsid w:val="00F63E11"/>
    <w:rsid w:val="00F63EF7"/>
    <w:rsid w:val="00F64180"/>
    <w:rsid w:val="00F64C50"/>
    <w:rsid w:val="00F6514D"/>
    <w:rsid w:val="00F6547D"/>
    <w:rsid w:val="00F65535"/>
    <w:rsid w:val="00F655F7"/>
    <w:rsid w:val="00F656E3"/>
    <w:rsid w:val="00F65A1B"/>
    <w:rsid w:val="00F65A34"/>
    <w:rsid w:val="00F663B9"/>
    <w:rsid w:val="00F664C0"/>
    <w:rsid w:val="00F666E1"/>
    <w:rsid w:val="00F668C1"/>
    <w:rsid w:val="00F668FB"/>
    <w:rsid w:val="00F669B4"/>
    <w:rsid w:val="00F66A7E"/>
    <w:rsid w:val="00F66CE6"/>
    <w:rsid w:val="00F66D9C"/>
    <w:rsid w:val="00F66FBF"/>
    <w:rsid w:val="00F67325"/>
    <w:rsid w:val="00F6753D"/>
    <w:rsid w:val="00F67B1B"/>
    <w:rsid w:val="00F67C36"/>
    <w:rsid w:val="00F67C66"/>
    <w:rsid w:val="00F67F35"/>
    <w:rsid w:val="00F702A2"/>
    <w:rsid w:val="00F709DD"/>
    <w:rsid w:val="00F70A23"/>
    <w:rsid w:val="00F70DCB"/>
    <w:rsid w:val="00F70EFB"/>
    <w:rsid w:val="00F7143D"/>
    <w:rsid w:val="00F71471"/>
    <w:rsid w:val="00F71A55"/>
    <w:rsid w:val="00F71DEB"/>
    <w:rsid w:val="00F71E3D"/>
    <w:rsid w:val="00F71E62"/>
    <w:rsid w:val="00F71FE9"/>
    <w:rsid w:val="00F72125"/>
    <w:rsid w:val="00F7246D"/>
    <w:rsid w:val="00F72550"/>
    <w:rsid w:val="00F727EF"/>
    <w:rsid w:val="00F72903"/>
    <w:rsid w:val="00F72B56"/>
    <w:rsid w:val="00F72E00"/>
    <w:rsid w:val="00F737F2"/>
    <w:rsid w:val="00F73B5C"/>
    <w:rsid w:val="00F73B66"/>
    <w:rsid w:val="00F73C23"/>
    <w:rsid w:val="00F73C77"/>
    <w:rsid w:val="00F73ED8"/>
    <w:rsid w:val="00F73FF6"/>
    <w:rsid w:val="00F74022"/>
    <w:rsid w:val="00F74119"/>
    <w:rsid w:val="00F741FE"/>
    <w:rsid w:val="00F7440E"/>
    <w:rsid w:val="00F744FF"/>
    <w:rsid w:val="00F74A37"/>
    <w:rsid w:val="00F75401"/>
    <w:rsid w:val="00F75663"/>
    <w:rsid w:val="00F75903"/>
    <w:rsid w:val="00F75DEE"/>
    <w:rsid w:val="00F76205"/>
    <w:rsid w:val="00F76FE8"/>
    <w:rsid w:val="00F771A7"/>
    <w:rsid w:val="00F77204"/>
    <w:rsid w:val="00F773CF"/>
    <w:rsid w:val="00F778A7"/>
    <w:rsid w:val="00F77A37"/>
    <w:rsid w:val="00F77A40"/>
    <w:rsid w:val="00F77A63"/>
    <w:rsid w:val="00F77B01"/>
    <w:rsid w:val="00F77CDF"/>
    <w:rsid w:val="00F77E61"/>
    <w:rsid w:val="00F77F02"/>
    <w:rsid w:val="00F80203"/>
    <w:rsid w:val="00F805C3"/>
    <w:rsid w:val="00F80A1C"/>
    <w:rsid w:val="00F812C4"/>
    <w:rsid w:val="00F8179A"/>
    <w:rsid w:val="00F81D96"/>
    <w:rsid w:val="00F81E05"/>
    <w:rsid w:val="00F81F89"/>
    <w:rsid w:val="00F81FAA"/>
    <w:rsid w:val="00F8228B"/>
    <w:rsid w:val="00F82333"/>
    <w:rsid w:val="00F82684"/>
    <w:rsid w:val="00F82BA5"/>
    <w:rsid w:val="00F82C4E"/>
    <w:rsid w:val="00F8368C"/>
    <w:rsid w:val="00F83B38"/>
    <w:rsid w:val="00F841BB"/>
    <w:rsid w:val="00F84322"/>
    <w:rsid w:val="00F84773"/>
    <w:rsid w:val="00F84C37"/>
    <w:rsid w:val="00F84C4E"/>
    <w:rsid w:val="00F85212"/>
    <w:rsid w:val="00F855E6"/>
    <w:rsid w:val="00F8569C"/>
    <w:rsid w:val="00F8590B"/>
    <w:rsid w:val="00F85C20"/>
    <w:rsid w:val="00F85C7B"/>
    <w:rsid w:val="00F860D5"/>
    <w:rsid w:val="00F862AB"/>
    <w:rsid w:val="00F862C4"/>
    <w:rsid w:val="00F86423"/>
    <w:rsid w:val="00F8696E"/>
    <w:rsid w:val="00F873B1"/>
    <w:rsid w:val="00F8765A"/>
    <w:rsid w:val="00F87899"/>
    <w:rsid w:val="00F878F7"/>
    <w:rsid w:val="00F87944"/>
    <w:rsid w:val="00F8799A"/>
    <w:rsid w:val="00F879C8"/>
    <w:rsid w:val="00F87CD3"/>
    <w:rsid w:val="00F87FD4"/>
    <w:rsid w:val="00F900ED"/>
    <w:rsid w:val="00F90248"/>
    <w:rsid w:val="00F902B1"/>
    <w:rsid w:val="00F90447"/>
    <w:rsid w:val="00F90611"/>
    <w:rsid w:val="00F90733"/>
    <w:rsid w:val="00F90B10"/>
    <w:rsid w:val="00F90CC8"/>
    <w:rsid w:val="00F90D06"/>
    <w:rsid w:val="00F90E13"/>
    <w:rsid w:val="00F913B1"/>
    <w:rsid w:val="00F914FF"/>
    <w:rsid w:val="00F91646"/>
    <w:rsid w:val="00F91695"/>
    <w:rsid w:val="00F91704"/>
    <w:rsid w:val="00F91CE3"/>
    <w:rsid w:val="00F91DA8"/>
    <w:rsid w:val="00F923B4"/>
    <w:rsid w:val="00F92407"/>
    <w:rsid w:val="00F926B7"/>
    <w:rsid w:val="00F92727"/>
    <w:rsid w:val="00F92890"/>
    <w:rsid w:val="00F928B7"/>
    <w:rsid w:val="00F92930"/>
    <w:rsid w:val="00F92D98"/>
    <w:rsid w:val="00F92DFC"/>
    <w:rsid w:val="00F92E28"/>
    <w:rsid w:val="00F92E96"/>
    <w:rsid w:val="00F930D6"/>
    <w:rsid w:val="00F93496"/>
    <w:rsid w:val="00F93697"/>
    <w:rsid w:val="00F93749"/>
    <w:rsid w:val="00F9374C"/>
    <w:rsid w:val="00F9382C"/>
    <w:rsid w:val="00F93835"/>
    <w:rsid w:val="00F939C9"/>
    <w:rsid w:val="00F93D61"/>
    <w:rsid w:val="00F93DA4"/>
    <w:rsid w:val="00F93DAE"/>
    <w:rsid w:val="00F9401A"/>
    <w:rsid w:val="00F94021"/>
    <w:rsid w:val="00F940A3"/>
    <w:rsid w:val="00F9447B"/>
    <w:rsid w:val="00F946FA"/>
    <w:rsid w:val="00F9492E"/>
    <w:rsid w:val="00F949EF"/>
    <w:rsid w:val="00F94B4B"/>
    <w:rsid w:val="00F94B6C"/>
    <w:rsid w:val="00F94CB9"/>
    <w:rsid w:val="00F94D48"/>
    <w:rsid w:val="00F94E5B"/>
    <w:rsid w:val="00F94EED"/>
    <w:rsid w:val="00F95910"/>
    <w:rsid w:val="00F95B4B"/>
    <w:rsid w:val="00F95C08"/>
    <w:rsid w:val="00F95C75"/>
    <w:rsid w:val="00F96461"/>
    <w:rsid w:val="00F9683C"/>
    <w:rsid w:val="00F96968"/>
    <w:rsid w:val="00F96CCC"/>
    <w:rsid w:val="00F96E9A"/>
    <w:rsid w:val="00F97126"/>
    <w:rsid w:val="00F97182"/>
    <w:rsid w:val="00F9783F"/>
    <w:rsid w:val="00F9787C"/>
    <w:rsid w:val="00F97919"/>
    <w:rsid w:val="00F979EF"/>
    <w:rsid w:val="00F97A08"/>
    <w:rsid w:val="00F97C0C"/>
    <w:rsid w:val="00F97D99"/>
    <w:rsid w:val="00FA01D9"/>
    <w:rsid w:val="00FA04C0"/>
    <w:rsid w:val="00FA0526"/>
    <w:rsid w:val="00FA06B2"/>
    <w:rsid w:val="00FA06E2"/>
    <w:rsid w:val="00FA07D3"/>
    <w:rsid w:val="00FA0813"/>
    <w:rsid w:val="00FA0C91"/>
    <w:rsid w:val="00FA0DBB"/>
    <w:rsid w:val="00FA0E9D"/>
    <w:rsid w:val="00FA0EF0"/>
    <w:rsid w:val="00FA1078"/>
    <w:rsid w:val="00FA11B6"/>
    <w:rsid w:val="00FA11E8"/>
    <w:rsid w:val="00FA12C2"/>
    <w:rsid w:val="00FA1337"/>
    <w:rsid w:val="00FA13A1"/>
    <w:rsid w:val="00FA15E2"/>
    <w:rsid w:val="00FA1738"/>
    <w:rsid w:val="00FA188C"/>
    <w:rsid w:val="00FA1FFE"/>
    <w:rsid w:val="00FA2233"/>
    <w:rsid w:val="00FA2334"/>
    <w:rsid w:val="00FA23EA"/>
    <w:rsid w:val="00FA249E"/>
    <w:rsid w:val="00FA250B"/>
    <w:rsid w:val="00FA256B"/>
    <w:rsid w:val="00FA25A5"/>
    <w:rsid w:val="00FA293F"/>
    <w:rsid w:val="00FA294E"/>
    <w:rsid w:val="00FA2BA3"/>
    <w:rsid w:val="00FA2E6F"/>
    <w:rsid w:val="00FA2E7B"/>
    <w:rsid w:val="00FA2EAF"/>
    <w:rsid w:val="00FA328D"/>
    <w:rsid w:val="00FA331C"/>
    <w:rsid w:val="00FA3496"/>
    <w:rsid w:val="00FA34B6"/>
    <w:rsid w:val="00FA36CD"/>
    <w:rsid w:val="00FA3717"/>
    <w:rsid w:val="00FA3784"/>
    <w:rsid w:val="00FA3BEF"/>
    <w:rsid w:val="00FA3E43"/>
    <w:rsid w:val="00FA4113"/>
    <w:rsid w:val="00FA44B1"/>
    <w:rsid w:val="00FA4545"/>
    <w:rsid w:val="00FA4555"/>
    <w:rsid w:val="00FA47AD"/>
    <w:rsid w:val="00FA4CCD"/>
    <w:rsid w:val="00FA4E7A"/>
    <w:rsid w:val="00FA52CB"/>
    <w:rsid w:val="00FA5522"/>
    <w:rsid w:val="00FA5676"/>
    <w:rsid w:val="00FA56C8"/>
    <w:rsid w:val="00FA598A"/>
    <w:rsid w:val="00FA60FF"/>
    <w:rsid w:val="00FA6775"/>
    <w:rsid w:val="00FA69F7"/>
    <w:rsid w:val="00FA6B2B"/>
    <w:rsid w:val="00FA6BCB"/>
    <w:rsid w:val="00FA6BF6"/>
    <w:rsid w:val="00FA6D9A"/>
    <w:rsid w:val="00FA6E18"/>
    <w:rsid w:val="00FA6E8A"/>
    <w:rsid w:val="00FA6E93"/>
    <w:rsid w:val="00FA6FC0"/>
    <w:rsid w:val="00FA73B6"/>
    <w:rsid w:val="00FA7798"/>
    <w:rsid w:val="00FA78B7"/>
    <w:rsid w:val="00FA7CB9"/>
    <w:rsid w:val="00FA7EAB"/>
    <w:rsid w:val="00FA7F3D"/>
    <w:rsid w:val="00FB031E"/>
    <w:rsid w:val="00FB0739"/>
    <w:rsid w:val="00FB09BD"/>
    <w:rsid w:val="00FB0CB2"/>
    <w:rsid w:val="00FB0F79"/>
    <w:rsid w:val="00FB10AE"/>
    <w:rsid w:val="00FB1523"/>
    <w:rsid w:val="00FB166D"/>
    <w:rsid w:val="00FB17A3"/>
    <w:rsid w:val="00FB181B"/>
    <w:rsid w:val="00FB187F"/>
    <w:rsid w:val="00FB1A80"/>
    <w:rsid w:val="00FB1C99"/>
    <w:rsid w:val="00FB1DA0"/>
    <w:rsid w:val="00FB22C5"/>
    <w:rsid w:val="00FB2455"/>
    <w:rsid w:val="00FB2618"/>
    <w:rsid w:val="00FB2759"/>
    <w:rsid w:val="00FB277C"/>
    <w:rsid w:val="00FB2A0E"/>
    <w:rsid w:val="00FB2B3A"/>
    <w:rsid w:val="00FB2C37"/>
    <w:rsid w:val="00FB3120"/>
    <w:rsid w:val="00FB34BD"/>
    <w:rsid w:val="00FB352D"/>
    <w:rsid w:val="00FB3665"/>
    <w:rsid w:val="00FB36FC"/>
    <w:rsid w:val="00FB3945"/>
    <w:rsid w:val="00FB3A1C"/>
    <w:rsid w:val="00FB3EA0"/>
    <w:rsid w:val="00FB4149"/>
    <w:rsid w:val="00FB4231"/>
    <w:rsid w:val="00FB43BB"/>
    <w:rsid w:val="00FB4503"/>
    <w:rsid w:val="00FB456A"/>
    <w:rsid w:val="00FB4763"/>
    <w:rsid w:val="00FB4B9D"/>
    <w:rsid w:val="00FB4EC6"/>
    <w:rsid w:val="00FB4FC9"/>
    <w:rsid w:val="00FB51E2"/>
    <w:rsid w:val="00FB5202"/>
    <w:rsid w:val="00FB520D"/>
    <w:rsid w:val="00FB5293"/>
    <w:rsid w:val="00FB532C"/>
    <w:rsid w:val="00FB5411"/>
    <w:rsid w:val="00FB564D"/>
    <w:rsid w:val="00FB56CA"/>
    <w:rsid w:val="00FB58D6"/>
    <w:rsid w:val="00FB59BE"/>
    <w:rsid w:val="00FB5B6A"/>
    <w:rsid w:val="00FB5F47"/>
    <w:rsid w:val="00FB67CA"/>
    <w:rsid w:val="00FB7045"/>
    <w:rsid w:val="00FB70FE"/>
    <w:rsid w:val="00FB7501"/>
    <w:rsid w:val="00FB76FA"/>
    <w:rsid w:val="00FB7B52"/>
    <w:rsid w:val="00FB7D6C"/>
    <w:rsid w:val="00FB7EA4"/>
    <w:rsid w:val="00FB7FFE"/>
    <w:rsid w:val="00FC0278"/>
    <w:rsid w:val="00FC0C30"/>
    <w:rsid w:val="00FC0E65"/>
    <w:rsid w:val="00FC108F"/>
    <w:rsid w:val="00FC109F"/>
    <w:rsid w:val="00FC1108"/>
    <w:rsid w:val="00FC13D4"/>
    <w:rsid w:val="00FC1422"/>
    <w:rsid w:val="00FC15AB"/>
    <w:rsid w:val="00FC18EB"/>
    <w:rsid w:val="00FC18F0"/>
    <w:rsid w:val="00FC1938"/>
    <w:rsid w:val="00FC196B"/>
    <w:rsid w:val="00FC1E7C"/>
    <w:rsid w:val="00FC2168"/>
    <w:rsid w:val="00FC25E0"/>
    <w:rsid w:val="00FC25FC"/>
    <w:rsid w:val="00FC2638"/>
    <w:rsid w:val="00FC2A17"/>
    <w:rsid w:val="00FC2A81"/>
    <w:rsid w:val="00FC2AED"/>
    <w:rsid w:val="00FC2C59"/>
    <w:rsid w:val="00FC2F1B"/>
    <w:rsid w:val="00FC3173"/>
    <w:rsid w:val="00FC33EF"/>
    <w:rsid w:val="00FC3596"/>
    <w:rsid w:val="00FC3C51"/>
    <w:rsid w:val="00FC3CA1"/>
    <w:rsid w:val="00FC420F"/>
    <w:rsid w:val="00FC465F"/>
    <w:rsid w:val="00FC48A4"/>
    <w:rsid w:val="00FC48C3"/>
    <w:rsid w:val="00FC4906"/>
    <w:rsid w:val="00FC4997"/>
    <w:rsid w:val="00FC4F25"/>
    <w:rsid w:val="00FC5587"/>
    <w:rsid w:val="00FC594E"/>
    <w:rsid w:val="00FC596C"/>
    <w:rsid w:val="00FC5CAB"/>
    <w:rsid w:val="00FC6046"/>
    <w:rsid w:val="00FC6337"/>
    <w:rsid w:val="00FC6646"/>
    <w:rsid w:val="00FC682D"/>
    <w:rsid w:val="00FC6BC0"/>
    <w:rsid w:val="00FC6CEB"/>
    <w:rsid w:val="00FC6E10"/>
    <w:rsid w:val="00FC6E1C"/>
    <w:rsid w:val="00FC73D3"/>
    <w:rsid w:val="00FC761F"/>
    <w:rsid w:val="00FC794C"/>
    <w:rsid w:val="00FC7B3E"/>
    <w:rsid w:val="00FC7DAC"/>
    <w:rsid w:val="00FD024A"/>
    <w:rsid w:val="00FD02C7"/>
    <w:rsid w:val="00FD0439"/>
    <w:rsid w:val="00FD05ED"/>
    <w:rsid w:val="00FD0629"/>
    <w:rsid w:val="00FD09B4"/>
    <w:rsid w:val="00FD0D7C"/>
    <w:rsid w:val="00FD0FD2"/>
    <w:rsid w:val="00FD11E6"/>
    <w:rsid w:val="00FD155B"/>
    <w:rsid w:val="00FD178E"/>
    <w:rsid w:val="00FD1A4C"/>
    <w:rsid w:val="00FD1E9A"/>
    <w:rsid w:val="00FD1F8D"/>
    <w:rsid w:val="00FD2036"/>
    <w:rsid w:val="00FD24F6"/>
    <w:rsid w:val="00FD2697"/>
    <w:rsid w:val="00FD27AA"/>
    <w:rsid w:val="00FD287A"/>
    <w:rsid w:val="00FD2CC2"/>
    <w:rsid w:val="00FD2D30"/>
    <w:rsid w:val="00FD2E26"/>
    <w:rsid w:val="00FD2E27"/>
    <w:rsid w:val="00FD315B"/>
    <w:rsid w:val="00FD3326"/>
    <w:rsid w:val="00FD3350"/>
    <w:rsid w:val="00FD3710"/>
    <w:rsid w:val="00FD3AB1"/>
    <w:rsid w:val="00FD3C67"/>
    <w:rsid w:val="00FD4226"/>
    <w:rsid w:val="00FD4306"/>
    <w:rsid w:val="00FD4671"/>
    <w:rsid w:val="00FD47E8"/>
    <w:rsid w:val="00FD4809"/>
    <w:rsid w:val="00FD49DC"/>
    <w:rsid w:val="00FD4F88"/>
    <w:rsid w:val="00FD4FD4"/>
    <w:rsid w:val="00FD5308"/>
    <w:rsid w:val="00FD6134"/>
    <w:rsid w:val="00FD6203"/>
    <w:rsid w:val="00FD6320"/>
    <w:rsid w:val="00FD6747"/>
    <w:rsid w:val="00FD67EC"/>
    <w:rsid w:val="00FD6914"/>
    <w:rsid w:val="00FD6AC7"/>
    <w:rsid w:val="00FD6BAB"/>
    <w:rsid w:val="00FD6CE8"/>
    <w:rsid w:val="00FD772E"/>
    <w:rsid w:val="00FD776F"/>
    <w:rsid w:val="00FD78AD"/>
    <w:rsid w:val="00FD7997"/>
    <w:rsid w:val="00FD7A3F"/>
    <w:rsid w:val="00FD7C64"/>
    <w:rsid w:val="00FE001D"/>
    <w:rsid w:val="00FE0402"/>
    <w:rsid w:val="00FE0744"/>
    <w:rsid w:val="00FE0800"/>
    <w:rsid w:val="00FE081F"/>
    <w:rsid w:val="00FE09AA"/>
    <w:rsid w:val="00FE0CA9"/>
    <w:rsid w:val="00FE0CE3"/>
    <w:rsid w:val="00FE0DD9"/>
    <w:rsid w:val="00FE1A98"/>
    <w:rsid w:val="00FE1F83"/>
    <w:rsid w:val="00FE20FE"/>
    <w:rsid w:val="00FE2103"/>
    <w:rsid w:val="00FE2149"/>
    <w:rsid w:val="00FE217E"/>
    <w:rsid w:val="00FE218B"/>
    <w:rsid w:val="00FE26F6"/>
    <w:rsid w:val="00FE287D"/>
    <w:rsid w:val="00FE2CD4"/>
    <w:rsid w:val="00FE2D53"/>
    <w:rsid w:val="00FE34B6"/>
    <w:rsid w:val="00FE3672"/>
    <w:rsid w:val="00FE4056"/>
    <w:rsid w:val="00FE4140"/>
    <w:rsid w:val="00FE4259"/>
    <w:rsid w:val="00FE43BC"/>
    <w:rsid w:val="00FE4FA2"/>
    <w:rsid w:val="00FE50F6"/>
    <w:rsid w:val="00FE53BB"/>
    <w:rsid w:val="00FE53C1"/>
    <w:rsid w:val="00FE53FB"/>
    <w:rsid w:val="00FE54A4"/>
    <w:rsid w:val="00FE554E"/>
    <w:rsid w:val="00FE5552"/>
    <w:rsid w:val="00FE5D13"/>
    <w:rsid w:val="00FE5D93"/>
    <w:rsid w:val="00FE61D8"/>
    <w:rsid w:val="00FE6560"/>
    <w:rsid w:val="00FE65B6"/>
    <w:rsid w:val="00FE670B"/>
    <w:rsid w:val="00FE6896"/>
    <w:rsid w:val="00FE69CD"/>
    <w:rsid w:val="00FE7321"/>
    <w:rsid w:val="00FE73BD"/>
    <w:rsid w:val="00FE788C"/>
    <w:rsid w:val="00FE7A65"/>
    <w:rsid w:val="00FE7BC3"/>
    <w:rsid w:val="00FE7D0F"/>
    <w:rsid w:val="00FF01E7"/>
    <w:rsid w:val="00FF0298"/>
    <w:rsid w:val="00FF034D"/>
    <w:rsid w:val="00FF042D"/>
    <w:rsid w:val="00FF0448"/>
    <w:rsid w:val="00FF0901"/>
    <w:rsid w:val="00FF090C"/>
    <w:rsid w:val="00FF0ACB"/>
    <w:rsid w:val="00FF0BAD"/>
    <w:rsid w:val="00FF0C9E"/>
    <w:rsid w:val="00FF0CEB"/>
    <w:rsid w:val="00FF0D31"/>
    <w:rsid w:val="00FF1131"/>
    <w:rsid w:val="00FF1312"/>
    <w:rsid w:val="00FF14EB"/>
    <w:rsid w:val="00FF1873"/>
    <w:rsid w:val="00FF1893"/>
    <w:rsid w:val="00FF1C1B"/>
    <w:rsid w:val="00FF1C72"/>
    <w:rsid w:val="00FF1EA0"/>
    <w:rsid w:val="00FF1EBC"/>
    <w:rsid w:val="00FF2354"/>
    <w:rsid w:val="00FF252B"/>
    <w:rsid w:val="00FF2728"/>
    <w:rsid w:val="00FF29FA"/>
    <w:rsid w:val="00FF2E52"/>
    <w:rsid w:val="00FF3001"/>
    <w:rsid w:val="00FF30A6"/>
    <w:rsid w:val="00FF30AF"/>
    <w:rsid w:val="00FF33AA"/>
    <w:rsid w:val="00FF37F2"/>
    <w:rsid w:val="00FF425E"/>
    <w:rsid w:val="00FF4326"/>
    <w:rsid w:val="00FF48A5"/>
    <w:rsid w:val="00FF4A50"/>
    <w:rsid w:val="00FF4DAE"/>
    <w:rsid w:val="00FF50BC"/>
    <w:rsid w:val="00FF5265"/>
    <w:rsid w:val="00FF56A4"/>
    <w:rsid w:val="00FF5959"/>
    <w:rsid w:val="00FF5C3F"/>
    <w:rsid w:val="00FF5D14"/>
    <w:rsid w:val="00FF62A2"/>
    <w:rsid w:val="00FF62CE"/>
    <w:rsid w:val="00FF63EB"/>
    <w:rsid w:val="00FF6895"/>
    <w:rsid w:val="00FF6B39"/>
    <w:rsid w:val="00FF6E33"/>
    <w:rsid w:val="00FF6E3C"/>
    <w:rsid w:val="00FF740F"/>
    <w:rsid w:val="00FF7505"/>
    <w:rsid w:val="00FF7817"/>
    <w:rsid w:val="00FF7B4F"/>
    <w:rsid w:val="00FF7E7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5A5DCC"/>
  <w15:docId w15:val="{A4AEC516-6BE3-4EE7-B419-A5C42221B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B1A"/>
    <w:pPr>
      <w:spacing w:after="0" w:line="240" w:lineRule="auto"/>
    </w:pPr>
    <w:rPr>
      <w:rFonts w:ascii="Times New Roman" w:eastAsia="Times New Roman" w:hAnsi="Times New Roman" w:cs="Times New Roman"/>
      <w:sz w:val="24"/>
      <w:szCs w:val="24"/>
      <w:lang w:eastAsia="es-CO"/>
    </w:rPr>
  </w:style>
  <w:style w:type="paragraph" w:styleId="Ttulo1">
    <w:name w:val="heading 1"/>
    <w:basedOn w:val="Normal"/>
    <w:next w:val="Normal"/>
    <w:link w:val="Ttulo1Car"/>
    <w:uiPriority w:val="9"/>
    <w:qFormat/>
    <w:rsid w:val="00676829"/>
    <w:pPr>
      <w:keepNext/>
      <w:keepLines/>
      <w:spacing w:before="480"/>
      <w:outlineLvl w:val="0"/>
    </w:pPr>
    <w:rPr>
      <w:rFonts w:asciiTheme="majorHAnsi" w:eastAsiaTheme="majorEastAsia" w:hAnsiTheme="majorHAnsi" w:cstheme="majorBidi"/>
      <w:b/>
      <w:bCs/>
      <w:color w:val="365F91" w:themeColor="accent1" w:themeShade="BF"/>
      <w:sz w:val="28"/>
      <w:szCs w:val="28"/>
      <w:lang w:val="es-ES" w:eastAsia="es-ES"/>
    </w:rPr>
  </w:style>
  <w:style w:type="paragraph" w:styleId="Ttulo2">
    <w:name w:val="heading 2"/>
    <w:basedOn w:val="Normal"/>
    <w:next w:val="Normal"/>
    <w:link w:val="Ttulo2Car"/>
    <w:uiPriority w:val="9"/>
    <w:unhideWhenUsed/>
    <w:qFormat/>
    <w:rsid w:val="00B14DA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5">
    <w:name w:val="heading 5"/>
    <w:basedOn w:val="Normal"/>
    <w:next w:val="Normal"/>
    <w:link w:val="Ttulo5Car"/>
    <w:unhideWhenUsed/>
    <w:qFormat/>
    <w:rsid w:val="00676829"/>
    <w:pPr>
      <w:spacing w:before="240" w:after="60"/>
      <w:outlineLvl w:val="4"/>
    </w:pPr>
    <w:rPr>
      <w:rFonts w:ascii="Calibri" w:hAnsi="Calibri"/>
      <w:b/>
      <w:bCs/>
      <w:i/>
      <w:iCs/>
      <w:sz w:val="26"/>
      <w:szCs w:val="2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EncabezadoCar">
    <w:name w:val="Encabezado Car"/>
    <w:basedOn w:val="Fuentedeprrafopredeter"/>
    <w:link w:val="Encabezado"/>
    <w:rsid w:val="00A17772"/>
    <w:rPr>
      <w:rFonts w:ascii="Arial Narrow" w:hAnsi="Arial Narrow"/>
      <w:sz w:val="24"/>
      <w:szCs w:val="24"/>
    </w:rPr>
  </w:style>
  <w:style w:type="paragraph" w:styleId="Piedepgina">
    <w:name w:val="footer"/>
    <w:basedOn w:val="Normal"/>
    <w:link w:val="PiedepginaCar"/>
    <w:unhideWhenUsed/>
    <w:rsid w:val="00A17772"/>
    <w:pPr>
      <w:tabs>
        <w:tab w:val="center" w:pos="4419"/>
        <w:tab w:val="right" w:pos="8838"/>
      </w:tabs>
      <w:jc w:val="both"/>
    </w:pPr>
    <w:rPr>
      <w:rFonts w:ascii="Arial Narrow" w:eastAsiaTheme="minorHAnsi" w:hAnsi="Arial Narrow" w:cstheme="minorBidi"/>
      <w:lang w:eastAsia="en-US"/>
    </w:rPr>
  </w:style>
  <w:style w:type="character" w:customStyle="1" w:styleId="PiedepginaCar">
    <w:name w:val="Pie de página Car"/>
    <w:basedOn w:val="Fuentedeprrafopredeter"/>
    <w:link w:val="Piedepgina"/>
    <w:rsid w:val="00A17772"/>
    <w:rPr>
      <w:rFonts w:ascii="Arial Narrow" w:hAnsi="Arial Narrow"/>
      <w:sz w:val="24"/>
      <w:szCs w:val="24"/>
    </w:rPr>
  </w:style>
  <w:style w:type="paragraph" w:customStyle="1" w:styleId="Default">
    <w:name w:val="Default"/>
    <w:rsid w:val="00A17772"/>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A17772"/>
    <w:pPr>
      <w:ind w:left="720"/>
      <w:contextualSpacing/>
      <w:jc w:val="both"/>
    </w:pPr>
    <w:rPr>
      <w:rFonts w:ascii="Arial Narrow" w:eastAsiaTheme="minorHAnsi" w:hAnsi="Arial Narrow" w:cstheme="minorBidi"/>
      <w:lang w:eastAsia="en-US"/>
    </w:rPr>
  </w:style>
  <w:style w:type="table" w:styleId="Tablaconcuadrcula">
    <w:name w:val="Table Grid"/>
    <w:basedOn w:val="Tablanormal"/>
    <w:uiPriority w:val="59"/>
    <w:rsid w:val="00A17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17772"/>
    <w:rPr>
      <w:rFonts w:ascii="Tahoma" w:hAnsi="Tahoma" w:cs="Tahoma"/>
      <w:sz w:val="16"/>
      <w:szCs w:val="16"/>
    </w:rPr>
  </w:style>
  <w:style w:type="character" w:customStyle="1" w:styleId="TextodegloboCar">
    <w:name w:val="Texto de globo Car"/>
    <w:basedOn w:val="Fuentedeprrafopredeter"/>
    <w:link w:val="Textodeglobo"/>
    <w:uiPriority w:val="99"/>
    <w:semiHidden/>
    <w:rsid w:val="00A17772"/>
    <w:rPr>
      <w:rFonts w:ascii="Tahoma" w:hAnsi="Tahoma" w:cs="Tahoma"/>
      <w:sz w:val="16"/>
      <w:szCs w:val="16"/>
    </w:rPr>
  </w:style>
  <w:style w:type="character" w:styleId="Refdecomentario">
    <w:name w:val="annotation reference"/>
    <w:basedOn w:val="Fuentedeprrafopredeter"/>
    <w:uiPriority w:val="99"/>
    <w:semiHidden/>
    <w:unhideWhenUsed/>
    <w:rsid w:val="00F00138"/>
    <w:rPr>
      <w:sz w:val="16"/>
      <w:szCs w:val="16"/>
    </w:rPr>
  </w:style>
  <w:style w:type="paragraph" w:styleId="Textocomentario">
    <w:name w:val="annotation text"/>
    <w:basedOn w:val="Normal"/>
    <w:link w:val="TextocomentarioCar"/>
    <w:unhideWhenUsed/>
    <w:rsid w:val="00F00138"/>
    <w:pPr>
      <w:jc w:val="both"/>
    </w:pPr>
    <w:rPr>
      <w:rFonts w:ascii="Arial Narrow" w:eastAsiaTheme="minorHAnsi" w:hAnsi="Arial Narrow" w:cstheme="minorBidi"/>
      <w:sz w:val="20"/>
      <w:szCs w:val="20"/>
      <w:lang w:eastAsia="en-US"/>
    </w:rPr>
  </w:style>
  <w:style w:type="character" w:customStyle="1" w:styleId="TextocomentarioCar">
    <w:name w:val="Texto comentario Car"/>
    <w:basedOn w:val="Fuentedeprrafopredeter"/>
    <w:link w:val="Textocomentario"/>
    <w:rsid w:val="00F00138"/>
    <w:rPr>
      <w:rFonts w:ascii="Arial Narrow" w:hAnsi="Arial Narrow"/>
      <w:sz w:val="20"/>
      <w:szCs w:val="20"/>
    </w:rPr>
  </w:style>
  <w:style w:type="paragraph" w:styleId="Asuntodelcomentario">
    <w:name w:val="annotation subject"/>
    <w:basedOn w:val="Textocomentario"/>
    <w:next w:val="Textocomentario"/>
    <w:link w:val="AsuntodelcomentarioCar"/>
    <w:uiPriority w:val="99"/>
    <w:semiHidden/>
    <w:unhideWhenUsed/>
    <w:rsid w:val="00F00138"/>
    <w:rPr>
      <w:b/>
      <w:bCs/>
    </w:rPr>
  </w:style>
  <w:style w:type="character" w:customStyle="1" w:styleId="AsuntodelcomentarioCar">
    <w:name w:val="Asunto del comentario Car"/>
    <w:basedOn w:val="TextocomentarioCar"/>
    <w:link w:val="Asuntodelcomentario"/>
    <w:uiPriority w:val="99"/>
    <w:semiHidden/>
    <w:rsid w:val="00F00138"/>
    <w:rPr>
      <w:rFonts w:ascii="Arial Narrow" w:hAnsi="Arial Narrow"/>
      <w:b/>
      <w:bCs/>
      <w:sz w:val="20"/>
      <w:szCs w:val="20"/>
    </w:rPr>
  </w:style>
  <w:style w:type="paragraph" w:styleId="Textonotapie">
    <w:name w:val="footnote text"/>
    <w:basedOn w:val="Normal"/>
    <w:link w:val="TextonotapieCar"/>
    <w:uiPriority w:val="99"/>
    <w:semiHidden/>
    <w:unhideWhenUsed/>
    <w:rsid w:val="00464D11"/>
    <w:pPr>
      <w:jc w:val="both"/>
    </w:pPr>
    <w:rPr>
      <w:rFonts w:ascii="Arial Narrow" w:eastAsiaTheme="minorHAnsi" w:hAnsi="Arial Narrow" w:cstheme="minorBidi"/>
      <w:sz w:val="20"/>
      <w:szCs w:val="20"/>
      <w:lang w:eastAsia="en-US"/>
    </w:rPr>
  </w:style>
  <w:style w:type="character" w:customStyle="1" w:styleId="TextonotapieCar">
    <w:name w:val="Texto nota pie Car"/>
    <w:basedOn w:val="Fuentedeprrafopredeter"/>
    <w:link w:val="Textonotapie"/>
    <w:uiPriority w:val="99"/>
    <w:semiHidden/>
    <w:rsid w:val="00464D11"/>
    <w:rPr>
      <w:rFonts w:ascii="Arial Narrow" w:hAnsi="Arial Narrow"/>
      <w:sz w:val="20"/>
      <w:szCs w:val="20"/>
    </w:rPr>
  </w:style>
  <w:style w:type="character" w:styleId="Refdenotaalpie">
    <w:name w:val="footnote reference"/>
    <w:basedOn w:val="Fuentedeprrafopredeter"/>
    <w:uiPriority w:val="99"/>
    <w:semiHidden/>
    <w:unhideWhenUsed/>
    <w:rsid w:val="00464D11"/>
    <w:rPr>
      <w:vertAlign w:val="superscript"/>
    </w:rPr>
  </w:style>
  <w:style w:type="character" w:styleId="Hipervnculo">
    <w:name w:val="Hyperlink"/>
    <w:basedOn w:val="Fuentedeprrafopredeter"/>
    <w:uiPriority w:val="99"/>
    <w:unhideWhenUsed/>
    <w:rsid w:val="008D29EB"/>
    <w:rPr>
      <w:color w:val="0000FF" w:themeColor="hyperlink"/>
      <w:u w:val="single"/>
    </w:rPr>
  </w:style>
  <w:style w:type="table" w:customStyle="1" w:styleId="Tablaconcuadrcula1">
    <w:name w:val="Tabla con cuadrícula1"/>
    <w:basedOn w:val="Tablanormal"/>
    <w:next w:val="Tablaconcuadrcula"/>
    <w:uiPriority w:val="59"/>
    <w:rsid w:val="00BE3CE2"/>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A70B09"/>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676829"/>
    <w:rPr>
      <w:rFonts w:asciiTheme="majorHAnsi" w:eastAsiaTheme="majorEastAsia" w:hAnsiTheme="majorHAnsi" w:cstheme="majorBidi"/>
      <w:b/>
      <w:bCs/>
      <w:color w:val="365F91" w:themeColor="accent1" w:themeShade="BF"/>
      <w:sz w:val="28"/>
      <w:szCs w:val="28"/>
      <w:lang w:val="es-ES" w:eastAsia="es-ES"/>
    </w:rPr>
  </w:style>
  <w:style w:type="character" w:customStyle="1" w:styleId="Ttulo5Car">
    <w:name w:val="Título 5 Car"/>
    <w:basedOn w:val="Fuentedeprrafopredeter"/>
    <w:link w:val="Ttulo5"/>
    <w:rsid w:val="00676829"/>
    <w:rPr>
      <w:rFonts w:ascii="Calibri" w:eastAsia="Times New Roman" w:hAnsi="Calibri" w:cs="Times New Roman"/>
      <w:b/>
      <w:bCs/>
      <w:i/>
      <w:iCs/>
      <w:sz w:val="26"/>
      <w:szCs w:val="26"/>
      <w:lang w:val="es-ES" w:eastAsia="es-ES"/>
    </w:rPr>
  </w:style>
  <w:style w:type="character" w:styleId="Nmerodepgina">
    <w:name w:val="page number"/>
    <w:basedOn w:val="Fuentedeprrafopredeter"/>
    <w:rsid w:val="00676829"/>
  </w:style>
  <w:style w:type="table" w:styleId="Sombreadoclaro-nfasis2">
    <w:name w:val="Light Shading Accent 2"/>
    <w:basedOn w:val="Tablanormal"/>
    <w:uiPriority w:val="60"/>
    <w:rsid w:val="0067682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medio2-nfasis2">
    <w:name w:val="Medium Shading 2 Accent 2"/>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3-nfasis2">
    <w:name w:val="Medium Grid 3 Accent 2"/>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shd w:val="clear" w:color="auto" w:fill="D99594" w:themeFill="accent2" w:themeFillTint="99"/>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Listaclara-nfasis2">
    <w:name w:val="Light List Accent 2"/>
    <w:basedOn w:val="Tablanormal"/>
    <w:uiPriority w:val="61"/>
    <w:rsid w:val="0067682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ombreadomedio1-nfasis2">
    <w:name w:val="Medium Shading 1 Accent 2"/>
    <w:basedOn w:val="Tablanormal"/>
    <w:uiPriority w:val="63"/>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Sinespaciado">
    <w:name w:val="No Spacing"/>
    <w:uiPriority w:val="1"/>
    <w:qFormat/>
    <w:rsid w:val="00676829"/>
    <w:pPr>
      <w:spacing w:after="0" w:line="240" w:lineRule="auto"/>
    </w:pPr>
    <w:rPr>
      <w:rFonts w:ascii="Times New Roman" w:eastAsia="Times New Roman" w:hAnsi="Times New Roman" w:cs="Times New Roman"/>
      <w:sz w:val="24"/>
      <w:szCs w:val="24"/>
      <w:lang w:val="es-ES" w:eastAsia="es-ES"/>
    </w:rPr>
  </w:style>
  <w:style w:type="paragraph" w:styleId="Textoindependiente">
    <w:name w:val="Body Text"/>
    <w:aliases w:val="body text,bt"/>
    <w:basedOn w:val="Normal"/>
    <w:link w:val="TextoindependienteCar"/>
    <w:rsid w:val="00676829"/>
    <w:pPr>
      <w:jc w:val="both"/>
    </w:pPr>
    <w:rPr>
      <w:rFonts w:ascii="Arial" w:hAnsi="Arial"/>
      <w:szCs w:val="20"/>
      <w:lang w:val="es-ES" w:eastAsia="es-ES"/>
    </w:rPr>
  </w:style>
  <w:style w:type="character" w:customStyle="1" w:styleId="TextoindependienteCar">
    <w:name w:val="Texto independiente Car"/>
    <w:aliases w:val="body text Car,bt Car"/>
    <w:basedOn w:val="Fuentedeprrafopredeter"/>
    <w:link w:val="Textoindependiente"/>
    <w:rsid w:val="00676829"/>
    <w:rPr>
      <w:rFonts w:ascii="Arial" w:eastAsia="Times New Roman" w:hAnsi="Arial" w:cs="Times New Roman"/>
      <w:sz w:val="24"/>
      <w:szCs w:val="20"/>
      <w:lang w:val="es-ES" w:eastAsia="es-ES"/>
    </w:rPr>
  </w:style>
  <w:style w:type="paragraph" w:styleId="NormalWeb">
    <w:name w:val="Normal (Web)"/>
    <w:basedOn w:val="Normal"/>
    <w:uiPriority w:val="99"/>
    <w:unhideWhenUsed/>
    <w:rsid w:val="00676829"/>
    <w:pPr>
      <w:spacing w:before="100" w:beforeAutospacing="1" w:after="100" w:afterAutospacing="1"/>
    </w:pPr>
    <w:rPr>
      <w:rFonts w:eastAsiaTheme="minorEastAsia"/>
    </w:rPr>
  </w:style>
  <w:style w:type="paragraph" w:styleId="Textoindependiente3">
    <w:name w:val="Body Text 3"/>
    <w:basedOn w:val="Normal"/>
    <w:link w:val="Textoindependiente3Car"/>
    <w:unhideWhenUsed/>
    <w:rsid w:val="00676829"/>
    <w:pPr>
      <w:spacing w:after="120"/>
    </w:pPr>
    <w:rPr>
      <w:rFonts w:eastAsia="MS Mincho"/>
      <w:sz w:val="16"/>
      <w:szCs w:val="16"/>
      <w:lang w:val="es-ES" w:eastAsia="es-ES"/>
    </w:rPr>
  </w:style>
  <w:style w:type="character" w:customStyle="1" w:styleId="Textoindependiente3Car">
    <w:name w:val="Texto independiente 3 Car"/>
    <w:basedOn w:val="Fuentedeprrafopredeter"/>
    <w:link w:val="Textoindependiente3"/>
    <w:rsid w:val="00676829"/>
    <w:rPr>
      <w:rFonts w:ascii="Times New Roman" w:eastAsia="MS Mincho" w:hAnsi="Times New Roman" w:cs="Times New Roman"/>
      <w:sz w:val="16"/>
      <w:szCs w:val="16"/>
      <w:lang w:val="es-ES" w:eastAsia="es-ES"/>
    </w:rPr>
  </w:style>
  <w:style w:type="table" w:styleId="Cuadrculavistosa-nfasis2">
    <w:name w:val="Colorful Grid Accent 2"/>
    <w:basedOn w:val="Tablanormal"/>
    <w:uiPriority w:val="73"/>
    <w:rsid w:val="0067682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ombreadovistoso-nfasis2">
    <w:name w:val="Colorful Shading Accent 2"/>
    <w:basedOn w:val="Tablanormal"/>
    <w:uiPriority w:val="71"/>
    <w:rsid w:val="00676829"/>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uadrculamedia3-nfasis1">
    <w:name w:val="Medium Grid 3 Accent 1"/>
    <w:basedOn w:val="Tablanormal"/>
    <w:uiPriority w:val="69"/>
    <w:rsid w:val="0067682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ms-rtethemeforecolor-5-01">
    <w:name w:val="ms-rtethemeforecolor-5-01"/>
    <w:basedOn w:val="Fuentedeprrafopredeter"/>
    <w:rsid w:val="00676829"/>
    <w:rPr>
      <w:color w:val="0072BC"/>
    </w:rPr>
  </w:style>
  <w:style w:type="paragraph" w:styleId="Lista2">
    <w:name w:val="List 2"/>
    <w:basedOn w:val="Normal"/>
    <w:uiPriority w:val="99"/>
    <w:unhideWhenUsed/>
    <w:rsid w:val="00676829"/>
    <w:pPr>
      <w:ind w:left="566" w:hanging="283"/>
      <w:contextualSpacing/>
    </w:pPr>
    <w:rPr>
      <w:lang w:val="es-ES" w:eastAsia="es-ES"/>
    </w:rPr>
  </w:style>
  <w:style w:type="paragraph" w:styleId="Continuarlista2">
    <w:name w:val="List Continue 2"/>
    <w:basedOn w:val="Normal"/>
    <w:uiPriority w:val="99"/>
    <w:unhideWhenUsed/>
    <w:rsid w:val="00676829"/>
    <w:pPr>
      <w:spacing w:after="120"/>
      <w:ind w:left="566"/>
      <w:contextualSpacing/>
    </w:pPr>
    <w:rPr>
      <w:lang w:val="es-ES" w:eastAsia="es-ES"/>
    </w:rPr>
  </w:style>
  <w:style w:type="paragraph" w:styleId="Descripcin">
    <w:name w:val="caption"/>
    <w:basedOn w:val="Normal"/>
    <w:next w:val="Normal"/>
    <w:uiPriority w:val="35"/>
    <w:unhideWhenUsed/>
    <w:qFormat/>
    <w:rsid w:val="00676829"/>
    <w:pPr>
      <w:spacing w:after="200"/>
    </w:pPr>
    <w:rPr>
      <w:b/>
      <w:bCs/>
      <w:color w:val="4F81BD" w:themeColor="accent1"/>
      <w:sz w:val="18"/>
      <w:szCs w:val="18"/>
      <w:lang w:val="es-ES" w:eastAsia="es-ES"/>
    </w:rPr>
  </w:style>
  <w:style w:type="paragraph" w:styleId="Ttulo">
    <w:name w:val="Title"/>
    <w:basedOn w:val="Normal"/>
    <w:next w:val="Normal"/>
    <w:link w:val="TtuloCar"/>
    <w:uiPriority w:val="10"/>
    <w:qFormat/>
    <w:rsid w:val="0067682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s-ES" w:eastAsia="es-ES"/>
    </w:rPr>
  </w:style>
  <w:style w:type="character" w:customStyle="1" w:styleId="TtuloCar">
    <w:name w:val="Título Car"/>
    <w:basedOn w:val="Fuentedeprrafopredeter"/>
    <w:link w:val="Ttulo"/>
    <w:uiPriority w:val="10"/>
    <w:rsid w:val="00676829"/>
    <w:rPr>
      <w:rFonts w:asciiTheme="majorHAnsi" w:eastAsiaTheme="majorEastAsia" w:hAnsiTheme="majorHAnsi" w:cstheme="majorBidi"/>
      <w:color w:val="17365D" w:themeColor="text2" w:themeShade="BF"/>
      <w:spacing w:val="5"/>
      <w:kern w:val="28"/>
      <w:sz w:val="52"/>
      <w:szCs w:val="52"/>
      <w:lang w:val="es-ES" w:eastAsia="es-ES"/>
    </w:rPr>
  </w:style>
  <w:style w:type="paragraph" w:styleId="Textonotaalfinal">
    <w:name w:val="endnote text"/>
    <w:basedOn w:val="Normal"/>
    <w:link w:val="TextonotaalfinalCar"/>
    <w:uiPriority w:val="99"/>
    <w:semiHidden/>
    <w:unhideWhenUsed/>
    <w:rsid w:val="00676829"/>
    <w:rPr>
      <w:sz w:val="20"/>
      <w:szCs w:val="20"/>
      <w:lang w:val="es-ES" w:eastAsia="es-ES"/>
    </w:rPr>
  </w:style>
  <w:style w:type="character" w:customStyle="1" w:styleId="TextonotaalfinalCar">
    <w:name w:val="Texto nota al final Car"/>
    <w:basedOn w:val="Fuentedeprrafopredeter"/>
    <w:link w:val="Textonotaalfinal"/>
    <w:uiPriority w:val="99"/>
    <w:semiHidden/>
    <w:rsid w:val="00676829"/>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76829"/>
    <w:rPr>
      <w:vertAlign w:val="superscript"/>
    </w:rPr>
  </w:style>
  <w:style w:type="table" w:styleId="Listavistosa-nfasis2">
    <w:name w:val="Colorful List Accent 2"/>
    <w:basedOn w:val="Tablanormal"/>
    <w:uiPriority w:val="72"/>
    <w:rsid w:val="00676829"/>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ombreadoclaro">
    <w:name w:val="Light Shading"/>
    <w:basedOn w:val="Tablanormal"/>
    <w:uiPriority w:val="60"/>
    <w:rsid w:val="0067682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
    <w:name w:val="Light List"/>
    <w:basedOn w:val="Tablanormal"/>
    <w:uiPriority w:val="61"/>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Cuadrculaclara">
    <w:name w:val="Light Grid"/>
    <w:basedOn w:val="Tablanormal"/>
    <w:uiPriority w:val="62"/>
    <w:rsid w:val="0067682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Continuarlista3">
    <w:name w:val="List Continue 3"/>
    <w:basedOn w:val="Normal"/>
    <w:uiPriority w:val="99"/>
    <w:unhideWhenUsed/>
    <w:rsid w:val="00676829"/>
    <w:pPr>
      <w:spacing w:after="120"/>
      <w:ind w:left="849"/>
      <w:contextualSpacing/>
    </w:pPr>
    <w:rPr>
      <w:lang w:val="es-ES" w:eastAsia="es-ES"/>
    </w:rPr>
  </w:style>
  <w:style w:type="table" w:styleId="Listavistosa-nfasis4">
    <w:name w:val="Colorful List Accent 4"/>
    <w:basedOn w:val="Tablanormal"/>
    <w:uiPriority w:val="72"/>
    <w:rsid w:val="00676829"/>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avistosa-nfasis3">
    <w:name w:val="Colorful List Accent 3"/>
    <w:basedOn w:val="Tablanormal"/>
    <w:uiPriority w:val="72"/>
    <w:rsid w:val="00676829"/>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ombreadovistoso-nfasis6">
    <w:name w:val="Colorful Shading Accent 6"/>
    <w:basedOn w:val="Tablanormal"/>
    <w:uiPriority w:val="71"/>
    <w:rsid w:val="00676829"/>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Sombreadovistoso-nfasis5">
    <w:name w:val="Colorful Shading Accent 5"/>
    <w:basedOn w:val="Tablanormal"/>
    <w:uiPriority w:val="71"/>
    <w:rsid w:val="0067682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uadrculamedia2-nfasis5">
    <w:name w:val="Medium Grid 2 Accent 5"/>
    <w:basedOn w:val="Tablanormal"/>
    <w:uiPriority w:val="68"/>
    <w:rsid w:val="0067682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ombreadomedio2-nfasis6">
    <w:name w:val="Medium Shading 2 Accent 6"/>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medio2-nfasis4">
    <w:name w:val="Medium Shading 2 Accent 4"/>
    <w:basedOn w:val="Tablanormal"/>
    <w:uiPriority w:val="64"/>
    <w:rsid w:val="0067682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Cuadrculamedia1-nfasis2">
    <w:name w:val="Medium Grid 1 Accent 2"/>
    <w:basedOn w:val="Tablanormal"/>
    <w:uiPriority w:val="67"/>
    <w:rsid w:val="00676829"/>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Estilo1">
    <w:name w:val="Estilo1"/>
    <w:basedOn w:val="Tablanormal"/>
    <w:uiPriority w:val="99"/>
    <w:rsid w:val="00676829"/>
    <w:pPr>
      <w:spacing w:after="0" w:line="240" w:lineRule="auto"/>
    </w:pPr>
    <w:tblPr/>
    <w:tcPr>
      <w:shd w:val="clear" w:color="auto" w:fill="E5B8B7" w:themeFill="accent2" w:themeFillTint="66"/>
    </w:tcPr>
  </w:style>
  <w:style w:type="table" w:customStyle="1" w:styleId="SENCILLO1">
    <w:name w:val="SENCILLO 1"/>
    <w:basedOn w:val="Tablamoderna"/>
    <w:uiPriority w:val="99"/>
    <w:rsid w:val="00676829"/>
    <w:rPr>
      <w:rFonts w:ascii="Arial" w:hAnsi="Arial"/>
      <w:sz w:val="20"/>
      <w:szCs w:val="20"/>
      <w:lang w:val="es-ES" w:eastAsia="es-CO"/>
    </w:rPr>
    <w:tblPr>
      <w:tblBorders>
        <w:insideH w:val="single" w:sz="4" w:space="0" w:color="4F81BD" w:themeColor="accent1"/>
        <w:insideV w:val="single" w:sz="4" w:space="0" w:color="4F81BD" w:themeColor="accent1"/>
      </w:tblBorders>
    </w:tblPr>
    <w:tcPr>
      <w:shd w:val="clear" w:color="auto" w:fill="000000" w:themeFill="text1"/>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amoderna">
    <w:name w:val="Table Contemporary"/>
    <w:basedOn w:val="Tablanormal"/>
    <w:uiPriority w:val="99"/>
    <w:semiHidden/>
    <w:unhideWhenUsed/>
    <w:rsid w:val="00676829"/>
    <w:pPr>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Cuadrculaclara-nfasis4">
    <w:name w:val="Light Grid Accent 4"/>
    <w:basedOn w:val="Tablanormal"/>
    <w:uiPriority w:val="62"/>
    <w:rsid w:val="00676829"/>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character" w:customStyle="1" w:styleId="span">
    <w:name w:val="span"/>
    <w:basedOn w:val="Fuentedeprrafopredeter"/>
    <w:rsid w:val="0075647F"/>
  </w:style>
  <w:style w:type="character" w:styleId="Textodelmarcadordeposicin">
    <w:name w:val="Placeholder Text"/>
    <w:basedOn w:val="Fuentedeprrafopredeter"/>
    <w:uiPriority w:val="99"/>
    <w:semiHidden/>
    <w:rsid w:val="000A3C8C"/>
    <w:rPr>
      <w:color w:val="808080"/>
    </w:rPr>
  </w:style>
  <w:style w:type="character" w:customStyle="1" w:styleId="fontstyle01">
    <w:name w:val="fontstyle01"/>
    <w:basedOn w:val="Fuentedeprrafopredeter"/>
    <w:rsid w:val="002026B1"/>
    <w:rPr>
      <w:rFonts w:ascii="Helvetica" w:hAnsi="Helvetica" w:hint="default"/>
      <w:b w:val="0"/>
      <w:bCs w:val="0"/>
      <w:i w:val="0"/>
      <w:iCs w:val="0"/>
      <w:color w:val="000000"/>
      <w:sz w:val="22"/>
      <w:szCs w:val="22"/>
    </w:rPr>
  </w:style>
  <w:style w:type="table" w:styleId="Tabladelista3-nfasis5">
    <w:name w:val="List Table 3 Accent 5"/>
    <w:basedOn w:val="Tablanormal"/>
    <w:uiPriority w:val="48"/>
    <w:rsid w:val="001613A0"/>
    <w:pPr>
      <w:spacing w:after="0" w:line="240" w:lineRule="auto"/>
    </w:pPr>
    <w:rPr>
      <w:rFonts w:ascii="Times New Roman" w:eastAsia="Times New Roman" w:hAnsi="Times New Roman" w:cs="Times New Roman"/>
      <w:sz w:val="20"/>
      <w:szCs w:val="20"/>
      <w:lang w:eastAsia="es-CO"/>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adelista7concolores-nfasis5">
    <w:name w:val="List Table 7 Colorful Accent 5"/>
    <w:basedOn w:val="Tablanormal"/>
    <w:uiPriority w:val="52"/>
    <w:rsid w:val="00991285"/>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1clara-nfasis5">
    <w:name w:val="Grid Table 1 Light Accent 5"/>
    <w:basedOn w:val="Tablanormal"/>
    <w:uiPriority w:val="46"/>
    <w:rsid w:val="00156F78"/>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221D4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5oscura-nfasis5">
    <w:name w:val="Grid Table 5 Dark Accent 5"/>
    <w:basedOn w:val="Tablanormal"/>
    <w:uiPriority w:val="50"/>
    <w:rsid w:val="00221D4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aconcuadrcula7concolores-nfasis5">
    <w:name w:val="Grid Table 7 Colorful Accent 5"/>
    <w:basedOn w:val="Tablanormal"/>
    <w:uiPriority w:val="52"/>
    <w:rsid w:val="00221D4C"/>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concuadrcula6concolores-nfasis5">
    <w:name w:val="Grid Table 6 Colorful Accent 5"/>
    <w:basedOn w:val="Tablanormal"/>
    <w:uiPriority w:val="51"/>
    <w:rsid w:val="00782F3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fontstyle21">
    <w:name w:val="fontstyle21"/>
    <w:basedOn w:val="Fuentedeprrafopredeter"/>
    <w:rsid w:val="000F2A04"/>
    <w:rPr>
      <w:rFonts w:ascii="Helvetica" w:hAnsi="Helvetica" w:hint="default"/>
      <w:b w:val="0"/>
      <w:bCs w:val="0"/>
      <w:i w:val="0"/>
      <w:iCs w:val="0"/>
      <w:color w:val="000000"/>
      <w:sz w:val="24"/>
      <w:szCs w:val="24"/>
    </w:rPr>
  </w:style>
  <w:style w:type="table" w:styleId="Tablaconcuadrcula2-nfasis5">
    <w:name w:val="Grid Table 2 Accent 5"/>
    <w:basedOn w:val="Tablanormal"/>
    <w:uiPriority w:val="47"/>
    <w:rsid w:val="001E521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Textoennegrita">
    <w:name w:val="Strong"/>
    <w:basedOn w:val="Fuentedeprrafopredeter"/>
    <w:uiPriority w:val="22"/>
    <w:qFormat/>
    <w:rsid w:val="008652EA"/>
    <w:rPr>
      <w:b/>
      <w:bCs/>
    </w:rPr>
  </w:style>
  <w:style w:type="table" w:styleId="Tabladelista4-nfasis5">
    <w:name w:val="List Table 4 Accent 5"/>
    <w:basedOn w:val="Tablanormal"/>
    <w:uiPriority w:val="49"/>
    <w:rsid w:val="0031783B"/>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3-nfasis5">
    <w:name w:val="Grid Table 3 Accent 5"/>
    <w:basedOn w:val="Tablanormal"/>
    <w:uiPriority w:val="48"/>
    <w:rsid w:val="002C44B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adelista2-nfasis5">
    <w:name w:val="List Table 2 Accent 5"/>
    <w:basedOn w:val="Tablanormal"/>
    <w:uiPriority w:val="47"/>
    <w:rsid w:val="002C44BC"/>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lista1clara-nfasis5">
    <w:name w:val="List Table 1 Light Accent 5"/>
    <w:basedOn w:val="Tablanormal"/>
    <w:uiPriority w:val="46"/>
    <w:rsid w:val="00CB5600"/>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concuadrcula1clara-nfasis1">
    <w:name w:val="Grid Table 1 Light Accent 1"/>
    <w:basedOn w:val="Tablanormal"/>
    <w:uiPriority w:val="46"/>
    <w:rsid w:val="003649E4"/>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3649E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4-nfasis1">
    <w:name w:val="List Table 4 Accent 1"/>
    <w:basedOn w:val="Tablanormal"/>
    <w:uiPriority w:val="49"/>
    <w:rsid w:val="001A72B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lista6concolores-nfasis1">
    <w:name w:val="List Table 6 Colorful Accent 1"/>
    <w:basedOn w:val="Tablanormal"/>
    <w:uiPriority w:val="51"/>
    <w:rsid w:val="00FF1312"/>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5oscura-nfasis1">
    <w:name w:val="Grid Table 5 Dark Accent 1"/>
    <w:basedOn w:val="Tablanormal"/>
    <w:uiPriority w:val="50"/>
    <w:rsid w:val="004C6BC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CM196">
    <w:name w:val="CM196"/>
    <w:basedOn w:val="Default"/>
    <w:next w:val="Default"/>
    <w:uiPriority w:val="99"/>
    <w:rsid w:val="00BA5A93"/>
    <w:rPr>
      <w:color w:val="auto"/>
    </w:rPr>
  </w:style>
  <w:style w:type="table" w:styleId="Tablanormal2">
    <w:name w:val="Plain Table 2"/>
    <w:basedOn w:val="Tablanormal"/>
    <w:uiPriority w:val="42"/>
    <w:rsid w:val="00C17BB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CM22">
    <w:name w:val="CM22"/>
    <w:basedOn w:val="Default"/>
    <w:next w:val="Default"/>
    <w:uiPriority w:val="99"/>
    <w:rsid w:val="00312149"/>
    <w:rPr>
      <w:color w:val="auto"/>
    </w:rPr>
  </w:style>
  <w:style w:type="table" w:styleId="Tablanormal5">
    <w:name w:val="Plain Table 5"/>
    <w:basedOn w:val="Tablanormal"/>
    <w:uiPriority w:val="45"/>
    <w:rsid w:val="00B1256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4-nfasis1">
    <w:name w:val="Grid Table 4 Accent 1"/>
    <w:basedOn w:val="Tablanormal"/>
    <w:uiPriority w:val="49"/>
    <w:rsid w:val="007C426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osinformato">
    <w:name w:val="Plain Text"/>
    <w:basedOn w:val="Normal"/>
    <w:link w:val="TextosinformatoCar"/>
    <w:uiPriority w:val="99"/>
    <w:semiHidden/>
    <w:unhideWhenUsed/>
    <w:rsid w:val="00386099"/>
    <w:rPr>
      <w:rFonts w:ascii="Calibri" w:eastAsiaTheme="minorHAnsi" w:hAnsi="Calibri" w:cstheme="minorBidi"/>
      <w:sz w:val="22"/>
      <w:szCs w:val="21"/>
      <w:lang w:val="en-US" w:eastAsia="en-US"/>
    </w:rPr>
  </w:style>
  <w:style w:type="character" w:customStyle="1" w:styleId="TextosinformatoCar">
    <w:name w:val="Texto sin formato Car"/>
    <w:basedOn w:val="Fuentedeprrafopredeter"/>
    <w:link w:val="Textosinformato"/>
    <w:uiPriority w:val="99"/>
    <w:semiHidden/>
    <w:rsid w:val="00386099"/>
    <w:rPr>
      <w:rFonts w:ascii="Calibri" w:hAnsi="Calibri"/>
      <w:szCs w:val="21"/>
      <w:lang w:val="en-US"/>
    </w:rPr>
  </w:style>
  <w:style w:type="paragraph" w:customStyle="1" w:styleId="xmsonormal">
    <w:name w:val="x_msonormal"/>
    <w:basedOn w:val="Normal"/>
    <w:rsid w:val="00DE0D58"/>
    <w:pPr>
      <w:spacing w:before="100" w:beforeAutospacing="1" w:after="100" w:afterAutospacing="1"/>
    </w:pPr>
  </w:style>
  <w:style w:type="character" w:customStyle="1" w:styleId="Ttulo2Car">
    <w:name w:val="Título 2 Car"/>
    <w:basedOn w:val="Fuentedeprrafopredeter"/>
    <w:link w:val="Ttulo2"/>
    <w:uiPriority w:val="9"/>
    <w:rsid w:val="00B14DAA"/>
    <w:rPr>
      <w:rFonts w:asciiTheme="majorHAnsi" w:eastAsiaTheme="majorEastAsia" w:hAnsiTheme="majorHAnsi" w:cstheme="majorBidi"/>
      <w:color w:val="365F91" w:themeColor="accent1" w:themeShade="BF"/>
      <w:sz w:val="26"/>
      <w:szCs w:val="26"/>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1722">
      <w:bodyDiv w:val="1"/>
      <w:marLeft w:val="0"/>
      <w:marRight w:val="0"/>
      <w:marTop w:val="0"/>
      <w:marBottom w:val="0"/>
      <w:divBdr>
        <w:top w:val="none" w:sz="0" w:space="0" w:color="auto"/>
        <w:left w:val="none" w:sz="0" w:space="0" w:color="auto"/>
        <w:bottom w:val="none" w:sz="0" w:space="0" w:color="auto"/>
        <w:right w:val="none" w:sz="0" w:space="0" w:color="auto"/>
      </w:divBdr>
    </w:div>
    <w:div w:id="6443023">
      <w:bodyDiv w:val="1"/>
      <w:marLeft w:val="0"/>
      <w:marRight w:val="0"/>
      <w:marTop w:val="0"/>
      <w:marBottom w:val="0"/>
      <w:divBdr>
        <w:top w:val="none" w:sz="0" w:space="0" w:color="auto"/>
        <w:left w:val="none" w:sz="0" w:space="0" w:color="auto"/>
        <w:bottom w:val="none" w:sz="0" w:space="0" w:color="auto"/>
        <w:right w:val="none" w:sz="0" w:space="0" w:color="auto"/>
      </w:divBdr>
    </w:div>
    <w:div w:id="15542630">
      <w:bodyDiv w:val="1"/>
      <w:marLeft w:val="0"/>
      <w:marRight w:val="0"/>
      <w:marTop w:val="0"/>
      <w:marBottom w:val="0"/>
      <w:divBdr>
        <w:top w:val="none" w:sz="0" w:space="0" w:color="auto"/>
        <w:left w:val="none" w:sz="0" w:space="0" w:color="auto"/>
        <w:bottom w:val="none" w:sz="0" w:space="0" w:color="auto"/>
        <w:right w:val="none" w:sz="0" w:space="0" w:color="auto"/>
      </w:divBdr>
    </w:div>
    <w:div w:id="20208488">
      <w:bodyDiv w:val="1"/>
      <w:marLeft w:val="0"/>
      <w:marRight w:val="0"/>
      <w:marTop w:val="0"/>
      <w:marBottom w:val="0"/>
      <w:divBdr>
        <w:top w:val="none" w:sz="0" w:space="0" w:color="auto"/>
        <w:left w:val="none" w:sz="0" w:space="0" w:color="auto"/>
        <w:bottom w:val="none" w:sz="0" w:space="0" w:color="auto"/>
        <w:right w:val="none" w:sz="0" w:space="0" w:color="auto"/>
      </w:divBdr>
    </w:div>
    <w:div w:id="20474012">
      <w:bodyDiv w:val="1"/>
      <w:marLeft w:val="0"/>
      <w:marRight w:val="0"/>
      <w:marTop w:val="0"/>
      <w:marBottom w:val="0"/>
      <w:divBdr>
        <w:top w:val="none" w:sz="0" w:space="0" w:color="auto"/>
        <w:left w:val="none" w:sz="0" w:space="0" w:color="auto"/>
        <w:bottom w:val="none" w:sz="0" w:space="0" w:color="auto"/>
        <w:right w:val="none" w:sz="0" w:space="0" w:color="auto"/>
      </w:divBdr>
    </w:div>
    <w:div w:id="23219767">
      <w:bodyDiv w:val="1"/>
      <w:marLeft w:val="0"/>
      <w:marRight w:val="0"/>
      <w:marTop w:val="0"/>
      <w:marBottom w:val="0"/>
      <w:divBdr>
        <w:top w:val="none" w:sz="0" w:space="0" w:color="auto"/>
        <w:left w:val="none" w:sz="0" w:space="0" w:color="auto"/>
        <w:bottom w:val="none" w:sz="0" w:space="0" w:color="auto"/>
        <w:right w:val="none" w:sz="0" w:space="0" w:color="auto"/>
      </w:divBdr>
    </w:div>
    <w:div w:id="29376799">
      <w:bodyDiv w:val="1"/>
      <w:marLeft w:val="0"/>
      <w:marRight w:val="0"/>
      <w:marTop w:val="0"/>
      <w:marBottom w:val="0"/>
      <w:divBdr>
        <w:top w:val="none" w:sz="0" w:space="0" w:color="auto"/>
        <w:left w:val="none" w:sz="0" w:space="0" w:color="auto"/>
        <w:bottom w:val="none" w:sz="0" w:space="0" w:color="auto"/>
        <w:right w:val="none" w:sz="0" w:space="0" w:color="auto"/>
      </w:divBdr>
    </w:div>
    <w:div w:id="32968561">
      <w:bodyDiv w:val="1"/>
      <w:marLeft w:val="0"/>
      <w:marRight w:val="0"/>
      <w:marTop w:val="0"/>
      <w:marBottom w:val="0"/>
      <w:divBdr>
        <w:top w:val="none" w:sz="0" w:space="0" w:color="auto"/>
        <w:left w:val="none" w:sz="0" w:space="0" w:color="auto"/>
        <w:bottom w:val="none" w:sz="0" w:space="0" w:color="auto"/>
        <w:right w:val="none" w:sz="0" w:space="0" w:color="auto"/>
      </w:divBdr>
    </w:div>
    <w:div w:id="34887012">
      <w:bodyDiv w:val="1"/>
      <w:marLeft w:val="0"/>
      <w:marRight w:val="0"/>
      <w:marTop w:val="0"/>
      <w:marBottom w:val="0"/>
      <w:divBdr>
        <w:top w:val="none" w:sz="0" w:space="0" w:color="auto"/>
        <w:left w:val="none" w:sz="0" w:space="0" w:color="auto"/>
        <w:bottom w:val="none" w:sz="0" w:space="0" w:color="auto"/>
        <w:right w:val="none" w:sz="0" w:space="0" w:color="auto"/>
      </w:divBdr>
    </w:div>
    <w:div w:id="37243616">
      <w:bodyDiv w:val="1"/>
      <w:marLeft w:val="0"/>
      <w:marRight w:val="0"/>
      <w:marTop w:val="0"/>
      <w:marBottom w:val="0"/>
      <w:divBdr>
        <w:top w:val="none" w:sz="0" w:space="0" w:color="auto"/>
        <w:left w:val="none" w:sz="0" w:space="0" w:color="auto"/>
        <w:bottom w:val="none" w:sz="0" w:space="0" w:color="auto"/>
        <w:right w:val="none" w:sz="0" w:space="0" w:color="auto"/>
      </w:divBdr>
    </w:div>
    <w:div w:id="45377411">
      <w:bodyDiv w:val="1"/>
      <w:marLeft w:val="0"/>
      <w:marRight w:val="0"/>
      <w:marTop w:val="0"/>
      <w:marBottom w:val="0"/>
      <w:divBdr>
        <w:top w:val="none" w:sz="0" w:space="0" w:color="auto"/>
        <w:left w:val="none" w:sz="0" w:space="0" w:color="auto"/>
        <w:bottom w:val="none" w:sz="0" w:space="0" w:color="auto"/>
        <w:right w:val="none" w:sz="0" w:space="0" w:color="auto"/>
      </w:divBdr>
    </w:div>
    <w:div w:id="46028625">
      <w:bodyDiv w:val="1"/>
      <w:marLeft w:val="0"/>
      <w:marRight w:val="0"/>
      <w:marTop w:val="0"/>
      <w:marBottom w:val="0"/>
      <w:divBdr>
        <w:top w:val="none" w:sz="0" w:space="0" w:color="auto"/>
        <w:left w:val="none" w:sz="0" w:space="0" w:color="auto"/>
        <w:bottom w:val="none" w:sz="0" w:space="0" w:color="auto"/>
        <w:right w:val="none" w:sz="0" w:space="0" w:color="auto"/>
      </w:divBdr>
    </w:div>
    <w:div w:id="50931111">
      <w:bodyDiv w:val="1"/>
      <w:marLeft w:val="0"/>
      <w:marRight w:val="0"/>
      <w:marTop w:val="0"/>
      <w:marBottom w:val="0"/>
      <w:divBdr>
        <w:top w:val="none" w:sz="0" w:space="0" w:color="auto"/>
        <w:left w:val="none" w:sz="0" w:space="0" w:color="auto"/>
        <w:bottom w:val="none" w:sz="0" w:space="0" w:color="auto"/>
        <w:right w:val="none" w:sz="0" w:space="0" w:color="auto"/>
      </w:divBdr>
    </w:div>
    <w:div w:id="51125907">
      <w:bodyDiv w:val="1"/>
      <w:marLeft w:val="0"/>
      <w:marRight w:val="0"/>
      <w:marTop w:val="0"/>
      <w:marBottom w:val="0"/>
      <w:divBdr>
        <w:top w:val="none" w:sz="0" w:space="0" w:color="auto"/>
        <w:left w:val="none" w:sz="0" w:space="0" w:color="auto"/>
        <w:bottom w:val="none" w:sz="0" w:space="0" w:color="auto"/>
        <w:right w:val="none" w:sz="0" w:space="0" w:color="auto"/>
      </w:divBdr>
    </w:div>
    <w:div w:id="52196362">
      <w:bodyDiv w:val="1"/>
      <w:marLeft w:val="0"/>
      <w:marRight w:val="0"/>
      <w:marTop w:val="0"/>
      <w:marBottom w:val="0"/>
      <w:divBdr>
        <w:top w:val="none" w:sz="0" w:space="0" w:color="auto"/>
        <w:left w:val="none" w:sz="0" w:space="0" w:color="auto"/>
        <w:bottom w:val="none" w:sz="0" w:space="0" w:color="auto"/>
        <w:right w:val="none" w:sz="0" w:space="0" w:color="auto"/>
      </w:divBdr>
    </w:div>
    <w:div w:id="52437088">
      <w:bodyDiv w:val="1"/>
      <w:marLeft w:val="0"/>
      <w:marRight w:val="0"/>
      <w:marTop w:val="0"/>
      <w:marBottom w:val="0"/>
      <w:divBdr>
        <w:top w:val="none" w:sz="0" w:space="0" w:color="auto"/>
        <w:left w:val="none" w:sz="0" w:space="0" w:color="auto"/>
        <w:bottom w:val="none" w:sz="0" w:space="0" w:color="auto"/>
        <w:right w:val="none" w:sz="0" w:space="0" w:color="auto"/>
      </w:divBdr>
    </w:div>
    <w:div w:id="55402318">
      <w:bodyDiv w:val="1"/>
      <w:marLeft w:val="0"/>
      <w:marRight w:val="0"/>
      <w:marTop w:val="0"/>
      <w:marBottom w:val="0"/>
      <w:divBdr>
        <w:top w:val="none" w:sz="0" w:space="0" w:color="auto"/>
        <w:left w:val="none" w:sz="0" w:space="0" w:color="auto"/>
        <w:bottom w:val="none" w:sz="0" w:space="0" w:color="auto"/>
        <w:right w:val="none" w:sz="0" w:space="0" w:color="auto"/>
      </w:divBdr>
    </w:div>
    <w:div w:id="58598589">
      <w:bodyDiv w:val="1"/>
      <w:marLeft w:val="0"/>
      <w:marRight w:val="0"/>
      <w:marTop w:val="0"/>
      <w:marBottom w:val="0"/>
      <w:divBdr>
        <w:top w:val="none" w:sz="0" w:space="0" w:color="auto"/>
        <w:left w:val="none" w:sz="0" w:space="0" w:color="auto"/>
        <w:bottom w:val="none" w:sz="0" w:space="0" w:color="auto"/>
        <w:right w:val="none" w:sz="0" w:space="0" w:color="auto"/>
      </w:divBdr>
    </w:div>
    <w:div w:id="68770407">
      <w:bodyDiv w:val="1"/>
      <w:marLeft w:val="0"/>
      <w:marRight w:val="0"/>
      <w:marTop w:val="0"/>
      <w:marBottom w:val="0"/>
      <w:divBdr>
        <w:top w:val="none" w:sz="0" w:space="0" w:color="auto"/>
        <w:left w:val="none" w:sz="0" w:space="0" w:color="auto"/>
        <w:bottom w:val="none" w:sz="0" w:space="0" w:color="auto"/>
        <w:right w:val="none" w:sz="0" w:space="0" w:color="auto"/>
      </w:divBdr>
    </w:div>
    <w:div w:id="70859698">
      <w:bodyDiv w:val="1"/>
      <w:marLeft w:val="0"/>
      <w:marRight w:val="0"/>
      <w:marTop w:val="0"/>
      <w:marBottom w:val="0"/>
      <w:divBdr>
        <w:top w:val="none" w:sz="0" w:space="0" w:color="auto"/>
        <w:left w:val="none" w:sz="0" w:space="0" w:color="auto"/>
        <w:bottom w:val="none" w:sz="0" w:space="0" w:color="auto"/>
        <w:right w:val="none" w:sz="0" w:space="0" w:color="auto"/>
      </w:divBdr>
    </w:div>
    <w:div w:id="74597624">
      <w:bodyDiv w:val="1"/>
      <w:marLeft w:val="0"/>
      <w:marRight w:val="0"/>
      <w:marTop w:val="0"/>
      <w:marBottom w:val="0"/>
      <w:divBdr>
        <w:top w:val="none" w:sz="0" w:space="0" w:color="auto"/>
        <w:left w:val="none" w:sz="0" w:space="0" w:color="auto"/>
        <w:bottom w:val="none" w:sz="0" w:space="0" w:color="auto"/>
        <w:right w:val="none" w:sz="0" w:space="0" w:color="auto"/>
      </w:divBdr>
    </w:div>
    <w:div w:id="83500790">
      <w:bodyDiv w:val="1"/>
      <w:marLeft w:val="0"/>
      <w:marRight w:val="0"/>
      <w:marTop w:val="0"/>
      <w:marBottom w:val="0"/>
      <w:divBdr>
        <w:top w:val="none" w:sz="0" w:space="0" w:color="auto"/>
        <w:left w:val="none" w:sz="0" w:space="0" w:color="auto"/>
        <w:bottom w:val="none" w:sz="0" w:space="0" w:color="auto"/>
        <w:right w:val="none" w:sz="0" w:space="0" w:color="auto"/>
      </w:divBdr>
    </w:div>
    <w:div w:id="85735997">
      <w:bodyDiv w:val="1"/>
      <w:marLeft w:val="0"/>
      <w:marRight w:val="0"/>
      <w:marTop w:val="0"/>
      <w:marBottom w:val="0"/>
      <w:divBdr>
        <w:top w:val="none" w:sz="0" w:space="0" w:color="auto"/>
        <w:left w:val="none" w:sz="0" w:space="0" w:color="auto"/>
        <w:bottom w:val="none" w:sz="0" w:space="0" w:color="auto"/>
        <w:right w:val="none" w:sz="0" w:space="0" w:color="auto"/>
      </w:divBdr>
    </w:div>
    <w:div w:id="85927335">
      <w:bodyDiv w:val="1"/>
      <w:marLeft w:val="0"/>
      <w:marRight w:val="0"/>
      <w:marTop w:val="0"/>
      <w:marBottom w:val="0"/>
      <w:divBdr>
        <w:top w:val="none" w:sz="0" w:space="0" w:color="auto"/>
        <w:left w:val="none" w:sz="0" w:space="0" w:color="auto"/>
        <w:bottom w:val="none" w:sz="0" w:space="0" w:color="auto"/>
        <w:right w:val="none" w:sz="0" w:space="0" w:color="auto"/>
      </w:divBdr>
    </w:div>
    <w:div w:id="93786404">
      <w:bodyDiv w:val="1"/>
      <w:marLeft w:val="0"/>
      <w:marRight w:val="0"/>
      <w:marTop w:val="0"/>
      <w:marBottom w:val="0"/>
      <w:divBdr>
        <w:top w:val="none" w:sz="0" w:space="0" w:color="auto"/>
        <w:left w:val="none" w:sz="0" w:space="0" w:color="auto"/>
        <w:bottom w:val="none" w:sz="0" w:space="0" w:color="auto"/>
        <w:right w:val="none" w:sz="0" w:space="0" w:color="auto"/>
      </w:divBdr>
    </w:div>
    <w:div w:id="98449593">
      <w:bodyDiv w:val="1"/>
      <w:marLeft w:val="0"/>
      <w:marRight w:val="0"/>
      <w:marTop w:val="0"/>
      <w:marBottom w:val="0"/>
      <w:divBdr>
        <w:top w:val="none" w:sz="0" w:space="0" w:color="auto"/>
        <w:left w:val="none" w:sz="0" w:space="0" w:color="auto"/>
        <w:bottom w:val="none" w:sz="0" w:space="0" w:color="auto"/>
        <w:right w:val="none" w:sz="0" w:space="0" w:color="auto"/>
      </w:divBdr>
    </w:div>
    <w:div w:id="108470654">
      <w:bodyDiv w:val="1"/>
      <w:marLeft w:val="0"/>
      <w:marRight w:val="0"/>
      <w:marTop w:val="0"/>
      <w:marBottom w:val="0"/>
      <w:divBdr>
        <w:top w:val="none" w:sz="0" w:space="0" w:color="auto"/>
        <w:left w:val="none" w:sz="0" w:space="0" w:color="auto"/>
        <w:bottom w:val="none" w:sz="0" w:space="0" w:color="auto"/>
        <w:right w:val="none" w:sz="0" w:space="0" w:color="auto"/>
      </w:divBdr>
    </w:div>
    <w:div w:id="108866241">
      <w:bodyDiv w:val="1"/>
      <w:marLeft w:val="0"/>
      <w:marRight w:val="0"/>
      <w:marTop w:val="0"/>
      <w:marBottom w:val="0"/>
      <w:divBdr>
        <w:top w:val="none" w:sz="0" w:space="0" w:color="auto"/>
        <w:left w:val="none" w:sz="0" w:space="0" w:color="auto"/>
        <w:bottom w:val="none" w:sz="0" w:space="0" w:color="auto"/>
        <w:right w:val="none" w:sz="0" w:space="0" w:color="auto"/>
      </w:divBdr>
    </w:div>
    <w:div w:id="111217181">
      <w:bodyDiv w:val="1"/>
      <w:marLeft w:val="0"/>
      <w:marRight w:val="0"/>
      <w:marTop w:val="0"/>
      <w:marBottom w:val="0"/>
      <w:divBdr>
        <w:top w:val="none" w:sz="0" w:space="0" w:color="auto"/>
        <w:left w:val="none" w:sz="0" w:space="0" w:color="auto"/>
        <w:bottom w:val="none" w:sz="0" w:space="0" w:color="auto"/>
        <w:right w:val="none" w:sz="0" w:space="0" w:color="auto"/>
      </w:divBdr>
    </w:div>
    <w:div w:id="113721502">
      <w:bodyDiv w:val="1"/>
      <w:marLeft w:val="0"/>
      <w:marRight w:val="0"/>
      <w:marTop w:val="0"/>
      <w:marBottom w:val="0"/>
      <w:divBdr>
        <w:top w:val="none" w:sz="0" w:space="0" w:color="auto"/>
        <w:left w:val="none" w:sz="0" w:space="0" w:color="auto"/>
        <w:bottom w:val="none" w:sz="0" w:space="0" w:color="auto"/>
        <w:right w:val="none" w:sz="0" w:space="0" w:color="auto"/>
      </w:divBdr>
    </w:div>
    <w:div w:id="118230365">
      <w:bodyDiv w:val="1"/>
      <w:marLeft w:val="0"/>
      <w:marRight w:val="0"/>
      <w:marTop w:val="0"/>
      <w:marBottom w:val="0"/>
      <w:divBdr>
        <w:top w:val="none" w:sz="0" w:space="0" w:color="auto"/>
        <w:left w:val="none" w:sz="0" w:space="0" w:color="auto"/>
        <w:bottom w:val="none" w:sz="0" w:space="0" w:color="auto"/>
        <w:right w:val="none" w:sz="0" w:space="0" w:color="auto"/>
      </w:divBdr>
    </w:div>
    <w:div w:id="121045232">
      <w:bodyDiv w:val="1"/>
      <w:marLeft w:val="0"/>
      <w:marRight w:val="0"/>
      <w:marTop w:val="0"/>
      <w:marBottom w:val="0"/>
      <w:divBdr>
        <w:top w:val="none" w:sz="0" w:space="0" w:color="auto"/>
        <w:left w:val="none" w:sz="0" w:space="0" w:color="auto"/>
        <w:bottom w:val="none" w:sz="0" w:space="0" w:color="auto"/>
        <w:right w:val="none" w:sz="0" w:space="0" w:color="auto"/>
      </w:divBdr>
    </w:div>
    <w:div w:id="124932047">
      <w:bodyDiv w:val="1"/>
      <w:marLeft w:val="0"/>
      <w:marRight w:val="0"/>
      <w:marTop w:val="0"/>
      <w:marBottom w:val="0"/>
      <w:divBdr>
        <w:top w:val="none" w:sz="0" w:space="0" w:color="auto"/>
        <w:left w:val="none" w:sz="0" w:space="0" w:color="auto"/>
        <w:bottom w:val="none" w:sz="0" w:space="0" w:color="auto"/>
        <w:right w:val="none" w:sz="0" w:space="0" w:color="auto"/>
      </w:divBdr>
    </w:div>
    <w:div w:id="129784377">
      <w:bodyDiv w:val="1"/>
      <w:marLeft w:val="0"/>
      <w:marRight w:val="0"/>
      <w:marTop w:val="0"/>
      <w:marBottom w:val="0"/>
      <w:divBdr>
        <w:top w:val="none" w:sz="0" w:space="0" w:color="auto"/>
        <w:left w:val="none" w:sz="0" w:space="0" w:color="auto"/>
        <w:bottom w:val="none" w:sz="0" w:space="0" w:color="auto"/>
        <w:right w:val="none" w:sz="0" w:space="0" w:color="auto"/>
      </w:divBdr>
    </w:div>
    <w:div w:id="130366434">
      <w:bodyDiv w:val="1"/>
      <w:marLeft w:val="0"/>
      <w:marRight w:val="0"/>
      <w:marTop w:val="0"/>
      <w:marBottom w:val="0"/>
      <w:divBdr>
        <w:top w:val="none" w:sz="0" w:space="0" w:color="auto"/>
        <w:left w:val="none" w:sz="0" w:space="0" w:color="auto"/>
        <w:bottom w:val="none" w:sz="0" w:space="0" w:color="auto"/>
        <w:right w:val="none" w:sz="0" w:space="0" w:color="auto"/>
      </w:divBdr>
    </w:div>
    <w:div w:id="134688973">
      <w:bodyDiv w:val="1"/>
      <w:marLeft w:val="0"/>
      <w:marRight w:val="0"/>
      <w:marTop w:val="0"/>
      <w:marBottom w:val="0"/>
      <w:divBdr>
        <w:top w:val="none" w:sz="0" w:space="0" w:color="auto"/>
        <w:left w:val="none" w:sz="0" w:space="0" w:color="auto"/>
        <w:bottom w:val="none" w:sz="0" w:space="0" w:color="auto"/>
        <w:right w:val="none" w:sz="0" w:space="0" w:color="auto"/>
      </w:divBdr>
    </w:div>
    <w:div w:id="135225110">
      <w:bodyDiv w:val="1"/>
      <w:marLeft w:val="0"/>
      <w:marRight w:val="0"/>
      <w:marTop w:val="0"/>
      <w:marBottom w:val="0"/>
      <w:divBdr>
        <w:top w:val="none" w:sz="0" w:space="0" w:color="auto"/>
        <w:left w:val="none" w:sz="0" w:space="0" w:color="auto"/>
        <w:bottom w:val="none" w:sz="0" w:space="0" w:color="auto"/>
        <w:right w:val="none" w:sz="0" w:space="0" w:color="auto"/>
      </w:divBdr>
    </w:div>
    <w:div w:id="136999538">
      <w:bodyDiv w:val="1"/>
      <w:marLeft w:val="0"/>
      <w:marRight w:val="0"/>
      <w:marTop w:val="0"/>
      <w:marBottom w:val="0"/>
      <w:divBdr>
        <w:top w:val="none" w:sz="0" w:space="0" w:color="auto"/>
        <w:left w:val="none" w:sz="0" w:space="0" w:color="auto"/>
        <w:bottom w:val="none" w:sz="0" w:space="0" w:color="auto"/>
        <w:right w:val="none" w:sz="0" w:space="0" w:color="auto"/>
      </w:divBdr>
    </w:div>
    <w:div w:id="141235017">
      <w:bodyDiv w:val="1"/>
      <w:marLeft w:val="0"/>
      <w:marRight w:val="0"/>
      <w:marTop w:val="0"/>
      <w:marBottom w:val="0"/>
      <w:divBdr>
        <w:top w:val="none" w:sz="0" w:space="0" w:color="auto"/>
        <w:left w:val="none" w:sz="0" w:space="0" w:color="auto"/>
        <w:bottom w:val="none" w:sz="0" w:space="0" w:color="auto"/>
        <w:right w:val="none" w:sz="0" w:space="0" w:color="auto"/>
      </w:divBdr>
    </w:div>
    <w:div w:id="142552218">
      <w:bodyDiv w:val="1"/>
      <w:marLeft w:val="0"/>
      <w:marRight w:val="0"/>
      <w:marTop w:val="0"/>
      <w:marBottom w:val="0"/>
      <w:divBdr>
        <w:top w:val="none" w:sz="0" w:space="0" w:color="auto"/>
        <w:left w:val="none" w:sz="0" w:space="0" w:color="auto"/>
        <w:bottom w:val="none" w:sz="0" w:space="0" w:color="auto"/>
        <w:right w:val="none" w:sz="0" w:space="0" w:color="auto"/>
      </w:divBdr>
      <w:divsChild>
        <w:div w:id="1237125951">
          <w:marLeft w:val="547"/>
          <w:marRight w:val="0"/>
          <w:marTop w:val="0"/>
          <w:marBottom w:val="0"/>
          <w:divBdr>
            <w:top w:val="none" w:sz="0" w:space="0" w:color="auto"/>
            <w:left w:val="none" w:sz="0" w:space="0" w:color="auto"/>
            <w:bottom w:val="none" w:sz="0" w:space="0" w:color="auto"/>
            <w:right w:val="none" w:sz="0" w:space="0" w:color="auto"/>
          </w:divBdr>
        </w:div>
      </w:divsChild>
    </w:div>
    <w:div w:id="149904456">
      <w:bodyDiv w:val="1"/>
      <w:marLeft w:val="0"/>
      <w:marRight w:val="0"/>
      <w:marTop w:val="0"/>
      <w:marBottom w:val="0"/>
      <w:divBdr>
        <w:top w:val="none" w:sz="0" w:space="0" w:color="auto"/>
        <w:left w:val="none" w:sz="0" w:space="0" w:color="auto"/>
        <w:bottom w:val="none" w:sz="0" w:space="0" w:color="auto"/>
        <w:right w:val="none" w:sz="0" w:space="0" w:color="auto"/>
      </w:divBdr>
    </w:div>
    <w:div w:id="154343350">
      <w:bodyDiv w:val="1"/>
      <w:marLeft w:val="0"/>
      <w:marRight w:val="0"/>
      <w:marTop w:val="0"/>
      <w:marBottom w:val="0"/>
      <w:divBdr>
        <w:top w:val="none" w:sz="0" w:space="0" w:color="auto"/>
        <w:left w:val="none" w:sz="0" w:space="0" w:color="auto"/>
        <w:bottom w:val="none" w:sz="0" w:space="0" w:color="auto"/>
        <w:right w:val="none" w:sz="0" w:space="0" w:color="auto"/>
      </w:divBdr>
    </w:div>
    <w:div w:id="154928236">
      <w:bodyDiv w:val="1"/>
      <w:marLeft w:val="0"/>
      <w:marRight w:val="0"/>
      <w:marTop w:val="0"/>
      <w:marBottom w:val="0"/>
      <w:divBdr>
        <w:top w:val="none" w:sz="0" w:space="0" w:color="auto"/>
        <w:left w:val="none" w:sz="0" w:space="0" w:color="auto"/>
        <w:bottom w:val="none" w:sz="0" w:space="0" w:color="auto"/>
        <w:right w:val="none" w:sz="0" w:space="0" w:color="auto"/>
      </w:divBdr>
    </w:div>
    <w:div w:id="155270429">
      <w:bodyDiv w:val="1"/>
      <w:marLeft w:val="0"/>
      <w:marRight w:val="0"/>
      <w:marTop w:val="0"/>
      <w:marBottom w:val="0"/>
      <w:divBdr>
        <w:top w:val="none" w:sz="0" w:space="0" w:color="auto"/>
        <w:left w:val="none" w:sz="0" w:space="0" w:color="auto"/>
        <w:bottom w:val="none" w:sz="0" w:space="0" w:color="auto"/>
        <w:right w:val="none" w:sz="0" w:space="0" w:color="auto"/>
      </w:divBdr>
    </w:div>
    <w:div w:id="159736369">
      <w:bodyDiv w:val="1"/>
      <w:marLeft w:val="0"/>
      <w:marRight w:val="0"/>
      <w:marTop w:val="0"/>
      <w:marBottom w:val="0"/>
      <w:divBdr>
        <w:top w:val="none" w:sz="0" w:space="0" w:color="auto"/>
        <w:left w:val="none" w:sz="0" w:space="0" w:color="auto"/>
        <w:bottom w:val="none" w:sz="0" w:space="0" w:color="auto"/>
        <w:right w:val="none" w:sz="0" w:space="0" w:color="auto"/>
      </w:divBdr>
    </w:div>
    <w:div w:id="162791953">
      <w:bodyDiv w:val="1"/>
      <w:marLeft w:val="0"/>
      <w:marRight w:val="0"/>
      <w:marTop w:val="0"/>
      <w:marBottom w:val="0"/>
      <w:divBdr>
        <w:top w:val="none" w:sz="0" w:space="0" w:color="auto"/>
        <w:left w:val="none" w:sz="0" w:space="0" w:color="auto"/>
        <w:bottom w:val="none" w:sz="0" w:space="0" w:color="auto"/>
        <w:right w:val="none" w:sz="0" w:space="0" w:color="auto"/>
      </w:divBdr>
    </w:div>
    <w:div w:id="163591555">
      <w:bodyDiv w:val="1"/>
      <w:marLeft w:val="0"/>
      <w:marRight w:val="0"/>
      <w:marTop w:val="0"/>
      <w:marBottom w:val="0"/>
      <w:divBdr>
        <w:top w:val="none" w:sz="0" w:space="0" w:color="auto"/>
        <w:left w:val="none" w:sz="0" w:space="0" w:color="auto"/>
        <w:bottom w:val="none" w:sz="0" w:space="0" w:color="auto"/>
        <w:right w:val="none" w:sz="0" w:space="0" w:color="auto"/>
      </w:divBdr>
    </w:div>
    <w:div w:id="169684900">
      <w:bodyDiv w:val="1"/>
      <w:marLeft w:val="0"/>
      <w:marRight w:val="0"/>
      <w:marTop w:val="0"/>
      <w:marBottom w:val="0"/>
      <w:divBdr>
        <w:top w:val="none" w:sz="0" w:space="0" w:color="auto"/>
        <w:left w:val="none" w:sz="0" w:space="0" w:color="auto"/>
        <w:bottom w:val="none" w:sz="0" w:space="0" w:color="auto"/>
        <w:right w:val="none" w:sz="0" w:space="0" w:color="auto"/>
      </w:divBdr>
    </w:div>
    <w:div w:id="169954455">
      <w:bodyDiv w:val="1"/>
      <w:marLeft w:val="0"/>
      <w:marRight w:val="0"/>
      <w:marTop w:val="0"/>
      <w:marBottom w:val="0"/>
      <w:divBdr>
        <w:top w:val="none" w:sz="0" w:space="0" w:color="auto"/>
        <w:left w:val="none" w:sz="0" w:space="0" w:color="auto"/>
        <w:bottom w:val="none" w:sz="0" w:space="0" w:color="auto"/>
        <w:right w:val="none" w:sz="0" w:space="0" w:color="auto"/>
      </w:divBdr>
    </w:div>
    <w:div w:id="171262611">
      <w:bodyDiv w:val="1"/>
      <w:marLeft w:val="0"/>
      <w:marRight w:val="0"/>
      <w:marTop w:val="0"/>
      <w:marBottom w:val="0"/>
      <w:divBdr>
        <w:top w:val="none" w:sz="0" w:space="0" w:color="auto"/>
        <w:left w:val="none" w:sz="0" w:space="0" w:color="auto"/>
        <w:bottom w:val="none" w:sz="0" w:space="0" w:color="auto"/>
        <w:right w:val="none" w:sz="0" w:space="0" w:color="auto"/>
      </w:divBdr>
    </w:div>
    <w:div w:id="176508862">
      <w:bodyDiv w:val="1"/>
      <w:marLeft w:val="0"/>
      <w:marRight w:val="0"/>
      <w:marTop w:val="0"/>
      <w:marBottom w:val="0"/>
      <w:divBdr>
        <w:top w:val="none" w:sz="0" w:space="0" w:color="auto"/>
        <w:left w:val="none" w:sz="0" w:space="0" w:color="auto"/>
        <w:bottom w:val="none" w:sz="0" w:space="0" w:color="auto"/>
        <w:right w:val="none" w:sz="0" w:space="0" w:color="auto"/>
      </w:divBdr>
    </w:div>
    <w:div w:id="198247455">
      <w:bodyDiv w:val="1"/>
      <w:marLeft w:val="0"/>
      <w:marRight w:val="0"/>
      <w:marTop w:val="0"/>
      <w:marBottom w:val="0"/>
      <w:divBdr>
        <w:top w:val="none" w:sz="0" w:space="0" w:color="auto"/>
        <w:left w:val="none" w:sz="0" w:space="0" w:color="auto"/>
        <w:bottom w:val="none" w:sz="0" w:space="0" w:color="auto"/>
        <w:right w:val="none" w:sz="0" w:space="0" w:color="auto"/>
      </w:divBdr>
    </w:div>
    <w:div w:id="198395445">
      <w:bodyDiv w:val="1"/>
      <w:marLeft w:val="0"/>
      <w:marRight w:val="0"/>
      <w:marTop w:val="0"/>
      <w:marBottom w:val="0"/>
      <w:divBdr>
        <w:top w:val="none" w:sz="0" w:space="0" w:color="auto"/>
        <w:left w:val="none" w:sz="0" w:space="0" w:color="auto"/>
        <w:bottom w:val="none" w:sz="0" w:space="0" w:color="auto"/>
        <w:right w:val="none" w:sz="0" w:space="0" w:color="auto"/>
      </w:divBdr>
    </w:div>
    <w:div w:id="199826956">
      <w:bodyDiv w:val="1"/>
      <w:marLeft w:val="0"/>
      <w:marRight w:val="0"/>
      <w:marTop w:val="0"/>
      <w:marBottom w:val="0"/>
      <w:divBdr>
        <w:top w:val="none" w:sz="0" w:space="0" w:color="auto"/>
        <w:left w:val="none" w:sz="0" w:space="0" w:color="auto"/>
        <w:bottom w:val="none" w:sz="0" w:space="0" w:color="auto"/>
        <w:right w:val="none" w:sz="0" w:space="0" w:color="auto"/>
      </w:divBdr>
    </w:div>
    <w:div w:id="201018049">
      <w:bodyDiv w:val="1"/>
      <w:marLeft w:val="0"/>
      <w:marRight w:val="0"/>
      <w:marTop w:val="0"/>
      <w:marBottom w:val="0"/>
      <w:divBdr>
        <w:top w:val="none" w:sz="0" w:space="0" w:color="auto"/>
        <w:left w:val="none" w:sz="0" w:space="0" w:color="auto"/>
        <w:bottom w:val="none" w:sz="0" w:space="0" w:color="auto"/>
        <w:right w:val="none" w:sz="0" w:space="0" w:color="auto"/>
      </w:divBdr>
    </w:div>
    <w:div w:id="216549450">
      <w:bodyDiv w:val="1"/>
      <w:marLeft w:val="0"/>
      <w:marRight w:val="0"/>
      <w:marTop w:val="0"/>
      <w:marBottom w:val="0"/>
      <w:divBdr>
        <w:top w:val="none" w:sz="0" w:space="0" w:color="auto"/>
        <w:left w:val="none" w:sz="0" w:space="0" w:color="auto"/>
        <w:bottom w:val="none" w:sz="0" w:space="0" w:color="auto"/>
        <w:right w:val="none" w:sz="0" w:space="0" w:color="auto"/>
      </w:divBdr>
    </w:div>
    <w:div w:id="217596633">
      <w:bodyDiv w:val="1"/>
      <w:marLeft w:val="0"/>
      <w:marRight w:val="0"/>
      <w:marTop w:val="0"/>
      <w:marBottom w:val="0"/>
      <w:divBdr>
        <w:top w:val="none" w:sz="0" w:space="0" w:color="auto"/>
        <w:left w:val="none" w:sz="0" w:space="0" w:color="auto"/>
        <w:bottom w:val="none" w:sz="0" w:space="0" w:color="auto"/>
        <w:right w:val="none" w:sz="0" w:space="0" w:color="auto"/>
      </w:divBdr>
    </w:div>
    <w:div w:id="223181146">
      <w:bodyDiv w:val="1"/>
      <w:marLeft w:val="0"/>
      <w:marRight w:val="0"/>
      <w:marTop w:val="0"/>
      <w:marBottom w:val="0"/>
      <w:divBdr>
        <w:top w:val="none" w:sz="0" w:space="0" w:color="auto"/>
        <w:left w:val="none" w:sz="0" w:space="0" w:color="auto"/>
        <w:bottom w:val="none" w:sz="0" w:space="0" w:color="auto"/>
        <w:right w:val="none" w:sz="0" w:space="0" w:color="auto"/>
      </w:divBdr>
    </w:div>
    <w:div w:id="225579722">
      <w:bodyDiv w:val="1"/>
      <w:marLeft w:val="0"/>
      <w:marRight w:val="0"/>
      <w:marTop w:val="0"/>
      <w:marBottom w:val="0"/>
      <w:divBdr>
        <w:top w:val="none" w:sz="0" w:space="0" w:color="auto"/>
        <w:left w:val="none" w:sz="0" w:space="0" w:color="auto"/>
        <w:bottom w:val="none" w:sz="0" w:space="0" w:color="auto"/>
        <w:right w:val="none" w:sz="0" w:space="0" w:color="auto"/>
      </w:divBdr>
    </w:div>
    <w:div w:id="225846202">
      <w:bodyDiv w:val="1"/>
      <w:marLeft w:val="0"/>
      <w:marRight w:val="0"/>
      <w:marTop w:val="0"/>
      <w:marBottom w:val="0"/>
      <w:divBdr>
        <w:top w:val="none" w:sz="0" w:space="0" w:color="auto"/>
        <w:left w:val="none" w:sz="0" w:space="0" w:color="auto"/>
        <w:bottom w:val="none" w:sz="0" w:space="0" w:color="auto"/>
        <w:right w:val="none" w:sz="0" w:space="0" w:color="auto"/>
      </w:divBdr>
    </w:div>
    <w:div w:id="232157470">
      <w:bodyDiv w:val="1"/>
      <w:marLeft w:val="0"/>
      <w:marRight w:val="0"/>
      <w:marTop w:val="0"/>
      <w:marBottom w:val="0"/>
      <w:divBdr>
        <w:top w:val="none" w:sz="0" w:space="0" w:color="auto"/>
        <w:left w:val="none" w:sz="0" w:space="0" w:color="auto"/>
        <w:bottom w:val="none" w:sz="0" w:space="0" w:color="auto"/>
        <w:right w:val="none" w:sz="0" w:space="0" w:color="auto"/>
      </w:divBdr>
    </w:div>
    <w:div w:id="232357602">
      <w:bodyDiv w:val="1"/>
      <w:marLeft w:val="0"/>
      <w:marRight w:val="0"/>
      <w:marTop w:val="0"/>
      <w:marBottom w:val="0"/>
      <w:divBdr>
        <w:top w:val="none" w:sz="0" w:space="0" w:color="auto"/>
        <w:left w:val="none" w:sz="0" w:space="0" w:color="auto"/>
        <w:bottom w:val="none" w:sz="0" w:space="0" w:color="auto"/>
        <w:right w:val="none" w:sz="0" w:space="0" w:color="auto"/>
      </w:divBdr>
    </w:div>
    <w:div w:id="234511860">
      <w:bodyDiv w:val="1"/>
      <w:marLeft w:val="0"/>
      <w:marRight w:val="0"/>
      <w:marTop w:val="0"/>
      <w:marBottom w:val="0"/>
      <w:divBdr>
        <w:top w:val="none" w:sz="0" w:space="0" w:color="auto"/>
        <w:left w:val="none" w:sz="0" w:space="0" w:color="auto"/>
        <w:bottom w:val="none" w:sz="0" w:space="0" w:color="auto"/>
        <w:right w:val="none" w:sz="0" w:space="0" w:color="auto"/>
      </w:divBdr>
    </w:div>
    <w:div w:id="236210284">
      <w:bodyDiv w:val="1"/>
      <w:marLeft w:val="0"/>
      <w:marRight w:val="0"/>
      <w:marTop w:val="0"/>
      <w:marBottom w:val="0"/>
      <w:divBdr>
        <w:top w:val="none" w:sz="0" w:space="0" w:color="auto"/>
        <w:left w:val="none" w:sz="0" w:space="0" w:color="auto"/>
        <w:bottom w:val="none" w:sz="0" w:space="0" w:color="auto"/>
        <w:right w:val="none" w:sz="0" w:space="0" w:color="auto"/>
      </w:divBdr>
    </w:div>
    <w:div w:id="237176759">
      <w:bodyDiv w:val="1"/>
      <w:marLeft w:val="0"/>
      <w:marRight w:val="0"/>
      <w:marTop w:val="0"/>
      <w:marBottom w:val="0"/>
      <w:divBdr>
        <w:top w:val="none" w:sz="0" w:space="0" w:color="auto"/>
        <w:left w:val="none" w:sz="0" w:space="0" w:color="auto"/>
        <w:bottom w:val="none" w:sz="0" w:space="0" w:color="auto"/>
        <w:right w:val="none" w:sz="0" w:space="0" w:color="auto"/>
      </w:divBdr>
    </w:div>
    <w:div w:id="241838545">
      <w:bodyDiv w:val="1"/>
      <w:marLeft w:val="0"/>
      <w:marRight w:val="0"/>
      <w:marTop w:val="0"/>
      <w:marBottom w:val="0"/>
      <w:divBdr>
        <w:top w:val="none" w:sz="0" w:space="0" w:color="auto"/>
        <w:left w:val="none" w:sz="0" w:space="0" w:color="auto"/>
        <w:bottom w:val="none" w:sz="0" w:space="0" w:color="auto"/>
        <w:right w:val="none" w:sz="0" w:space="0" w:color="auto"/>
      </w:divBdr>
    </w:div>
    <w:div w:id="244729558">
      <w:bodyDiv w:val="1"/>
      <w:marLeft w:val="0"/>
      <w:marRight w:val="0"/>
      <w:marTop w:val="0"/>
      <w:marBottom w:val="0"/>
      <w:divBdr>
        <w:top w:val="none" w:sz="0" w:space="0" w:color="auto"/>
        <w:left w:val="none" w:sz="0" w:space="0" w:color="auto"/>
        <w:bottom w:val="none" w:sz="0" w:space="0" w:color="auto"/>
        <w:right w:val="none" w:sz="0" w:space="0" w:color="auto"/>
      </w:divBdr>
    </w:div>
    <w:div w:id="246766570">
      <w:bodyDiv w:val="1"/>
      <w:marLeft w:val="0"/>
      <w:marRight w:val="0"/>
      <w:marTop w:val="0"/>
      <w:marBottom w:val="0"/>
      <w:divBdr>
        <w:top w:val="none" w:sz="0" w:space="0" w:color="auto"/>
        <w:left w:val="none" w:sz="0" w:space="0" w:color="auto"/>
        <w:bottom w:val="none" w:sz="0" w:space="0" w:color="auto"/>
        <w:right w:val="none" w:sz="0" w:space="0" w:color="auto"/>
      </w:divBdr>
      <w:divsChild>
        <w:div w:id="925651300">
          <w:marLeft w:val="547"/>
          <w:marRight w:val="0"/>
          <w:marTop w:val="0"/>
          <w:marBottom w:val="0"/>
          <w:divBdr>
            <w:top w:val="none" w:sz="0" w:space="0" w:color="auto"/>
            <w:left w:val="none" w:sz="0" w:space="0" w:color="auto"/>
            <w:bottom w:val="none" w:sz="0" w:space="0" w:color="auto"/>
            <w:right w:val="none" w:sz="0" w:space="0" w:color="auto"/>
          </w:divBdr>
        </w:div>
      </w:divsChild>
    </w:div>
    <w:div w:id="252782855">
      <w:bodyDiv w:val="1"/>
      <w:marLeft w:val="0"/>
      <w:marRight w:val="0"/>
      <w:marTop w:val="0"/>
      <w:marBottom w:val="0"/>
      <w:divBdr>
        <w:top w:val="none" w:sz="0" w:space="0" w:color="auto"/>
        <w:left w:val="none" w:sz="0" w:space="0" w:color="auto"/>
        <w:bottom w:val="none" w:sz="0" w:space="0" w:color="auto"/>
        <w:right w:val="none" w:sz="0" w:space="0" w:color="auto"/>
      </w:divBdr>
    </w:div>
    <w:div w:id="254287335">
      <w:bodyDiv w:val="1"/>
      <w:marLeft w:val="0"/>
      <w:marRight w:val="0"/>
      <w:marTop w:val="0"/>
      <w:marBottom w:val="0"/>
      <w:divBdr>
        <w:top w:val="none" w:sz="0" w:space="0" w:color="auto"/>
        <w:left w:val="none" w:sz="0" w:space="0" w:color="auto"/>
        <w:bottom w:val="none" w:sz="0" w:space="0" w:color="auto"/>
        <w:right w:val="none" w:sz="0" w:space="0" w:color="auto"/>
      </w:divBdr>
    </w:div>
    <w:div w:id="254440986">
      <w:bodyDiv w:val="1"/>
      <w:marLeft w:val="0"/>
      <w:marRight w:val="0"/>
      <w:marTop w:val="0"/>
      <w:marBottom w:val="0"/>
      <w:divBdr>
        <w:top w:val="none" w:sz="0" w:space="0" w:color="auto"/>
        <w:left w:val="none" w:sz="0" w:space="0" w:color="auto"/>
        <w:bottom w:val="none" w:sz="0" w:space="0" w:color="auto"/>
        <w:right w:val="none" w:sz="0" w:space="0" w:color="auto"/>
      </w:divBdr>
    </w:div>
    <w:div w:id="254676740">
      <w:bodyDiv w:val="1"/>
      <w:marLeft w:val="0"/>
      <w:marRight w:val="0"/>
      <w:marTop w:val="0"/>
      <w:marBottom w:val="0"/>
      <w:divBdr>
        <w:top w:val="none" w:sz="0" w:space="0" w:color="auto"/>
        <w:left w:val="none" w:sz="0" w:space="0" w:color="auto"/>
        <w:bottom w:val="none" w:sz="0" w:space="0" w:color="auto"/>
        <w:right w:val="none" w:sz="0" w:space="0" w:color="auto"/>
      </w:divBdr>
    </w:div>
    <w:div w:id="260376608">
      <w:bodyDiv w:val="1"/>
      <w:marLeft w:val="0"/>
      <w:marRight w:val="0"/>
      <w:marTop w:val="0"/>
      <w:marBottom w:val="0"/>
      <w:divBdr>
        <w:top w:val="none" w:sz="0" w:space="0" w:color="auto"/>
        <w:left w:val="none" w:sz="0" w:space="0" w:color="auto"/>
        <w:bottom w:val="none" w:sz="0" w:space="0" w:color="auto"/>
        <w:right w:val="none" w:sz="0" w:space="0" w:color="auto"/>
      </w:divBdr>
    </w:div>
    <w:div w:id="267546728">
      <w:bodyDiv w:val="1"/>
      <w:marLeft w:val="0"/>
      <w:marRight w:val="0"/>
      <w:marTop w:val="0"/>
      <w:marBottom w:val="0"/>
      <w:divBdr>
        <w:top w:val="none" w:sz="0" w:space="0" w:color="auto"/>
        <w:left w:val="none" w:sz="0" w:space="0" w:color="auto"/>
        <w:bottom w:val="none" w:sz="0" w:space="0" w:color="auto"/>
        <w:right w:val="none" w:sz="0" w:space="0" w:color="auto"/>
      </w:divBdr>
    </w:div>
    <w:div w:id="270012974">
      <w:bodyDiv w:val="1"/>
      <w:marLeft w:val="0"/>
      <w:marRight w:val="0"/>
      <w:marTop w:val="0"/>
      <w:marBottom w:val="0"/>
      <w:divBdr>
        <w:top w:val="none" w:sz="0" w:space="0" w:color="auto"/>
        <w:left w:val="none" w:sz="0" w:space="0" w:color="auto"/>
        <w:bottom w:val="none" w:sz="0" w:space="0" w:color="auto"/>
        <w:right w:val="none" w:sz="0" w:space="0" w:color="auto"/>
      </w:divBdr>
    </w:div>
    <w:div w:id="272325719">
      <w:bodyDiv w:val="1"/>
      <w:marLeft w:val="0"/>
      <w:marRight w:val="0"/>
      <w:marTop w:val="0"/>
      <w:marBottom w:val="0"/>
      <w:divBdr>
        <w:top w:val="none" w:sz="0" w:space="0" w:color="auto"/>
        <w:left w:val="none" w:sz="0" w:space="0" w:color="auto"/>
        <w:bottom w:val="none" w:sz="0" w:space="0" w:color="auto"/>
        <w:right w:val="none" w:sz="0" w:space="0" w:color="auto"/>
      </w:divBdr>
    </w:div>
    <w:div w:id="285619490">
      <w:bodyDiv w:val="1"/>
      <w:marLeft w:val="0"/>
      <w:marRight w:val="0"/>
      <w:marTop w:val="0"/>
      <w:marBottom w:val="0"/>
      <w:divBdr>
        <w:top w:val="none" w:sz="0" w:space="0" w:color="auto"/>
        <w:left w:val="none" w:sz="0" w:space="0" w:color="auto"/>
        <w:bottom w:val="none" w:sz="0" w:space="0" w:color="auto"/>
        <w:right w:val="none" w:sz="0" w:space="0" w:color="auto"/>
      </w:divBdr>
    </w:div>
    <w:div w:id="287054526">
      <w:bodyDiv w:val="1"/>
      <w:marLeft w:val="0"/>
      <w:marRight w:val="0"/>
      <w:marTop w:val="0"/>
      <w:marBottom w:val="0"/>
      <w:divBdr>
        <w:top w:val="none" w:sz="0" w:space="0" w:color="auto"/>
        <w:left w:val="none" w:sz="0" w:space="0" w:color="auto"/>
        <w:bottom w:val="none" w:sz="0" w:space="0" w:color="auto"/>
        <w:right w:val="none" w:sz="0" w:space="0" w:color="auto"/>
      </w:divBdr>
    </w:div>
    <w:div w:id="288171751">
      <w:bodyDiv w:val="1"/>
      <w:marLeft w:val="0"/>
      <w:marRight w:val="0"/>
      <w:marTop w:val="0"/>
      <w:marBottom w:val="0"/>
      <w:divBdr>
        <w:top w:val="none" w:sz="0" w:space="0" w:color="auto"/>
        <w:left w:val="none" w:sz="0" w:space="0" w:color="auto"/>
        <w:bottom w:val="none" w:sz="0" w:space="0" w:color="auto"/>
        <w:right w:val="none" w:sz="0" w:space="0" w:color="auto"/>
      </w:divBdr>
    </w:div>
    <w:div w:id="288558139">
      <w:bodyDiv w:val="1"/>
      <w:marLeft w:val="0"/>
      <w:marRight w:val="0"/>
      <w:marTop w:val="0"/>
      <w:marBottom w:val="0"/>
      <w:divBdr>
        <w:top w:val="none" w:sz="0" w:space="0" w:color="auto"/>
        <w:left w:val="none" w:sz="0" w:space="0" w:color="auto"/>
        <w:bottom w:val="none" w:sz="0" w:space="0" w:color="auto"/>
        <w:right w:val="none" w:sz="0" w:space="0" w:color="auto"/>
      </w:divBdr>
    </w:div>
    <w:div w:id="291519866">
      <w:bodyDiv w:val="1"/>
      <w:marLeft w:val="0"/>
      <w:marRight w:val="0"/>
      <w:marTop w:val="0"/>
      <w:marBottom w:val="0"/>
      <w:divBdr>
        <w:top w:val="none" w:sz="0" w:space="0" w:color="auto"/>
        <w:left w:val="none" w:sz="0" w:space="0" w:color="auto"/>
        <w:bottom w:val="none" w:sz="0" w:space="0" w:color="auto"/>
        <w:right w:val="none" w:sz="0" w:space="0" w:color="auto"/>
      </w:divBdr>
    </w:div>
    <w:div w:id="299458728">
      <w:bodyDiv w:val="1"/>
      <w:marLeft w:val="0"/>
      <w:marRight w:val="0"/>
      <w:marTop w:val="0"/>
      <w:marBottom w:val="0"/>
      <w:divBdr>
        <w:top w:val="none" w:sz="0" w:space="0" w:color="auto"/>
        <w:left w:val="none" w:sz="0" w:space="0" w:color="auto"/>
        <w:bottom w:val="none" w:sz="0" w:space="0" w:color="auto"/>
        <w:right w:val="none" w:sz="0" w:space="0" w:color="auto"/>
      </w:divBdr>
    </w:div>
    <w:div w:id="299504862">
      <w:bodyDiv w:val="1"/>
      <w:marLeft w:val="0"/>
      <w:marRight w:val="0"/>
      <w:marTop w:val="0"/>
      <w:marBottom w:val="0"/>
      <w:divBdr>
        <w:top w:val="none" w:sz="0" w:space="0" w:color="auto"/>
        <w:left w:val="none" w:sz="0" w:space="0" w:color="auto"/>
        <w:bottom w:val="none" w:sz="0" w:space="0" w:color="auto"/>
        <w:right w:val="none" w:sz="0" w:space="0" w:color="auto"/>
      </w:divBdr>
    </w:div>
    <w:div w:id="310213896">
      <w:bodyDiv w:val="1"/>
      <w:marLeft w:val="0"/>
      <w:marRight w:val="0"/>
      <w:marTop w:val="0"/>
      <w:marBottom w:val="0"/>
      <w:divBdr>
        <w:top w:val="none" w:sz="0" w:space="0" w:color="auto"/>
        <w:left w:val="none" w:sz="0" w:space="0" w:color="auto"/>
        <w:bottom w:val="none" w:sz="0" w:space="0" w:color="auto"/>
        <w:right w:val="none" w:sz="0" w:space="0" w:color="auto"/>
      </w:divBdr>
    </w:div>
    <w:div w:id="310913777">
      <w:bodyDiv w:val="1"/>
      <w:marLeft w:val="0"/>
      <w:marRight w:val="0"/>
      <w:marTop w:val="0"/>
      <w:marBottom w:val="0"/>
      <w:divBdr>
        <w:top w:val="none" w:sz="0" w:space="0" w:color="auto"/>
        <w:left w:val="none" w:sz="0" w:space="0" w:color="auto"/>
        <w:bottom w:val="none" w:sz="0" w:space="0" w:color="auto"/>
        <w:right w:val="none" w:sz="0" w:space="0" w:color="auto"/>
      </w:divBdr>
    </w:div>
    <w:div w:id="314530327">
      <w:bodyDiv w:val="1"/>
      <w:marLeft w:val="0"/>
      <w:marRight w:val="0"/>
      <w:marTop w:val="0"/>
      <w:marBottom w:val="0"/>
      <w:divBdr>
        <w:top w:val="none" w:sz="0" w:space="0" w:color="auto"/>
        <w:left w:val="none" w:sz="0" w:space="0" w:color="auto"/>
        <w:bottom w:val="none" w:sz="0" w:space="0" w:color="auto"/>
        <w:right w:val="none" w:sz="0" w:space="0" w:color="auto"/>
      </w:divBdr>
    </w:div>
    <w:div w:id="317613346">
      <w:bodyDiv w:val="1"/>
      <w:marLeft w:val="0"/>
      <w:marRight w:val="0"/>
      <w:marTop w:val="0"/>
      <w:marBottom w:val="0"/>
      <w:divBdr>
        <w:top w:val="none" w:sz="0" w:space="0" w:color="auto"/>
        <w:left w:val="none" w:sz="0" w:space="0" w:color="auto"/>
        <w:bottom w:val="none" w:sz="0" w:space="0" w:color="auto"/>
        <w:right w:val="none" w:sz="0" w:space="0" w:color="auto"/>
      </w:divBdr>
    </w:div>
    <w:div w:id="318467125">
      <w:bodyDiv w:val="1"/>
      <w:marLeft w:val="0"/>
      <w:marRight w:val="0"/>
      <w:marTop w:val="0"/>
      <w:marBottom w:val="0"/>
      <w:divBdr>
        <w:top w:val="none" w:sz="0" w:space="0" w:color="auto"/>
        <w:left w:val="none" w:sz="0" w:space="0" w:color="auto"/>
        <w:bottom w:val="none" w:sz="0" w:space="0" w:color="auto"/>
        <w:right w:val="none" w:sz="0" w:space="0" w:color="auto"/>
      </w:divBdr>
    </w:div>
    <w:div w:id="321854626">
      <w:bodyDiv w:val="1"/>
      <w:marLeft w:val="0"/>
      <w:marRight w:val="0"/>
      <w:marTop w:val="0"/>
      <w:marBottom w:val="0"/>
      <w:divBdr>
        <w:top w:val="none" w:sz="0" w:space="0" w:color="auto"/>
        <w:left w:val="none" w:sz="0" w:space="0" w:color="auto"/>
        <w:bottom w:val="none" w:sz="0" w:space="0" w:color="auto"/>
        <w:right w:val="none" w:sz="0" w:space="0" w:color="auto"/>
      </w:divBdr>
    </w:div>
    <w:div w:id="324940207">
      <w:bodyDiv w:val="1"/>
      <w:marLeft w:val="0"/>
      <w:marRight w:val="0"/>
      <w:marTop w:val="0"/>
      <w:marBottom w:val="0"/>
      <w:divBdr>
        <w:top w:val="none" w:sz="0" w:space="0" w:color="auto"/>
        <w:left w:val="none" w:sz="0" w:space="0" w:color="auto"/>
        <w:bottom w:val="none" w:sz="0" w:space="0" w:color="auto"/>
        <w:right w:val="none" w:sz="0" w:space="0" w:color="auto"/>
      </w:divBdr>
    </w:div>
    <w:div w:id="332731806">
      <w:bodyDiv w:val="1"/>
      <w:marLeft w:val="0"/>
      <w:marRight w:val="0"/>
      <w:marTop w:val="0"/>
      <w:marBottom w:val="0"/>
      <w:divBdr>
        <w:top w:val="none" w:sz="0" w:space="0" w:color="auto"/>
        <w:left w:val="none" w:sz="0" w:space="0" w:color="auto"/>
        <w:bottom w:val="none" w:sz="0" w:space="0" w:color="auto"/>
        <w:right w:val="none" w:sz="0" w:space="0" w:color="auto"/>
      </w:divBdr>
    </w:div>
    <w:div w:id="334261538">
      <w:bodyDiv w:val="1"/>
      <w:marLeft w:val="0"/>
      <w:marRight w:val="0"/>
      <w:marTop w:val="0"/>
      <w:marBottom w:val="0"/>
      <w:divBdr>
        <w:top w:val="none" w:sz="0" w:space="0" w:color="auto"/>
        <w:left w:val="none" w:sz="0" w:space="0" w:color="auto"/>
        <w:bottom w:val="none" w:sz="0" w:space="0" w:color="auto"/>
        <w:right w:val="none" w:sz="0" w:space="0" w:color="auto"/>
      </w:divBdr>
    </w:div>
    <w:div w:id="336737524">
      <w:bodyDiv w:val="1"/>
      <w:marLeft w:val="0"/>
      <w:marRight w:val="0"/>
      <w:marTop w:val="0"/>
      <w:marBottom w:val="0"/>
      <w:divBdr>
        <w:top w:val="none" w:sz="0" w:space="0" w:color="auto"/>
        <w:left w:val="none" w:sz="0" w:space="0" w:color="auto"/>
        <w:bottom w:val="none" w:sz="0" w:space="0" w:color="auto"/>
        <w:right w:val="none" w:sz="0" w:space="0" w:color="auto"/>
      </w:divBdr>
    </w:div>
    <w:div w:id="339699956">
      <w:bodyDiv w:val="1"/>
      <w:marLeft w:val="0"/>
      <w:marRight w:val="0"/>
      <w:marTop w:val="0"/>
      <w:marBottom w:val="0"/>
      <w:divBdr>
        <w:top w:val="none" w:sz="0" w:space="0" w:color="auto"/>
        <w:left w:val="none" w:sz="0" w:space="0" w:color="auto"/>
        <w:bottom w:val="none" w:sz="0" w:space="0" w:color="auto"/>
        <w:right w:val="none" w:sz="0" w:space="0" w:color="auto"/>
      </w:divBdr>
    </w:div>
    <w:div w:id="341706671">
      <w:bodyDiv w:val="1"/>
      <w:marLeft w:val="0"/>
      <w:marRight w:val="0"/>
      <w:marTop w:val="0"/>
      <w:marBottom w:val="0"/>
      <w:divBdr>
        <w:top w:val="none" w:sz="0" w:space="0" w:color="auto"/>
        <w:left w:val="none" w:sz="0" w:space="0" w:color="auto"/>
        <w:bottom w:val="none" w:sz="0" w:space="0" w:color="auto"/>
        <w:right w:val="none" w:sz="0" w:space="0" w:color="auto"/>
      </w:divBdr>
    </w:div>
    <w:div w:id="342439029">
      <w:bodyDiv w:val="1"/>
      <w:marLeft w:val="0"/>
      <w:marRight w:val="0"/>
      <w:marTop w:val="0"/>
      <w:marBottom w:val="0"/>
      <w:divBdr>
        <w:top w:val="none" w:sz="0" w:space="0" w:color="auto"/>
        <w:left w:val="none" w:sz="0" w:space="0" w:color="auto"/>
        <w:bottom w:val="none" w:sz="0" w:space="0" w:color="auto"/>
        <w:right w:val="none" w:sz="0" w:space="0" w:color="auto"/>
      </w:divBdr>
    </w:div>
    <w:div w:id="344671132">
      <w:bodyDiv w:val="1"/>
      <w:marLeft w:val="0"/>
      <w:marRight w:val="0"/>
      <w:marTop w:val="0"/>
      <w:marBottom w:val="0"/>
      <w:divBdr>
        <w:top w:val="none" w:sz="0" w:space="0" w:color="auto"/>
        <w:left w:val="none" w:sz="0" w:space="0" w:color="auto"/>
        <w:bottom w:val="none" w:sz="0" w:space="0" w:color="auto"/>
        <w:right w:val="none" w:sz="0" w:space="0" w:color="auto"/>
      </w:divBdr>
    </w:div>
    <w:div w:id="348795803">
      <w:bodyDiv w:val="1"/>
      <w:marLeft w:val="0"/>
      <w:marRight w:val="0"/>
      <w:marTop w:val="0"/>
      <w:marBottom w:val="0"/>
      <w:divBdr>
        <w:top w:val="none" w:sz="0" w:space="0" w:color="auto"/>
        <w:left w:val="none" w:sz="0" w:space="0" w:color="auto"/>
        <w:bottom w:val="none" w:sz="0" w:space="0" w:color="auto"/>
        <w:right w:val="none" w:sz="0" w:space="0" w:color="auto"/>
      </w:divBdr>
    </w:div>
    <w:div w:id="354235589">
      <w:bodyDiv w:val="1"/>
      <w:marLeft w:val="0"/>
      <w:marRight w:val="0"/>
      <w:marTop w:val="0"/>
      <w:marBottom w:val="0"/>
      <w:divBdr>
        <w:top w:val="none" w:sz="0" w:space="0" w:color="auto"/>
        <w:left w:val="none" w:sz="0" w:space="0" w:color="auto"/>
        <w:bottom w:val="none" w:sz="0" w:space="0" w:color="auto"/>
        <w:right w:val="none" w:sz="0" w:space="0" w:color="auto"/>
      </w:divBdr>
    </w:div>
    <w:div w:id="354423845">
      <w:bodyDiv w:val="1"/>
      <w:marLeft w:val="0"/>
      <w:marRight w:val="0"/>
      <w:marTop w:val="0"/>
      <w:marBottom w:val="0"/>
      <w:divBdr>
        <w:top w:val="none" w:sz="0" w:space="0" w:color="auto"/>
        <w:left w:val="none" w:sz="0" w:space="0" w:color="auto"/>
        <w:bottom w:val="none" w:sz="0" w:space="0" w:color="auto"/>
        <w:right w:val="none" w:sz="0" w:space="0" w:color="auto"/>
      </w:divBdr>
    </w:div>
    <w:div w:id="357390219">
      <w:bodyDiv w:val="1"/>
      <w:marLeft w:val="0"/>
      <w:marRight w:val="0"/>
      <w:marTop w:val="0"/>
      <w:marBottom w:val="0"/>
      <w:divBdr>
        <w:top w:val="none" w:sz="0" w:space="0" w:color="auto"/>
        <w:left w:val="none" w:sz="0" w:space="0" w:color="auto"/>
        <w:bottom w:val="none" w:sz="0" w:space="0" w:color="auto"/>
        <w:right w:val="none" w:sz="0" w:space="0" w:color="auto"/>
      </w:divBdr>
    </w:div>
    <w:div w:id="359401987">
      <w:bodyDiv w:val="1"/>
      <w:marLeft w:val="0"/>
      <w:marRight w:val="0"/>
      <w:marTop w:val="0"/>
      <w:marBottom w:val="0"/>
      <w:divBdr>
        <w:top w:val="none" w:sz="0" w:space="0" w:color="auto"/>
        <w:left w:val="none" w:sz="0" w:space="0" w:color="auto"/>
        <w:bottom w:val="none" w:sz="0" w:space="0" w:color="auto"/>
        <w:right w:val="none" w:sz="0" w:space="0" w:color="auto"/>
      </w:divBdr>
    </w:div>
    <w:div w:id="362023771">
      <w:bodyDiv w:val="1"/>
      <w:marLeft w:val="0"/>
      <w:marRight w:val="0"/>
      <w:marTop w:val="0"/>
      <w:marBottom w:val="0"/>
      <w:divBdr>
        <w:top w:val="none" w:sz="0" w:space="0" w:color="auto"/>
        <w:left w:val="none" w:sz="0" w:space="0" w:color="auto"/>
        <w:bottom w:val="none" w:sz="0" w:space="0" w:color="auto"/>
        <w:right w:val="none" w:sz="0" w:space="0" w:color="auto"/>
      </w:divBdr>
    </w:div>
    <w:div w:id="363136470">
      <w:bodyDiv w:val="1"/>
      <w:marLeft w:val="0"/>
      <w:marRight w:val="0"/>
      <w:marTop w:val="0"/>
      <w:marBottom w:val="0"/>
      <w:divBdr>
        <w:top w:val="none" w:sz="0" w:space="0" w:color="auto"/>
        <w:left w:val="none" w:sz="0" w:space="0" w:color="auto"/>
        <w:bottom w:val="none" w:sz="0" w:space="0" w:color="auto"/>
        <w:right w:val="none" w:sz="0" w:space="0" w:color="auto"/>
      </w:divBdr>
    </w:div>
    <w:div w:id="366686395">
      <w:bodyDiv w:val="1"/>
      <w:marLeft w:val="0"/>
      <w:marRight w:val="0"/>
      <w:marTop w:val="0"/>
      <w:marBottom w:val="0"/>
      <w:divBdr>
        <w:top w:val="none" w:sz="0" w:space="0" w:color="auto"/>
        <w:left w:val="none" w:sz="0" w:space="0" w:color="auto"/>
        <w:bottom w:val="none" w:sz="0" w:space="0" w:color="auto"/>
        <w:right w:val="none" w:sz="0" w:space="0" w:color="auto"/>
      </w:divBdr>
    </w:div>
    <w:div w:id="372191518">
      <w:bodyDiv w:val="1"/>
      <w:marLeft w:val="0"/>
      <w:marRight w:val="0"/>
      <w:marTop w:val="0"/>
      <w:marBottom w:val="0"/>
      <w:divBdr>
        <w:top w:val="none" w:sz="0" w:space="0" w:color="auto"/>
        <w:left w:val="none" w:sz="0" w:space="0" w:color="auto"/>
        <w:bottom w:val="none" w:sz="0" w:space="0" w:color="auto"/>
        <w:right w:val="none" w:sz="0" w:space="0" w:color="auto"/>
      </w:divBdr>
    </w:div>
    <w:div w:id="373966320">
      <w:bodyDiv w:val="1"/>
      <w:marLeft w:val="0"/>
      <w:marRight w:val="0"/>
      <w:marTop w:val="0"/>
      <w:marBottom w:val="0"/>
      <w:divBdr>
        <w:top w:val="none" w:sz="0" w:space="0" w:color="auto"/>
        <w:left w:val="none" w:sz="0" w:space="0" w:color="auto"/>
        <w:bottom w:val="none" w:sz="0" w:space="0" w:color="auto"/>
        <w:right w:val="none" w:sz="0" w:space="0" w:color="auto"/>
      </w:divBdr>
    </w:div>
    <w:div w:id="380980425">
      <w:bodyDiv w:val="1"/>
      <w:marLeft w:val="0"/>
      <w:marRight w:val="0"/>
      <w:marTop w:val="0"/>
      <w:marBottom w:val="0"/>
      <w:divBdr>
        <w:top w:val="none" w:sz="0" w:space="0" w:color="auto"/>
        <w:left w:val="none" w:sz="0" w:space="0" w:color="auto"/>
        <w:bottom w:val="none" w:sz="0" w:space="0" w:color="auto"/>
        <w:right w:val="none" w:sz="0" w:space="0" w:color="auto"/>
      </w:divBdr>
    </w:div>
    <w:div w:id="381708265">
      <w:bodyDiv w:val="1"/>
      <w:marLeft w:val="0"/>
      <w:marRight w:val="0"/>
      <w:marTop w:val="0"/>
      <w:marBottom w:val="0"/>
      <w:divBdr>
        <w:top w:val="none" w:sz="0" w:space="0" w:color="auto"/>
        <w:left w:val="none" w:sz="0" w:space="0" w:color="auto"/>
        <w:bottom w:val="none" w:sz="0" w:space="0" w:color="auto"/>
        <w:right w:val="none" w:sz="0" w:space="0" w:color="auto"/>
      </w:divBdr>
    </w:div>
    <w:div w:id="384838725">
      <w:bodyDiv w:val="1"/>
      <w:marLeft w:val="0"/>
      <w:marRight w:val="0"/>
      <w:marTop w:val="0"/>
      <w:marBottom w:val="0"/>
      <w:divBdr>
        <w:top w:val="none" w:sz="0" w:space="0" w:color="auto"/>
        <w:left w:val="none" w:sz="0" w:space="0" w:color="auto"/>
        <w:bottom w:val="none" w:sz="0" w:space="0" w:color="auto"/>
        <w:right w:val="none" w:sz="0" w:space="0" w:color="auto"/>
      </w:divBdr>
    </w:div>
    <w:div w:id="384913153">
      <w:bodyDiv w:val="1"/>
      <w:marLeft w:val="0"/>
      <w:marRight w:val="0"/>
      <w:marTop w:val="0"/>
      <w:marBottom w:val="0"/>
      <w:divBdr>
        <w:top w:val="none" w:sz="0" w:space="0" w:color="auto"/>
        <w:left w:val="none" w:sz="0" w:space="0" w:color="auto"/>
        <w:bottom w:val="none" w:sz="0" w:space="0" w:color="auto"/>
        <w:right w:val="none" w:sz="0" w:space="0" w:color="auto"/>
      </w:divBdr>
    </w:div>
    <w:div w:id="385493814">
      <w:bodyDiv w:val="1"/>
      <w:marLeft w:val="0"/>
      <w:marRight w:val="0"/>
      <w:marTop w:val="0"/>
      <w:marBottom w:val="0"/>
      <w:divBdr>
        <w:top w:val="none" w:sz="0" w:space="0" w:color="auto"/>
        <w:left w:val="none" w:sz="0" w:space="0" w:color="auto"/>
        <w:bottom w:val="none" w:sz="0" w:space="0" w:color="auto"/>
        <w:right w:val="none" w:sz="0" w:space="0" w:color="auto"/>
      </w:divBdr>
    </w:div>
    <w:div w:id="385882915">
      <w:bodyDiv w:val="1"/>
      <w:marLeft w:val="0"/>
      <w:marRight w:val="0"/>
      <w:marTop w:val="0"/>
      <w:marBottom w:val="0"/>
      <w:divBdr>
        <w:top w:val="none" w:sz="0" w:space="0" w:color="auto"/>
        <w:left w:val="none" w:sz="0" w:space="0" w:color="auto"/>
        <w:bottom w:val="none" w:sz="0" w:space="0" w:color="auto"/>
        <w:right w:val="none" w:sz="0" w:space="0" w:color="auto"/>
      </w:divBdr>
    </w:div>
    <w:div w:id="393503179">
      <w:bodyDiv w:val="1"/>
      <w:marLeft w:val="0"/>
      <w:marRight w:val="0"/>
      <w:marTop w:val="0"/>
      <w:marBottom w:val="0"/>
      <w:divBdr>
        <w:top w:val="none" w:sz="0" w:space="0" w:color="auto"/>
        <w:left w:val="none" w:sz="0" w:space="0" w:color="auto"/>
        <w:bottom w:val="none" w:sz="0" w:space="0" w:color="auto"/>
        <w:right w:val="none" w:sz="0" w:space="0" w:color="auto"/>
      </w:divBdr>
    </w:div>
    <w:div w:id="397291109">
      <w:bodyDiv w:val="1"/>
      <w:marLeft w:val="0"/>
      <w:marRight w:val="0"/>
      <w:marTop w:val="0"/>
      <w:marBottom w:val="0"/>
      <w:divBdr>
        <w:top w:val="none" w:sz="0" w:space="0" w:color="auto"/>
        <w:left w:val="none" w:sz="0" w:space="0" w:color="auto"/>
        <w:bottom w:val="none" w:sz="0" w:space="0" w:color="auto"/>
        <w:right w:val="none" w:sz="0" w:space="0" w:color="auto"/>
      </w:divBdr>
    </w:div>
    <w:div w:id="400715157">
      <w:bodyDiv w:val="1"/>
      <w:marLeft w:val="0"/>
      <w:marRight w:val="0"/>
      <w:marTop w:val="0"/>
      <w:marBottom w:val="0"/>
      <w:divBdr>
        <w:top w:val="none" w:sz="0" w:space="0" w:color="auto"/>
        <w:left w:val="none" w:sz="0" w:space="0" w:color="auto"/>
        <w:bottom w:val="none" w:sz="0" w:space="0" w:color="auto"/>
        <w:right w:val="none" w:sz="0" w:space="0" w:color="auto"/>
      </w:divBdr>
    </w:div>
    <w:div w:id="402140515">
      <w:bodyDiv w:val="1"/>
      <w:marLeft w:val="0"/>
      <w:marRight w:val="0"/>
      <w:marTop w:val="0"/>
      <w:marBottom w:val="0"/>
      <w:divBdr>
        <w:top w:val="none" w:sz="0" w:space="0" w:color="auto"/>
        <w:left w:val="none" w:sz="0" w:space="0" w:color="auto"/>
        <w:bottom w:val="none" w:sz="0" w:space="0" w:color="auto"/>
        <w:right w:val="none" w:sz="0" w:space="0" w:color="auto"/>
      </w:divBdr>
    </w:div>
    <w:div w:id="406154739">
      <w:bodyDiv w:val="1"/>
      <w:marLeft w:val="0"/>
      <w:marRight w:val="0"/>
      <w:marTop w:val="0"/>
      <w:marBottom w:val="0"/>
      <w:divBdr>
        <w:top w:val="none" w:sz="0" w:space="0" w:color="auto"/>
        <w:left w:val="none" w:sz="0" w:space="0" w:color="auto"/>
        <w:bottom w:val="none" w:sz="0" w:space="0" w:color="auto"/>
        <w:right w:val="none" w:sz="0" w:space="0" w:color="auto"/>
      </w:divBdr>
    </w:div>
    <w:div w:id="410080719">
      <w:bodyDiv w:val="1"/>
      <w:marLeft w:val="0"/>
      <w:marRight w:val="0"/>
      <w:marTop w:val="0"/>
      <w:marBottom w:val="0"/>
      <w:divBdr>
        <w:top w:val="none" w:sz="0" w:space="0" w:color="auto"/>
        <w:left w:val="none" w:sz="0" w:space="0" w:color="auto"/>
        <w:bottom w:val="none" w:sz="0" w:space="0" w:color="auto"/>
        <w:right w:val="none" w:sz="0" w:space="0" w:color="auto"/>
      </w:divBdr>
    </w:div>
    <w:div w:id="416827055">
      <w:bodyDiv w:val="1"/>
      <w:marLeft w:val="0"/>
      <w:marRight w:val="0"/>
      <w:marTop w:val="0"/>
      <w:marBottom w:val="0"/>
      <w:divBdr>
        <w:top w:val="none" w:sz="0" w:space="0" w:color="auto"/>
        <w:left w:val="none" w:sz="0" w:space="0" w:color="auto"/>
        <w:bottom w:val="none" w:sz="0" w:space="0" w:color="auto"/>
        <w:right w:val="none" w:sz="0" w:space="0" w:color="auto"/>
      </w:divBdr>
    </w:div>
    <w:div w:id="419646484">
      <w:bodyDiv w:val="1"/>
      <w:marLeft w:val="0"/>
      <w:marRight w:val="0"/>
      <w:marTop w:val="0"/>
      <w:marBottom w:val="0"/>
      <w:divBdr>
        <w:top w:val="none" w:sz="0" w:space="0" w:color="auto"/>
        <w:left w:val="none" w:sz="0" w:space="0" w:color="auto"/>
        <w:bottom w:val="none" w:sz="0" w:space="0" w:color="auto"/>
        <w:right w:val="none" w:sz="0" w:space="0" w:color="auto"/>
      </w:divBdr>
    </w:div>
    <w:div w:id="420610971">
      <w:bodyDiv w:val="1"/>
      <w:marLeft w:val="0"/>
      <w:marRight w:val="0"/>
      <w:marTop w:val="0"/>
      <w:marBottom w:val="0"/>
      <w:divBdr>
        <w:top w:val="none" w:sz="0" w:space="0" w:color="auto"/>
        <w:left w:val="none" w:sz="0" w:space="0" w:color="auto"/>
        <w:bottom w:val="none" w:sz="0" w:space="0" w:color="auto"/>
        <w:right w:val="none" w:sz="0" w:space="0" w:color="auto"/>
      </w:divBdr>
    </w:div>
    <w:div w:id="429859731">
      <w:bodyDiv w:val="1"/>
      <w:marLeft w:val="0"/>
      <w:marRight w:val="0"/>
      <w:marTop w:val="0"/>
      <w:marBottom w:val="0"/>
      <w:divBdr>
        <w:top w:val="none" w:sz="0" w:space="0" w:color="auto"/>
        <w:left w:val="none" w:sz="0" w:space="0" w:color="auto"/>
        <w:bottom w:val="none" w:sz="0" w:space="0" w:color="auto"/>
        <w:right w:val="none" w:sz="0" w:space="0" w:color="auto"/>
      </w:divBdr>
    </w:div>
    <w:div w:id="430664058">
      <w:bodyDiv w:val="1"/>
      <w:marLeft w:val="0"/>
      <w:marRight w:val="0"/>
      <w:marTop w:val="0"/>
      <w:marBottom w:val="0"/>
      <w:divBdr>
        <w:top w:val="none" w:sz="0" w:space="0" w:color="auto"/>
        <w:left w:val="none" w:sz="0" w:space="0" w:color="auto"/>
        <w:bottom w:val="none" w:sz="0" w:space="0" w:color="auto"/>
        <w:right w:val="none" w:sz="0" w:space="0" w:color="auto"/>
      </w:divBdr>
    </w:div>
    <w:div w:id="433938361">
      <w:bodyDiv w:val="1"/>
      <w:marLeft w:val="0"/>
      <w:marRight w:val="0"/>
      <w:marTop w:val="0"/>
      <w:marBottom w:val="0"/>
      <w:divBdr>
        <w:top w:val="none" w:sz="0" w:space="0" w:color="auto"/>
        <w:left w:val="none" w:sz="0" w:space="0" w:color="auto"/>
        <w:bottom w:val="none" w:sz="0" w:space="0" w:color="auto"/>
        <w:right w:val="none" w:sz="0" w:space="0" w:color="auto"/>
      </w:divBdr>
    </w:div>
    <w:div w:id="437019556">
      <w:bodyDiv w:val="1"/>
      <w:marLeft w:val="0"/>
      <w:marRight w:val="0"/>
      <w:marTop w:val="0"/>
      <w:marBottom w:val="0"/>
      <w:divBdr>
        <w:top w:val="none" w:sz="0" w:space="0" w:color="auto"/>
        <w:left w:val="none" w:sz="0" w:space="0" w:color="auto"/>
        <w:bottom w:val="none" w:sz="0" w:space="0" w:color="auto"/>
        <w:right w:val="none" w:sz="0" w:space="0" w:color="auto"/>
      </w:divBdr>
    </w:div>
    <w:div w:id="439034008">
      <w:bodyDiv w:val="1"/>
      <w:marLeft w:val="0"/>
      <w:marRight w:val="0"/>
      <w:marTop w:val="0"/>
      <w:marBottom w:val="0"/>
      <w:divBdr>
        <w:top w:val="none" w:sz="0" w:space="0" w:color="auto"/>
        <w:left w:val="none" w:sz="0" w:space="0" w:color="auto"/>
        <w:bottom w:val="none" w:sz="0" w:space="0" w:color="auto"/>
        <w:right w:val="none" w:sz="0" w:space="0" w:color="auto"/>
      </w:divBdr>
    </w:div>
    <w:div w:id="452210429">
      <w:bodyDiv w:val="1"/>
      <w:marLeft w:val="0"/>
      <w:marRight w:val="0"/>
      <w:marTop w:val="0"/>
      <w:marBottom w:val="0"/>
      <w:divBdr>
        <w:top w:val="none" w:sz="0" w:space="0" w:color="auto"/>
        <w:left w:val="none" w:sz="0" w:space="0" w:color="auto"/>
        <w:bottom w:val="none" w:sz="0" w:space="0" w:color="auto"/>
        <w:right w:val="none" w:sz="0" w:space="0" w:color="auto"/>
      </w:divBdr>
    </w:div>
    <w:div w:id="452599740">
      <w:bodyDiv w:val="1"/>
      <w:marLeft w:val="0"/>
      <w:marRight w:val="0"/>
      <w:marTop w:val="0"/>
      <w:marBottom w:val="0"/>
      <w:divBdr>
        <w:top w:val="none" w:sz="0" w:space="0" w:color="auto"/>
        <w:left w:val="none" w:sz="0" w:space="0" w:color="auto"/>
        <w:bottom w:val="none" w:sz="0" w:space="0" w:color="auto"/>
        <w:right w:val="none" w:sz="0" w:space="0" w:color="auto"/>
      </w:divBdr>
    </w:div>
    <w:div w:id="453793315">
      <w:bodyDiv w:val="1"/>
      <w:marLeft w:val="0"/>
      <w:marRight w:val="0"/>
      <w:marTop w:val="0"/>
      <w:marBottom w:val="0"/>
      <w:divBdr>
        <w:top w:val="none" w:sz="0" w:space="0" w:color="auto"/>
        <w:left w:val="none" w:sz="0" w:space="0" w:color="auto"/>
        <w:bottom w:val="none" w:sz="0" w:space="0" w:color="auto"/>
        <w:right w:val="none" w:sz="0" w:space="0" w:color="auto"/>
      </w:divBdr>
    </w:div>
    <w:div w:id="454568846">
      <w:bodyDiv w:val="1"/>
      <w:marLeft w:val="0"/>
      <w:marRight w:val="0"/>
      <w:marTop w:val="0"/>
      <w:marBottom w:val="0"/>
      <w:divBdr>
        <w:top w:val="none" w:sz="0" w:space="0" w:color="auto"/>
        <w:left w:val="none" w:sz="0" w:space="0" w:color="auto"/>
        <w:bottom w:val="none" w:sz="0" w:space="0" w:color="auto"/>
        <w:right w:val="none" w:sz="0" w:space="0" w:color="auto"/>
      </w:divBdr>
    </w:div>
    <w:div w:id="455300924">
      <w:bodyDiv w:val="1"/>
      <w:marLeft w:val="0"/>
      <w:marRight w:val="0"/>
      <w:marTop w:val="0"/>
      <w:marBottom w:val="0"/>
      <w:divBdr>
        <w:top w:val="none" w:sz="0" w:space="0" w:color="auto"/>
        <w:left w:val="none" w:sz="0" w:space="0" w:color="auto"/>
        <w:bottom w:val="none" w:sz="0" w:space="0" w:color="auto"/>
        <w:right w:val="none" w:sz="0" w:space="0" w:color="auto"/>
      </w:divBdr>
    </w:div>
    <w:div w:id="460614596">
      <w:bodyDiv w:val="1"/>
      <w:marLeft w:val="0"/>
      <w:marRight w:val="0"/>
      <w:marTop w:val="0"/>
      <w:marBottom w:val="0"/>
      <w:divBdr>
        <w:top w:val="none" w:sz="0" w:space="0" w:color="auto"/>
        <w:left w:val="none" w:sz="0" w:space="0" w:color="auto"/>
        <w:bottom w:val="none" w:sz="0" w:space="0" w:color="auto"/>
        <w:right w:val="none" w:sz="0" w:space="0" w:color="auto"/>
      </w:divBdr>
    </w:div>
    <w:div w:id="461650539">
      <w:bodyDiv w:val="1"/>
      <w:marLeft w:val="0"/>
      <w:marRight w:val="0"/>
      <w:marTop w:val="0"/>
      <w:marBottom w:val="0"/>
      <w:divBdr>
        <w:top w:val="none" w:sz="0" w:space="0" w:color="auto"/>
        <w:left w:val="none" w:sz="0" w:space="0" w:color="auto"/>
        <w:bottom w:val="none" w:sz="0" w:space="0" w:color="auto"/>
        <w:right w:val="none" w:sz="0" w:space="0" w:color="auto"/>
      </w:divBdr>
    </w:div>
    <w:div w:id="463277979">
      <w:bodyDiv w:val="1"/>
      <w:marLeft w:val="0"/>
      <w:marRight w:val="0"/>
      <w:marTop w:val="0"/>
      <w:marBottom w:val="0"/>
      <w:divBdr>
        <w:top w:val="none" w:sz="0" w:space="0" w:color="auto"/>
        <w:left w:val="none" w:sz="0" w:space="0" w:color="auto"/>
        <w:bottom w:val="none" w:sz="0" w:space="0" w:color="auto"/>
        <w:right w:val="none" w:sz="0" w:space="0" w:color="auto"/>
      </w:divBdr>
    </w:div>
    <w:div w:id="467364130">
      <w:bodyDiv w:val="1"/>
      <w:marLeft w:val="0"/>
      <w:marRight w:val="0"/>
      <w:marTop w:val="0"/>
      <w:marBottom w:val="0"/>
      <w:divBdr>
        <w:top w:val="none" w:sz="0" w:space="0" w:color="auto"/>
        <w:left w:val="none" w:sz="0" w:space="0" w:color="auto"/>
        <w:bottom w:val="none" w:sz="0" w:space="0" w:color="auto"/>
        <w:right w:val="none" w:sz="0" w:space="0" w:color="auto"/>
      </w:divBdr>
    </w:div>
    <w:div w:id="469056028">
      <w:bodyDiv w:val="1"/>
      <w:marLeft w:val="0"/>
      <w:marRight w:val="0"/>
      <w:marTop w:val="0"/>
      <w:marBottom w:val="0"/>
      <w:divBdr>
        <w:top w:val="none" w:sz="0" w:space="0" w:color="auto"/>
        <w:left w:val="none" w:sz="0" w:space="0" w:color="auto"/>
        <w:bottom w:val="none" w:sz="0" w:space="0" w:color="auto"/>
        <w:right w:val="none" w:sz="0" w:space="0" w:color="auto"/>
      </w:divBdr>
    </w:div>
    <w:div w:id="473644573">
      <w:bodyDiv w:val="1"/>
      <w:marLeft w:val="0"/>
      <w:marRight w:val="0"/>
      <w:marTop w:val="0"/>
      <w:marBottom w:val="0"/>
      <w:divBdr>
        <w:top w:val="none" w:sz="0" w:space="0" w:color="auto"/>
        <w:left w:val="none" w:sz="0" w:space="0" w:color="auto"/>
        <w:bottom w:val="none" w:sz="0" w:space="0" w:color="auto"/>
        <w:right w:val="none" w:sz="0" w:space="0" w:color="auto"/>
      </w:divBdr>
    </w:div>
    <w:div w:id="474219655">
      <w:bodyDiv w:val="1"/>
      <w:marLeft w:val="0"/>
      <w:marRight w:val="0"/>
      <w:marTop w:val="0"/>
      <w:marBottom w:val="0"/>
      <w:divBdr>
        <w:top w:val="none" w:sz="0" w:space="0" w:color="auto"/>
        <w:left w:val="none" w:sz="0" w:space="0" w:color="auto"/>
        <w:bottom w:val="none" w:sz="0" w:space="0" w:color="auto"/>
        <w:right w:val="none" w:sz="0" w:space="0" w:color="auto"/>
      </w:divBdr>
    </w:div>
    <w:div w:id="476606063">
      <w:bodyDiv w:val="1"/>
      <w:marLeft w:val="0"/>
      <w:marRight w:val="0"/>
      <w:marTop w:val="0"/>
      <w:marBottom w:val="0"/>
      <w:divBdr>
        <w:top w:val="none" w:sz="0" w:space="0" w:color="auto"/>
        <w:left w:val="none" w:sz="0" w:space="0" w:color="auto"/>
        <w:bottom w:val="none" w:sz="0" w:space="0" w:color="auto"/>
        <w:right w:val="none" w:sz="0" w:space="0" w:color="auto"/>
      </w:divBdr>
    </w:div>
    <w:div w:id="476996212">
      <w:bodyDiv w:val="1"/>
      <w:marLeft w:val="0"/>
      <w:marRight w:val="0"/>
      <w:marTop w:val="0"/>
      <w:marBottom w:val="0"/>
      <w:divBdr>
        <w:top w:val="none" w:sz="0" w:space="0" w:color="auto"/>
        <w:left w:val="none" w:sz="0" w:space="0" w:color="auto"/>
        <w:bottom w:val="none" w:sz="0" w:space="0" w:color="auto"/>
        <w:right w:val="none" w:sz="0" w:space="0" w:color="auto"/>
      </w:divBdr>
      <w:divsChild>
        <w:div w:id="107238504">
          <w:marLeft w:val="0"/>
          <w:marRight w:val="0"/>
          <w:marTop w:val="0"/>
          <w:marBottom w:val="0"/>
          <w:divBdr>
            <w:top w:val="none" w:sz="0" w:space="0" w:color="auto"/>
            <w:left w:val="none" w:sz="0" w:space="0" w:color="auto"/>
            <w:bottom w:val="none" w:sz="0" w:space="0" w:color="auto"/>
            <w:right w:val="none" w:sz="0" w:space="0" w:color="auto"/>
          </w:divBdr>
        </w:div>
      </w:divsChild>
    </w:div>
    <w:div w:id="477189515">
      <w:bodyDiv w:val="1"/>
      <w:marLeft w:val="0"/>
      <w:marRight w:val="0"/>
      <w:marTop w:val="0"/>
      <w:marBottom w:val="0"/>
      <w:divBdr>
        <w:top w:val="none" w:sz="0" w:space="0" w:color="auto"/>
        <w:left w:val="none" w:sz="0" w:space="0" w:color="auto"/>
        <w:bottom w:val="none" w:sz="0" w:space="0" w:color="auto"/>
        <w:right w:val="none" w:sz="0" w:space="0" w:color="auto"/>
      </w:divBdr>
    </w:div>
    <w:div w:id="480585793">
      <w:bodyDiv w:val="1"/>
      <w:marLeft w:val="0"/>
      <w:marRight w:val="0"/>
      <w:marTop w:val="0"/>
      <w:marBottom w:val="0"/>
      <w:divBdr>
        <w:top w:val="none" w:sz="0" w:space="0" w:color="auto"/>
        <w:left w:val="none" w:sz="0" w:space="0" w:color="auto"/>
        <w:bottom w:val="none" w:sz="0" w:space="0" w:color="auto"/>
        <w:right w:val="none" w:sz="0" w:space="0" w:color="auto"/>
      </w:divBdr>
    </w:div>
    <w:div w:id="480931752">
      <w:bodyDiv w:val="1"/>
      <w:marLeft w:val="0"/>
      <w:marRight w:val="0"/>
      <w:marTop w:val="0"/>
      <w:marBottom w:val="0"/>
      <w:divBdr>
        <w:top w:val="none" w:sz="0" w:space="0" w:color="auto"/>
        <w:left w:val="none" w:sz="0" w:space="0" w:color="auto"/>
        <w:bottom w:val="none" w:sz="0" w:space="0" w:color="auto"/>
        <w:right w:val="none" w:sz="0" w:space="0" w:color="auto"/>
      </w:divBdr>
    </w:div>
    <w:div w:id="482549655">
      <w:bodyDiv w:val="1"/>
      <w:marLeft w:val="0"/>
      <w:marRight w:val="0"/>
      <w:marTop w:val="0"/>
      <w:marBottom w:val="0"/>
      <w:divBdr>
        <w:top w:val="none" w:sz="0" w:space="0" w:color="auto"/>
        <w:left w:val="none" w:sz="0" w:space="0" w:color="auto"/>
        <w:bottom w:val="none" w:sz="0" w:space="0" w:color="auto"/>
        <w:right w:val="none" w:sz="0" w:space="0" w:color="auto"/>
      </w:divBdr>
    </w:div>
    <w:div w:id="494687319">
      <w:bodyDiv w:val="1"/>
      <w:marLeft w:val="0"/>
      <w:marRight w:val="0"/>
      <w:marTop w:val="0"/>
      <w:marBottom w:val="0"/>
      <w:divBdr>
        <w:top w:val="none" w:sz="0" w:space="0" w:color="auto"/>
        <w:left w:val="none" w:sz="0" w:space="0" w:color="auto"/>
        <w:bottom w:val="none" w:sz="0" w:space="0" w:color="auto"/>
        <w:right w:val="none" w:sz="0" w:space="0" w:color="auto"/>
      </w:divBdr>
    </w:div>
    <w:div w:id="494881922">
      <w:bodyDiv w:val="1"/>
      <w:marLeft w:val="0"/>
      <w:marRight w:val="0"/>
      <w:marTop w:val="0"/>
      <w:marBottom w:val="0"/>
      <w:divBdr>
        <w:top w:val="none" w:sz="0" w:space="0" w:color="auto"/>
        <w:left w:val="none" w:sz="0" w:space="0" w:color="auto"/>
        <w:bottom w:val="none" w:sz="0" w:space="0" w:color="auto"/>
        <w:right w:val="none" w:sz="0" w:space="0" w:color="auto"/>
      </w:divBdr>
      <w:divsChild>
        <w:div w:id="169492232">
          <w:marLeft w:val="547"/>
          <w:marRight w:val="0"/>
          <w:marTop w:val="0"/>
          <w:marBottom w:val="0"/>
          <w:divBdr>
            <w:top w:val="none" w:sz="0" w:space="0" w:color="auto"/>
            <w:left w:val="none" w:sz="0" w:space="0" w:color="auto"/>
            <w:bottom w:val="none" w:sz="0" w:space="0" w:color="auto"/>
            <w:right w:val="none" w:sz="0" w:space="0" w:color="auto"/>
          </w:divBdr>
        </w:div>
      </w:divsChild>
    </w:div>
    <w:div w:id="497187985">
      <w:bodyDiv w:val="1"/>
      <w:marLeft w:val="0"/>
      <w:marRight w:val="0"/>
      <w:marTop w:val="0"/>
      <w:marBottom w:val="0"/>
      <w:divBdr>
        <w:top w:val="none" w:sz="0" w:space="0" w:color="auto"/>
        <w:left w:val="none" w:sz="0" w:space="0" w:color="auto"/>
        <w:bottom w:val="none" w:sz="0" w:space="0" w:color="auto"/>
        <w:right w:val="none" w:sz="0" w:space="0" w:color="auto"/>
      </w:divBdr>
    </w:div>
    <w:div w:id="500004503">
      <w:bodyDiv w:val="1"/>
      <w:marLeft w:val="0"/>
      <w:marRight w:val="0"/>
      <w:marTop w:val="0"/>
      <w:marBottom w:val="0"/>
      <w:divBdr>
        <w:top w:val="none" w:sz="0" w:space="0" w:color="auto"/>
        <w:left w:val="none" w:sz="0" w:space="0" w:color="auto"/>
        <w:bottom w:val="none" w:sz="0" w:space="0" w:color="auto"/>
        <w:right w:val="none" w:sz="0" w:space="0" w:color="auto"/>
      </w:divBdr>
    </w:div>
    <w:div w:id="504244018">
      <w:bodyDiv w:val="1"/>
      <w:marLeft w:val="0"/>
      <w:marRight w:val="0"/>
      <w:marTop w:val="0"/>
      <w:marBottom w:val="0"/>
      <w:divBdr>
        <w:top w:val="none" w:sz="0" w:space="0" w:color="auto"/>
        <w:left w:val="none" w:sz="0" w:space="0" w:color="auto"/>
        <w:bottom w:val="none" w:sz="0" w:space="0" w:color="auto"/>
        <w:right w:val="none" w:sz="0" w:space="0" w:color="auto"/>
      </w:divBdr>
    </w:div>
    <w:div w:id="506794417">
      <w:bodyDiv w:val="1"/>
      <w:marLeft w:val="0"/>
      <w:marRight w:val="0"/>
      <w:marTop w:val="0"/>
      <w:marBottom w:val="0"/>
      <w:divBdr>
        <w:top w:val="none" w:sz="0" w:space="0" w:color="auto"/>
        <w:left w:val="none" w:sz="0" w:space="0" w:color="auto"/>
        <w:bottom w:val="none" w:sz="0" w:space="0" w:color="auto"/>
        <w:right w:val="none" w:sz="0" w:space="0" w:color="auto"/>
      </w:divBdr>
    </w:div>
    <w:div w:id="507792386">
      <w:bodyDiv w:val="1"/>
      <w:marLeft w:val="0"/>
      <w:marRight w:val="0"/>
      <w:marTop w:val="0"/>
      <w:marBottom w:val="0"/>
      <w:divBdr>
        <w:top w:val="none" w:sz="0" w:space="0" w:color="auto"/>
        <w:left w:val="none" w:sz="0" w:space="0" w:color="auto"/>
        <w:bottom w:val="none" w:sz="0" w:space="0" w:color="auto"/>
        <w:right w:val="none" w:sz="0" w:space="0" w:color="auto"/>
      </w:divBdr>
    </w:div>
    <w:div w:id="511922048">
      <w:bodyDiv w:val="1"/>
      <w:marLeft w:val="0"/>
      <w:marRight w:val="0"/>
      <w:marTop w:val="0"/>
      <w:marBottom w:val="0"/>
      <w:divBdr>
        <w:top w:val="none" w:sz="0" w:space="0" w:color="auto"/>
        <w:left w:val="none" w:sz="0" w:space="0" w:color="auto"/>
        <w:bottom w:val="none" w:sz="0" w:space="0" w:color="auto"/>
        <w:right w:val="none" w:sz="0" w:space="0" w:color="auto"/>
      </w:divBdr>
    </w:div>
    <w:div w:id="513229440">
      <w:bodyDiv w:val="1"/>
      <w:marLeft w:val="0"/>
      <w:marRight w:val="0"/>
      <w:marTop w:val="0"/>
      <w:marBottom w:val="0"/>
      <w:divBdr>
        <w:top w:val="none" w:sz="0" w:space="0" w:color="auto"/>
        <w:left w:val="none" w:sz="0" w:space="0" w:color="auto"/>
        <w:bottom w:val="none" w:sz="0" w:space="0" w:color="auto"/>
        <w:right w:val="none" w:sz="0" w:space="0" w:color="auto"/>
      </w:divBdr>
    </w:div>
    <w:div w:id="515388716">
      <w:bodyDiv w:val="1"/>
      <w:marLeft w:val="0"/>
      <w:marRight w:val="0"/>
      <w:marTop w:val="0"/>
      <w:marBottom w:val="0"/>
      <w:divBdr>
        <w:top w:val="none" w:sz="0" w:space="0" w:color="auto"/>
        <w:left w:val="none" w:sz="0" w:space="0" w:color="auto"/>
        <w:bottom w:val="none" w:sz="0" w:space="0" w:color="auto"/>
        <w:right w:val="none" w:sz="0" w:space="0" w:color="auto"/>
      </w:divBdr>
    </w:div>
    <w:div w:id="518201432">
      <w:bodyDiv w:val="1"/>
      <w:marLeft w:val="0"/>
      <w:marRight w:val="0"/>
      <w:marTop w:val="0"/>
      <w:marBottom w:val="0"/>
      <w:divBdr>
        <w:top w:val="none" w:sz="0" w:space="0" w:color="auto"/>
        <w:left w:val="none" w:sz="0" w:space="0" w:color="auto"/>
        <w:bottom w:val="none" w:sz="0" w:space="0" w:color="auto"/>
        <w:right w:val="none" w:sz="0" w:space="0" w:color="auto"/>
      </w:divBdr>
    </w:div>
    <w:div w:id="521482341">
      <w:bodyDiv w:val="1"/>
      <w:marLeft w:val="0"/>
      <w:marRight w:val="0"/>
      <w:marTop w:val="0"/>
      <w:marBottom w:val="0"/>
      <w:divBdr>
        <w:top w:val="none" w:sz="0" w:space="0" w:color="auto"/>
        <w:left w:val="none" w:sz="0" w:space="0" w:color="auto"/>
        <w:bottom w:val="none" w:sz="0" w:space="0" w:color="auto"/>
        <w:right w:val="none" w:sz="0" w:space="0" w:color="auto"/>
      </w:divBdr>
    </w:div>
    <w:div w:id="526219482">
      <w:bodyDiv w:val="1"/>
      <w:marLeft w:val="0"/>
      <w:marRight w:val="0"/>
      <w:marTop w:val="0"/>
      <w:marBottom w:val="0"/>
      <w:divBdr>
        <w:top w:val="none" w:sz="0" w:space="0" w:color="auto"/>
        <w:left w:val="none" w:sz="0" w:space="0" w:color="auto"/>
        <w:bottom w:val="none" w:sz="0" w:space="0" w:color="auto"/>
        <w:right w:val="none" w:sz="0" w:space="0" w:color="auto"/>
      </w:divBdr>
    </w:div>
    <w:div w:id="528180774">
      <w:bodyDiv w:val="1"/>
      <w:marLeft w:val="0"/>
      <w:marRight w:val="0"/>
      <w:marTop w:val="0"/>
      <w:marBottom w:val="0"/>
      <w:divBdr>
        <w:top w:val="none" w:sz="0" w:space="0" w:color="auto"/>
        <w:left w:val="none" w:sz="0" w:space="0" w:color="auto"/>
        <w:bottom w:val="none" w:sz="0" w:space="0" w:color="auto"/>
        <w:right w:val="none" w:sz="0" w:space="0" w:color="auto"/>
      </w:divBdr>
    </w:div>
    <w:div w:id="528645121">
      <w:bodyDiv w:val="1"/>
      <w:marLeft w:val="0"/>
      <w:marRight w:val="0"/>
      <w:marTop w:val="0"/>
      <w:marBottom w:val="0"/>
      <w:divBdr>
        <w:top w:val="none" w:sz="0" w:space="0" w:color="auto"/>
        <w:left w:val="none" w:sz="0" w:space="0" w:color="auto"/>
        <w:bottom w:val="none" w:sz="0" w:space="0" w:color="auto"/>
        <w:right w:val="none" w:sz="0" w:space="0" w:color="auto"/>
      </w:divBdr>
    </w:div>
    <w:div w:id="532302574">
      <w:bodyDiv w:val="1"/>
      <w:marLeft w:val="0"/>
      <w:marRight w:val="0"/>
      <w:marTop w:val="0"/>
      <w:marBottom w:val="0"/>
      <w:divBdr>
        <w:top w:val="none" w:sz="0" w:space="0" w:color="auto"/>
        <w:left w:val="none" w:sz="0" w:space="0" w:color="auto"/>
        <w:bottom w:val="none" w:sz="0" w:space="0" w:color="auto"/>
        <w:right w:val="none" w:sz="0" w:space="0" w:color="auto"/>
      </w:divBdr>
    </w:div>
    <w:div w:id="532769809">
      <w:bodyDiv w:val="1"/>
      <w:marLeft w:val="0"/>
      <w:marRight w:val="0"/>
      <w:marTop w:val="0"/>
      <w:marBottom w:val="0"/>
      <w:divBdr>
        <w:top w:val="none" w:sz="0" w:space="0" w:color="auto"/>
        <w:left w:val="none" w:sz="0" w:space="0" w:color="auto"/>
        <w:bottom w:val="none" w:sz="0" w:space="0" w:color="auto"/>
        <w:right w:val="none" w:sz="0" w:space="0" w:color="auto"/>
      </w:divBdr>
      <w:divsChild>
        <w:div w:id="252444900">
          <w:marLeft w:val="0"/>
          <w:marRight w:val="0"/>
          <w:marTop w:val="0"/>
          <w:marBottom w:val="0"/>
          <w:divBdr>
            <w:top w:val="none" w:sz="0" w:space="0" w:color="auto"/>
            <w:left w:val="none" w:sz="0" w:space="0" w:color="auto"/>
            <w:bottom w:val="none" w:sz="0" w:space="0" w:color="auto"/>
            <w:right w:val="none" w:sz="0" w:space="0" w:color="auto"/>
          </w:divBdr>
        </w:div>
      </w:divsChild>
    </w:div>
    <w:div w:id="535194344">
      <w:bodyDiv w:val="1"/>
      <w:marLeft w:val="0"/>
      <w:marRight w:val="0"/>
      <w:marTop w:val="0"/>
      <w:marBottom w:val="0"/>
      <w:divBdr>
        <w:top w:val="none" w:sz="0" w:space="0" w:color="auto"/>
        <w:left w:val="none" w:sz="0" w:space="0" w:color="auto"/>
        <w:bottom w:val="none" w:sz="0" w:space="0" w:color="auto"/>
        <w:right w:val="none" w:sz="0" w:space="0" w:color="auto"/>
      </w:divBdr>
    </w:div>
    <w:div w:id="536435247">
      <w:bodyDiv w:val="1"/>
      <w:marLeft w:val="0"/>
      <w:marRight w:val="0"/>
      <w:marTop w:val="0"/>
      <w:marBottom w:val="0"/>
      <w:divBdr>
        <w:top w:val="none" w:sz="0" w:space="0" w:color="auto"/>
        <w:left w:val="none" w:sz="0" w:space="0" w:color="auto"/>
        <w:bottom w:val="none" w:sz="0" w:space="0" w:color="auto"/>
        <w:right w:val="none" w:sz="0" w:space="0" w:color="auto"/>
      </w:divBdr>
      <w:divsChild>
        <w:div w:id="2085564615">
          <w:marLeft w:val="0"/>
          <w:marRight w:val="0"/>
          <w:marTop w:val="0"/>
          <w:marBottom w:val="0"/>
          <w:divBdr>
            <w:top w:val="none" w:sz="0" w:space="0" w:color="auto"/>
            <w:left w:val="none" w:sz="0" w:space="0" w:color="auto"/>
            <w:bottom w:val="none" w:sz="0" w:space="0" w:color="auto"/>
            <w:right w:val="none" w:sz="0" w:space="0" w:color="auto"/>
          </w:divBdr>
        </w:div>
      </w:divsChild>
    </w:div>
    <w:div w:id="538857476">
      <w:bodyDiv w:val="1"/>
      <w:marLeft w:val="0"/>
      <w:marRight w:val="0"/>
      <w:marTop w:val="0"/>
      <w:marBottom w:val="0"/>
      <w:divBdr>
        <w:top w:val="none" w:sz="0" w:space="0" w:color="auto"/>
        <w:left w:val="none" w:sz="0" w:space="0" w:color="auto"/>
        <w:bottom w:val="none" w:sz="0" w:space="0" w:color="auto"/>
        <w:right w:val="none" w:sz="0" w:space="0" w:color="auto"/>
      </w:divBdr>
    </w:div>
    <w:div w:id="539709808">
      <w:bodyDiv w:val="1"/>
      <w:marLeft w:val="0"/>
      <w:marRight w:val="0"/>
      <w:marTop w:val="0"/>
      <w:marBottom w:val="0"/>
      <w:divBdr>
        <w:top w:val="none" w:sz="0" w:space="0" w:color="auto"/>
        <w:left w:val="none" w:sz="0" w:space="0" w:color="auto"/>
        <w:bottom w:val="none" w:sz="0" w:space="0" w:color="auto"/>
        <w:right w:val="none" w:sz="0" w:space="0" w:color="auto"/>
      </w:divBdr>
    </w:div>
    <w:div w:id="540167772">
      <w:bodyDiv w:val="1"/>
      <w:marLeft w:val="0"/>
      <w:marRight w:val="0"/>
      <w:marTop w:val="0"/>
      <w:marBottom w:val="0"/>
      <w:divBdr>
        <w:top w:val="none" w:sz="0" w:space="0" w:color="auto"/>
        <w:left w:val="none" w:sz="0" w:space="0" w:color="auto"/>
        <w:bottom w:val="none" w:sz="0" w:space="0" w:color="auto"/>
        <w:right w:val="none" w:sz="0" w:space="0" w:color="auto"/>
      </w:divBdr>
    </w:div>
    <w:div w:id="541789263">
      <w:bodyDiv w:val="1"/>
      <w:marLeft w:val="0"/>
      <w:marRight w:val="0"/>
      <w:marTop w:val="0"/>
      <w:marBottom w:val="0"/>
      <w:divBdr>
        <w:top w:val="none" w:sz="0" w:space="0" w:color="auto"/>
        <w:left w:val="none" w:sz="0" w:space="0" w:color="auto"/>
        <w:bottom w:val="none" w:sz="0" w:space="0" w:color="auto"/>
        <w:right w:val="none" w:sz="0" w:space="0" w:color="auto"/>
      </w:divBdr>
    </w:div>
    <w:div w:id="547255053">
      <w:bodyDiv w:val="1"/>
      <w:marLeft w:val="0"/>
      <w:marRight w:val="0"/>
      <w:marTop w:val="0"/>
      <w:marBottom w:val="0"/>
      <w:divBdr>
        <w:top w:val="none" w:sz="0" w:space="0" w:color="auto"/>
        <w:left w:val="none" w:sz="0" w:space="0" w:color="auto"/>
        <w:bottom w:val="none" w:sz="0" w:space="0" w:color="auto"/>
        <w:right w:val="none" w:sz="0" w:space="0" w:color="auto"/>
      </w:divBdr>
    </w:div>
    <w:div w:id="548996744">
      <w:bodyDiv w:val="1"/>
      <w:marLeft w:val="0"/>
      <w:marRight w:val="0"/>
      <w:marTop w:val="0"/>
      <w:marBottom w:val="0"/>
      <w:divBdr>
        <w:top w:val="none" w:sz="0" w:space="0" w:color="auto"/>
        <w:left w:val="none" w:sz="0" w:space="0" w:color="auto"/>
        <w:bottom w:val="none" w:sz="0" w:space="0" w:color="auto"/>
        <w:right w:val="none" w:sz="0" w:space="0" w:color="auto"/>
      </w:divBdr>
    </w:div>
    <w:div w:id="557130776">
      <w:bodyDiv w:val="1"/>
      <w:marLeft w:val="0"/>
      <w:marRight w:val="0"/>
      <w:marTop w:val="0"/>
      <w:marBottom w:val="0"/>
      <w:divBdr>
        <w:top w:val="none" w:sz="0" w:space="0" w:color="auto"/>
        <w:left w:val="none" w:sz="0" w:space="0" w:color="auto"/>
        <w:bottom w:val="none" w:sz="0" w:space="0" w:color="auto"/>
        <w:right w:val="none" w:sz="0" w:space="0" w:color="auto"/>
      </w:divBdr>
    </w:div>
    <w:div w:id="561645589">
      <w:bodyDiv w:val="1"/>
      <w:marLeft w:val="0"/>
      <w:marRight w:val="0"/>
      <w:marTop w:val="0"/>
      <w:marBottom w:val="0"/>
      <w:divBdr>
        <w:top w:val="none" w:sz="0" w:space="0" w:color="auto"/>
        <w:left w:val="none" w:sz="0" w:space="0" w:color="auto"/>
        <w:bottom w:val="none" w:sz="0" w:space="0" w:color="auto"/>
        <w:right w:val="none" w:sz="0" w:space="0" w:color="auto"/>
      </w:divBdr>
    </w:div>
    <w:div w:id="563219894">
      <w:bodyDiv w:val="1"/>
      <w:marLeft w:val="0"/>
      <w:marRight w:val="0"/>
      <w:marTop w:val="0"/>
      <w:marBottom w:val="0"/>
      <w:divBdr>
        <w:top w:val="none" w:sz="0" w:space="0" w:color="auto"/>
        <w:left w:val="none" w:sz="0" w:space="0" w:color="auto"/>
        <w:bottom w:val="none" w:sz="0" w:space="0" w:color="auto"/>
        <w:right w:val="none" w:sz="0" w:space="0" w:color="auto"/>
      </w:divBdr>
    </w:div>
    <w:div w:id="564218151">
      <w:bodyDiv w:val="1"/>
      <w:marLeft w:val="0"/>
      <w:marRight w:val="0"/>
      <w:marTop w:val="0"/>
      <w:marBottom w:val="0"/>
      <w:divBdr>
        <w:top w:val="none" w:sz="0" w:space="0" w:color="auto"/>
        <w:left w:val="none" w:sz="0" w:space="0" w:color="auto"/>
        <w:bottom w:val="none" w:sz="0" w:space="0" w:color="auto"/>
        <w:right w:val="none" w:sz="0" w:space="0" w:color="auto"/>
      </w:divBdr>
    </w:div>
    <w:div w:id="567032345">
      <w:bodyDiv w:val="1"/>
      <w:marLeft w:val="0"/>
      <w:marRight w:val="0"/>
      <w:marTop w:val="0"/>
      <w:marBottom w:val="0"/>
      <w:divBdr>
        <w:top w:val="none" w:sz="0" w:space="0" w:color="auto"/>
        <w:left w:val="none" w:sz="0" w:space="0" w:color="auto"/>
        <w:bottom w:val="none" w:sz="0" w:space="0" w:color="auto"/>
        <w:right w:val="none" w:sz="0" w:space="0" w:color="auto"/>
      </w:divBdr>
    </w:div>
    <w:div w:id="579216301">
      <w:bodyDiv w:val="1"/>
      <w:marLeft w:val="0"/>
      <w:marRight w:val="0"/>
      <w:marTop w:val="0"/>
      <w:marBottom w:val="0"/>
      <w:divBdr>
        <w:top w:val="none" w:sz="0" w:space="0" w:color="auto"/>
        <w:left w:val="none" w:sz="0" w:space="0" w:color="auto"/>
        <w:bottom w:val="none" w:sz="0" w:space="0" w:color="auto"/>
        <w:right w:val="none" w:sz="0" w:space="0" w:color="auto"/>
      </w:divBdr>
    </w:div>
    <w:div w:id="579799352">
      <w:bodyDiv w:val="1"/>
      <w:marLeft w:val="0"/>
      <w:marRight w:val="0"/>
      <w:marTop w:val="0"/>
      <w:marBottom w:val="0"/>
      <w:divBdr>
        <w:top w:val="none" w:sz="0" w:space="0" w:color="auto"/>
        <w:left w:val="none" w:sz="0" w:space="0" w:color="auto"/>
        <w:bottom w:val="none" w:sz="0" w:space="0" w:color="auto"/>
        <w:right w:val="none" w:sz="0" w:space="0" w:color="auto"/>
      </w:divBdr>
    </w:div>
    <w:div w:id="581990420">
      <w:bodyDiv w:val="1"/>
      <w:marLeft w:val="0"/>
      <w:marRight w:val="0"/>
      <w:marTop w:val="0"/>
      <w:marBottom w:val="0"/>
      <w:divBdr>
        <w:top w:val="none" w:sz="0" w:space="0" w:color="auto"/>
        <w:left w:val="none" w:sz="0" w:space="0" w:color="auto"/>
        <w:bottom w:val="none" w:sz="0" w:space="0" w:color="auto"/>
        <w:right w:val="none" w:sz="0" w:space="0" w:color="auto"/>
      </w:divBdr>
    </w:div>
    <w:div w:id="583420808">
      <w:bodyDiv w:val="1"/>
      <w:marLeft w:val="0"/>
      <w:marRight w:val="0"/>
      <w:marTop w:val="0"/>
      <w:marBottom w:val="0"/>
      <w:divBdr>
        <w:top w:val="none" w:sz="0" w:space="0" w:color="auto"/>
        <w:left w:val="none" w:sz="0" w:space="0" w:color="auto"/>
        <w:bottom w:val="none" w:sz="0" w:space="0" w:color="auto"/>
        <w:right w:val="none" w:sz="0" w:space="0" w:color="auto"/>
      </w:divBdr>
    </w:div>
    <w:div w:id="585924288">
      <w:bodyDiv w:val="1"/>
      <w:marLeft w:val="0"/>
      <w:marRight w:val="0"/>
      <w:marTop w:val="0"/>
      <w:marBottom w:val="0"/>
      <w:divBdr>
        <w:top w:val="none" w:sz="0" w:space="0" w:color="auto"/>
        <w:left w:val="none" w:sz="0" w:space="0" w:color="auto"/>
        <w:bottom w:val="none" w:sz="0" w:space="0" w:color="auto"/>
        <w:right w:val="none" w:sz="0" w:space="0" w:color="auto"/>
      </w:divBdr>
    </w:div>
    <w:div w:id="590744029">
      <w:bodyDiv w:val="1"/>
      <w:marLeft w:val="0"/>
      <w:marRight w:val="0"/>
      <w:marTop w:val="0"/>
      <w:marBottom w:val="0"/>
      <w:divBdr>
        <w:top w:val="none" w:sz="0" w:space="0" w:color="auto"/>
        <w:left w:val="none" w:sz="0" w:space="0" w:color="auto"/>
        <w:bottom w:val="none" w:sz="0" w:space="0" w:color="auto"/>
        <w:right w:val="none" w:sz="0" w:space="0" w:color="auto"/>
      </w:divBdr>
    </w:div>
    <w:div w:id="593786478">
      <w:bodyDiv w:val="1"/>
      <w:marLeft w:val="0"/>
      <w:marRight w:val="0"/>
      <w:marTop w:val="0"/>
      <w:marBottom w:val="0"/>
      <w:divBdr>
        <w:top w:val="none" w:sz="0" w:space="0" w:color="auto"/>
        <w:left w:val="none" w:sz="0" w:space="0" w:color="auto"/>
        <w:bottom w:val="none" w:sz="0" w:space="0" w:color="auto"/>
        <w:right w:val="none" w:sz="0" w:space="0" w:color="auto"/>
      </w:divBdr>
    </w:div>
    <w:div w:id="598220680">
      <w:bodyDiv w:val="1"/>
      <w:marLeft w:val="0"/>
      <w:marRight w:val="0"/>
      <w:marTop w:val="0"/>
      <w:marBottom w:val="0"/>
      <w:divBdr>
        <w:top w:val="none" w:sz="0" w:space="0" w:color="auto"/>
        <w:left w:val="none" w:sz="0" w:space="0" w:color="auto"/>
        <w:bottom w:val="none" w:sz="0" w:space="0" w:color="auto"/>
        <w:right w:val="none" w:sz="0" w:space="0" w:color="auto"/>
      </w:divBdr>
    </w:div>
    <w:div w:id="599413023">
      <w:bodyDiv w:val="1"/>
      <w:marLeft w:val="0"/>
      <w:marRight w:val="0"/>
      <w:marTop w:val="0"/>
      <w:marBottom w:val="0"/>
      <w:divBdr>
        <w:top w:val="none" w:sz="0" w:space="0" w:color="auto"/>
        <w:left w:val="none" w:sz="0" w:space="0" w:color="auto"/>
        <w:bottom w:val="none" w:sz="0" w:space="0" w:color="auto"/>
        <w:right w:val="none" w:sz="0" w:space="0" w:color="auto"/>
      </w:divBdr>
    </w:div>
    <w:div w:id="600720365">
      <w:bodyDiv w:val="1"/>
      <w:marLeft w:val="0"/>
      <w:marRight w:val="0"/>
      <w:marTop w:val="0"/>
      <w:marBottom w:val="0"/>
      <w:divBdr>
        <w:top w:val="none" w:sz="0" w:space="0" w:color="auto"/>
        <w:left w:val="none" w:sz="0" w:space="0" w:color="auto"/>
        <w:bottom w:val="none" w:sz="0" w:space="0" w:color="auto"/>
        <w:right w:val="none" w:sz="0" w:space="0" w:color="auto"/>
      </w:divBdr>
    </w:div>
    <w:div w:id="609124157">
      <w:bodyDiv w:val="1"/>
      <w:marLeft w:val="0"/>
      <w:marRight w:val="0"/>
      <w:marTop w:val="0"/>
      <w:marBottom w:val="0"/>
      <w:divBdr>
        <w:top w:val="none" w:sz="0" w:space="0" w:color="auto"/>
        <w:left w:val="none" w:sz="0" w:space="0" w:color="auto"/>
        <w:bottom w:val="none" w:sz="0" w:space="0" w:color="auto"/>
        <w:right w:val="none" w:sz="0" w:space="0" w:color="auto"/>
      </w:divBdr>
    </w:div>
    <w:div w:id="611667942">
      <w:bodyDiv w:val="1"/>
      <w:marLeft w:val="0"/>
      <w:marRight w:val="0"/>
      <w:marTop w:val="0"/>
      <w:marBottom w:val="0"/>
      <w:divBdr>
        <w:top w:val="none" w:sz="0" w:space="0" w:color="auto"/>
        <w:left w:val="none" w:sz="0" w:space="0" w:color="auto"/>
        <w:bottom w:val="none" w:sz="0" w:space="0" w:color="auto"/>
        <w:right w:val="none" w:sz="0" w:space="0" w:color="auto"/>
      </w:divBdr>
    </w:div>
    <w:div w:id="612565060">
      <w:bodyDiv w:val="1"/>
      <w:marLeft w:val="0"/>
      <w:marRight w:val="0"/>
      <w:marTop w:val="0"/>
      <w:marBottom w:val="0"/>
      <w:divBdr>
        <w:top w:val="none" w:sz="0" w:space="0" w:color="auto"/>
        <w:left w:val="none" w:sz="0" w:space="0" w:color="auto"/>
        <w:bottom w:val="none" w:sz="0" w:space="0" w:color="auto"/>
        <w:right w:val="none" w:sz="0" w:space="0" w:color="auto"/>
      </w:divBdr>
    </w:div>
    <w:div w:id="615256875">
      <w:bodyDiv w:val="1"/>
      <w:marLeft w:val="0"/>
      <w:marRight w:val="0"/>
      <w:marTop w:val="0"/>
      <w:marBottom w:val="0"/>
      <w:divBdr>
        <w:top w:val="none" w:sz="0" w:space="0" w:color="auto"/>
        <w:left w:val="none" w:sz="0" w:space="0" w:color="auto"/>
        <w:bottom w:val="none" w:sz="0" w:space="0" w:color="auto"/>
        <w:right w:val="none" w:sz="0" w:space="0" w:color="auto"/>
      </w:divBdr>
    </w:div>
    <w:div w:id="619923570">
      <w:bodyDiv w:val="1"/>
      <w:marLeft w:val="0"/>
      <w:marRight w:val="0"/>
      <w:marTop w:val="0"/>
      <w:marBottom w:val="0"/>
      <w:divBdr>
        <w:top w:val="none" w:sz="0" w:space="0" w:color="auto"/>
        <w:left w:val="none" w:sz="0" w:space="0" w:color="auto"/>
        <w:bottom w:val="none" w:sz="0" w:space="0" w:color="auto"/>
        <w:right w:val="none" w:sz="0" w:space="0" w:color="auto"/>
      </w:divBdr>
    </w:div>
    <w:div w:id="622614582">
      <w:bodyDiv w:val="1"/>
      <w:marLeft w:val="0"/>
      <w:marRight w:val="0"/>
      <w:marTop w:val="0"/>
      <w:marBottom w:val="0"/>
      <w:divBdr>
        <w:top w:val="none" w:sz="0" w:space="0" w:color="auto"/>
        <w:left w:val="none" w:sz="0" w:space="0" w:color="auto"/>
        <w:bottom w:val="none" w:sz="0" w:space="0" w:color="auto"/>
        <w:right w:val="none" w:sz="0" w:space="0" w:color="auto"/>
      </w:divBdr>
    </w:div>
    <w:div w:id="626663680">
      <w:bodyDiv w:val="1"/>
      <w:marLeft w:val="0"/>
      <w:marRight w:val="0"/>
      <w:marTop w:val="0"/>
      <w:marBottom w:val="0"/>
      <w:divBdr>
        <w:top w:val="none" w:sz="0" w:space="0" w:color="auto"/>
        <w:left w:val="none" w:sz="0" w:space="0" w:color="auto"/>
        <w:bottom w:val="none" w:sz="0" w:space="0" w:color="auto"/>
        <w:right w:val="none" w:sz="0" w:space="0" w:color="auto"/>
      </w:divBdr>
    </w:div>
    <w:div w:id="632373691">
      <w:bodyDiv w:val="1"/>
      <w:marLeft w:val="0"/>
      <w:marRight w:val="0"/>
      <w:marTop w:val="0"/>
      <w:marBottom w:val="0"/>
      <w:divBdr>
        <w:top w:val="none" w:sz="0" w:space="0" w:color="auto"/>
        <w:left w:val="none" w:sz="0" w:space="0" w:color="auto"/>
        <w:bottom w:val="none" w:sz="0" w:space="0" w:color="auto"/>
        <w:right w:val="none" w:sz="0" w:space="0" w:color="auto"/>
      </w:divBdr>
    </w:div>
    <w:div w:id="647247361">
      <w:bodyDiv w:val="1"/>
      <w:marLeft w:val="0"/>
      <w:marRight w:val="0"/>
      <w:marTop w:val="0"/>
      <w:marBottom w:val="0"/>
      <w:divBdr>
        <w:top w:val="none" w:sz="0" w:space="0" w:color="auto"/>
        <w:left w:val="none" w:sz="0" w:space="0" w:color="auto"/>
        <w:bottom w:val="none" w:sz="0" w:space="0" w:color="auto"/>
        <w:right w:val="none" w:sz="0" w:space="0" w:color="auto"/>
      </w:divBdr>
    </w:div>
    <w:div w:id="649211880">
      <w:bodyDiv w:val="1"/>
      <w:marLeft w:val="0"/>
      <w:marRight w:val="0"/>
      <w:marTop w:val="0"/>
      <w:marBottom w:val="0"/>
      <w:divBdr>
        <w:top w:val="none" w:sz="0" w:space="0" w:color="auto"/>
        <w:left w:val="none" w:sz="0" w:space="0" w:color="auto"/>
        <w:bottom w:val="none" w:sz="0" w:space="0" w:color="auto"/>
        <w:right w:val="none" w:sz="0" w:space="0" w:color="auto"/>
      </w:divBdr>
    </w:div>
    <w:div w:id="653949181">
      <w:bodyDiv w:val="1"/>
      <w:marLeft w:val="0"/>
      <w:marRight w:val="0"/>
      <w:marTop w:val="0"/>
      <w:marBottom w:val="0"/>
      <w:divBdr>
        <w:top w:val="none" w:sz="0" w:space="0" w:color="auto"/>
        <w:left w:val="none" w:sz="0" w:space="0" w:color="auto"/>
        <w:bottom w:val="none" w:sz="0" w:space="0" w:color="auto"/>
        <w:right w:val="none" w:sz="0" w:space="0" w:color="auto"/>
      </w:divBdr>
    </w:div>
    <w:div w:id="657271307">
      <w:bodyDiv w:val="1"/>
      <w:marLeft w:val="0"/>
      <w:marRight w:val="0"/>
      <w:marTop w:val="0"/>
      <w:marBottom w:val="0"/>
      <w:divBdr>
        <w:top w:val="none" w:sz="0" w:space="0" w:color="auto"/>
        <w:left w:val="none" w:sz="0" w:space="0" w:color="auto"/>
        <w:bottom w:val="none" w:sz="0" w:space="0" w:color="auto"/>
        <w:right w:val="none" w:sz="0" w:space="0" w:color="auto"/>
      </w:divBdr>
    </w:div>
    <w:div w:id="657423158">
      <w:bodyDiv w:val="1"/>
      <w:marLeft w:val="0"/>
      <w:marRight w:val="0"/>
      <w:marTop w:val="0"/>
      <w:marBottom w:val="0"/>
      <w:divBdr>
        <w:top w:val="none" w:sz="0" w:space="0" w:color="auto"/>
        <w:left w:val="none" w:sz="0" w:space="0" w:color="auto"/>
        <w:bottom w:val="none" w:sz="0" w:space="0" w:color="auto"/>
        <w:right w:val="none" w:sz="0" w:space="0" w:color="auto"/>
      </w:divBdr>
    </w:div>
    <w:div w:id="675959356">
      <w:bodyDiv w:val="1"/>
      <w:marLeft w:val="0"/>
      <w:marRight w:val="0"/>
      <w:marTop w:val="0"/>
      <w:marBottom w:val="0"/>
      <w:divBdr>
        <w:top w:val="none" w:sz="0" w:space="0" w:color="auto"/>
        <w:left w:val="none" w:sz="0" w:space="0" w:color="auto"/>
        <w:bottom w:val="none" w:sz="0" w:space="0" w:color="auto"/>
        <w:right w:val="none" w:sz="0" w:space="0" w:color="auto"/>
      </w:divBdr>
    </w:div>
    <w:div w:id="678966374">
      <w:bodyDiv w:val="1"/>
      <w:marLeft w:val="0"/>
      <w:marRight w:val="0"/>
      <w:marTop w:val="0"/>
      <w:marBottom w:val="0"/>
      <w:divBdr>
        <w:top w:val="none" w:sz="0" w:space="0" w:color="auto"/>
        <w:left w:val="none" w:sz="0" w:space="0" w:color="auto"/>
        <w:bottom w:val="none" w:sz="0" w:space="0" w:color="auto"/>
        <w:right w:val="none" w:sz="0" w:space="0" w:color="auto"/>
      </w:divBdr>
    </w:div>
    <w:div w:id="681661706">
      <w:bodyDiv w:val="1"/>
      <w:marLeft w:val="0"/>
      <w:marRight w:val="0"/>
      <w:marTop w:val="0"/>
      <w:marBottom w:val="0"/>
      <w:divBdr>
        <w:top w:val="none" w:sz="0" w:space="0" w:color="auto"/>
        <w:left w:val="none" w:sz="0" w:space="0" w:color="auto"/>
        <w:bottom w:val="none" w:sz="0" w:space="0" w:color="auto"/>
        <w:right w:val="none" w:sz="0" w:space="0" w:color="auto"/>
      </w:divBdr>
    </w:div>
    <w:div w:id="682441921">
      <w:bodyDiv w:val="1"/>
      <w:marLeft w:val="0"/>
      <w:marRight w:val="0"/>
      <w:marTop w:val="0"/>
      <w:marBottom w:val="0"/>
      <w:divBdr>
        <w:top w:val="none" w:sz="0" w:space="0" w:color="auto"/>
        <w:left w:val="none" w:sz="0" w:space="0" w:color="auto"/>
        <w:bottom w:val="none" w:sz="0" w:space="0" w:color="auto"/>
        <w:right w:val="none" w:sz="0" w:space="0" w:color="auto"/>
      </w:divBdr>
    </w:div>
    <w:div w:id="684013909">
      <w:bodyDiv w:val="1"/>
      <w:marLeft w:val="0"/>
      <w:marRight w:val="0"/>
      <w:marTop w:val="0"/>
      <w:marBottom w:val="0"/>
      <w:divBdr>
        <w:top w:val="none" w:sz="0" w:space="0" w:color="auto"/>
        <w:left w:val="none" w:sz="0" w:space="0" w:color="auto"/>
        <w:bottom w:val="none" w:sz="0" w:space="0" w:color="auto"/>
        <w:right w:val="none" w:sz="0" w:space="0" w:color="auto"/>
      </w:divBdr>
    </w:div>
    <w:div w:id="684593876">
      <w:bodyDiv w:val="1"/>
      <w:marLeft w:val="0"/>
      <w:marRight w:val="0"/>
      <w:marTop w:val="0"/>
      <w:marBottom w:val="0"/>
      <w:divBdr>
        <w:top w:val="none" w:sz="0" w:space="0" w:color="auto"/>
        <w:left w:val="none" w:sz="0" w:space="0" w:color="auto"/>
        <w:bottom w:val="none" w:sz="0" w:space="0" w:color="auto"/>
        <w:right w:val="none" w:sz="0" w:space="0" w:color="auto"/>
      </w:divBdr>
    </w:div>
    <w:div w:id="689644090">
      <w:bodyDiv w:val="1"/>
      <w:marLeft w:val="0"/>
      <w:marRight w:val="0"/>
      <w:marTop w:val="0"/>
      <w:marBottom w:val="0"/>
      <w:divBdr>
        <w:top w:val="none" w:sz="0" w:space="0" w:color="auto"/>
        <w:left w:val="none" w:sz="0" w:space="0" w:color="auto"/>
        <w:bottom w:val="none" w:sz="0" w:space="0" w:color="auto"/>
        <w:right w:val="none" w:sz="0" w:space="0" w:color="auto"/>
      </w:divBdr>
    </w:div>
    <w:div w:id="690297710">
      <w:bodyDiv w:val="1"/>
      <w:marLeft w:val="0"/>
      <w:marRight w:val="0"/>
      <w:marTop w:val="0"/>
      <w:marBottom w:val="0"/>
      <w:divBdr>
        <w:top w:val="none" w:sz="0" w:space="0" w:color="auto"/>
        <w:left w:val="none" w:sz="0" w:space="0" w:color="auto"/>
        <w:bottom w:val="none" w:sz="0" w:space="0" w:color="auto"/>
        <w:right w:val="none" w:sz="0" w:space="0" w:color="auto"/>
      </w:divBdr>
    </w:div>
    <w:div w:id="699666721">
      <w:bodyDiv w:val="1"/>
      <w:marLeft w:val="0"/>
      <w:marRight w:val="0"/>
      <w:marTop w:val="0"/>
      <w:marBottom w:val="0"/>
      <w:divBdr>
        <w:top w:val="none" w:sz="0" w:space="0" w:color="auto"/>
        <w:left w:val="none" w:sz="0" w:space="0" w:color="auto"/>
        <w:bottom w:val="none" w:sz="0" w:space="0" w:color="auto"/>
        <w:right w:val="none" w:sz="0" w:space="0" w:color="auto"/>
      </w:divBdr>
    </w:div>
    <w:div w:id="700864842">
      <w:bodyDiv w:val="1"/>
      <w:marLeft w:val="0"/>
      <w:marRight w:val="0"/>
      <w:marTop w:val="0"/>
      <w:marBottom w:val="0"/>
      <w:divBdr>
        <w:top w:val="none" w:sz="0" w:space="0" w:color="auto"/>
        <w:left w:val="none" w:sz="0" w:space="0" w:color="auto"/>
        <w:bottom w:val="none" w:sz="0" w:space="0" w:color="auto"/>
        <w:right w:val="none" w:sz="0" w:space="0" w:color="auto"/>
      </w:divBdr>
    </w:div>
    <w:div w:id="703141641">
      <w:bodyDiv w:val="1"/>
      <w:marLeft w:val="0"/>
      <w:marRight w:val="0"/>
      <w:marTop w:val="0"/>
      <w:marBottom w:val="0"/>
      <w:divBdr>
        <w:top w:val="none" w:sz="0" w:space="0" w:color="auto"/>
        <w:left w:val="none" w:sz="0" w:space="0" w:color="auto"/>
        <w:bottom w:val="none" w:sz="0" w:space="0" w:color="auto"/>
        <w:right w:val="none" w:sz="0" w:space="0" w:color="auto"/>
      </w:divBdr>
    </w:div>
    <w:div w:id="709647050">
      <w:bodyDiv w:val="1"/>
      <w:marLeft w:val="0"/>
      <w:marRight w:val="0"/>
      <w:marTop w:val="0"/>
      <w:marBottom w:val="0"/>
      <w:divBdr>
        <w:top w:val="none" w:sz="0" w:space="0" w:color="auto"/>
        <w:left w:val="none" w:sz="0" w:space="0" w:color="auto"/>
        <w:bottom w:val="none" w:sz="0" w:space="0" w:color="auto"/>
        <w:right w:val="none" w:sz="0" w:space="0" w:color="auto"/>
      </w:divBdr>
    </w:div>
    <w:div w:id="722410515">
      <w:bodyDiv w:val="1"/>
      <w:marLeft w:val="0"/>
      <w:marRight w:val="0"/>
      <w:marTop w:val="0"/>
      <w:marBottom w:val="0"/>
      <w:divBdr>
        <w:top w:val="none" w:sz="0" w:space="0" w:color="auto"/>
        <w:left w:val="none" w:sz="0" w:space="0" w:color="auto"/>
        <w:bottom w:val="none" w:sz="0" w:space="0" w:color="auto"/>
        <w:right w:val="none" w:sz="0" w:space="0" w:color="auto"/>
      </w:divBdr>
    </w:div>
    <w:div w:id="723065990">
      <w:bodyDiv w:val="1"/>
      <w:marLeft w:val="0"/>
      <w:marRight w:val="0"/>
      <w:marTop w:val="0"/>
      <w:marBottom w:val="0"/>
      <w:divBdr>
        <w:top w:val="none" w:sz="0" w:space="0" w:color="auto"/>
        <w:left w:val="none" w:sz="0" w:space="0" w:color="auto"/>
        <w:bottom w:val="none" w:sz="0" w:space="0" w:color="auto"/>
        <w:right w:val="none" w:sz="0" w:space="0" w:color="auto"/>
      </w:divBdr>
    </w:div>
    <w:div w:id="723721004">
      <w:bodyDiv w:val="1"/>
      <w:marLeft w:val="0"/>
      <w:marRight w:val="0"/>
      <w:marTop w:val="0"/>
      <w:marBottom w:val="0"/>
      <w:divBdr>
        <w:top w:val="none" w:sz="0" w:space="0" w:color="auto"/>
        <w:left w:val="none" w:sz="0" w:space="0" w:color="auto"/>
        <w:bottom w:val="none" w:sz="0" w:space="0" w:color="auto"/>
        <w:right w:val="none" w:sz="0" w:space="0" w:color="auto"/>
      </w:divBdr>
    </w:div>
    <w:div w:id="732968071">
      <w:bodyDiv w:val="1"/>
      <w:marLeft w:val="0"/>
      <w:marRight w:val="0"/>
      <w:marTop w:val="0"/>
      <w:marBottom w:val="0"/>
      <w:divBdr>
        <w:top w:val="none" w:sz="0" w:space="0" w:color="auto"/>
        <w:left w:val="none" w:sz="0" w:space="0" w:color="auto"/>
        <w:bottom w:val="none" w:sz="0" w:space="0" w:color="auto"/>
        <w:right w:val="none" w:sz="0" w:space="0" w:color="auto"/>
      </w:divBdr>
    </w:div>
    <w:div w:id="735475390">
      <w:bodyDiv w:val="1"/>
      <w:marLeft w:val="0"/>
      <w:marRight w:val="0"/>
      <w:marTop w:val="0"/>
      <w:marBottom w:val="0"/>
      <w:divBdr>
        <w:top w:val="none" w:sz="0" w:space="0" w:color="auto"/>
        <w:left w:val="none" w:sz="0" w:space="0" w:color="auto"/>
        <w:bottom w:val="none" w:sz="0" w:space="0" w:color="auto"/>
        <w:right w:val="none" w:sz="0" w:space="0" w:color="auto"/>
      </w:divBdr>
      <w:divsChild>
        <w:div w:id="609703564">
          <w:marLeft w:val="0"/>
          <w:marRight w:val="0"/>
          <w:marTop w:val="0"/>
          <w:marBottom w:val="0"/>
          <w:divBdr>
            <w:top w:val="none" w:sz="0" w:space="0" w:color="auto"/>
            <w:left w:val="none" w:sz="0" w:space="0" w:color="auto"/>
            <w:bottom w:val="none" w:sz="0" w:space="0" w:color="auto"/>
            <w:right w:val="none" w:sz="0" w:space="0" w:color="auto"/>
          </w:divBdr>
        </w:div>
      </w:divsChild>
    </w:div>
    <w:div w:id="735519277">
      <w:bodyDiv w:val="1"/>
      <w:marLeft w:val="0"/>
      <w:marRight w:val="0"/>
      <w:marTop w:val="0"/>
      <w:marBottom w:val="0"/>
      <w:divBdr>
        <w:top w:val="none" w:sz="0" w:space="0" w:color="auto"/>
        <w:left w:val="none" w:sz="0" w:space="0" w:color="auto"/>
        <w:bottom w:val="none" w:sz="0" w:space="0" w:color="auto"/>
        <w:right w:val="none" w:sz="0" w:space="0" w:color="auto"/>
      </w:divBdr>
    </w:div>
    <w:div w:id="737049702">
      <w:bodyDiv w:val="1"/>
      <w:marLeft w:val="0"/>
      <w:marRight w:val="0"/>
      <w:marTop w:val="0"/>
      <w:marBottom w:val="0"/>
      <w:divBdr>
        <w:top w:val="none" w:sz="0" w:space="0" w:color="auto"/>
        <w:left w:val="none" w:sz="0" w:space="0" w:color="auto"/>
        <w:bottom w:val="none" w:sz="0" w:space="0" w:color="auto"/>
        <w:right w:val="none" w:sz="0" w:space="0" w:color="auto"/>
      </w:divBdr>
    </w:div>
    <w:div w:id="740904696">
      <w:bodyDiv w:val="1"/>
      <w:marLeft w:val="0"/>
      <w:marRight w:val="0"/>
      <w:marTop w:val="0"/>
      <w:marBottom w:val="0"/>
      <w:divBdr>
        <w:top w:val="none" w:sz="0" w:space="0" w:color="auto"/>
        <w:left w:val="none" w:sz="0" w:space="0" w:color="auto"/>
        <w:bottom w:val="none" w:sz="0" w:space="0" w:color="auto"/>
        <w:right w:val="none" w:sz="0" w:space="0" w:color="auto"/>
      </w:divBdr>
    </w:div>
    <w:div w:id="754782752">
      <w:bodyDiv w:val="1"/>
      <w:marLeft w:val="0"/>
      <w:marRight w:val="0"/>
      <w:marTop w:val="0"/>
      <w:marBottom w:val="0"/>
      <w:divBdr>
        <w:top w:val="none" w:sz="0" w:space="0" w:color="auto"/>
        <w:left w:val="none" w:sz="0" w:space="0" w:color="auto"/>
        <w:bottom w:val="none" w:sz="0" w:space="0" w:color="auto"/>
        <w:right w:val="none" w:sz="0" w:space="0" w:color="auto"/>
      </w:divBdr>
    </w:div>
    <w:div w:id="765657879">
      <w:bodyDiv w:val="1"/>
      <w:marLeft w:val="0"/>
      <w:marRight w:val="0"/>
      <w:marTop w:val="0"/>
      <w:marBottom w:val="0"/>
      <w:divBdr>
        <w:top w:val="none" w:sz="0" w:space="0" w:color="auto"/>
        <w:left w:val="none" w:sz="0" w:space="0" w:color="auto"/>
        <w:bottom w:val="none" w:sz="0" w:space="0" w:color="auto"/>
        <w:right w:val="none" w:sz="0" w:space="0" w:color="auto"/>
      </w:divBdr>
    </w:div>
    <w:div w:id="775713925">
      <w:bodyDiv w:val="1"/>
      <w:marLeft w:val="0"/>
      <w:marRight w:val="0"/>
      <w:marTop w:val="0"/>
      <w:marBottom w:val="0"/>
      <w:divBdr>
        <w:top w:val="none" w:sz="0" w:space="0" w:color="auto"/>
        <w:left w:val="none" w:sz="0" w:space="0" w:color="auto"/>
        <w:bottom w:val="none" w:sz="0" w:space="0" w:color="auto"/>
        <w:right w:val="none" w:sz="0" w:space="0" w:color="auto"/>
      </w:divBdr>
    </w:div>
    <w:div w:id="778838345">
      <w:bodyDiv w:val="1"/>
      <w:marLeft w:val="0"/>
      <w:marRight w:val="0"/>
      <w:marTop w:val="0"/>
      <w:marBottom w:val="0"/>
      <w:divBdr>
        <w:top w:val="none" w:sz="0" w:space="0" w:color="auto"/>
        <w:left w:val="none" w:sz="0" w:space="0" w:color="auto"/>
        <w:bottom w:val="none" w:sz="0" w:space="0" w:color="auto"/>
        <w:right w:val="none" w:sz="0" w:space="0" w:color="auto"/>
      </w:divBdr>
    </w:div>
    <w:div w:id="782311084">
      <w:bodyDiv w:val="1"/>
      <w:marLeft w:val="0"/>
      <w:marRight w:val="0"/>
      <w:marTop w:val="0"/>
      <w:marBottom w:val="0"/>
      <w:divBdr>
        <w:top w:val="none" w:sz="0" w:space="0" w:color="auto"/>
        <w:left w:val="none" w:sz="0" w:space="0" w:color="auto"/>
        <w:bottom w:val="none" w:sz="0" w:space="0" w:color="auto"/>
        <w:right w:val="none" w:sz="0" w:space="0" w:color="auto"/>
      </w:divBdr>
    </w:div>
    <w:div w:id="782462775">
      <w:bodyDiv w:val="1"/>
      <w:marLeft w:val="0"/>
      <w:marRight w:val="0"/>
      <w:marTop w:val="0"/>
      <w:marBottom w:val="0"/>
      <w:divBdr>
        <w:top w:val="none" w:sz="0" w:space="0" w:color="auto"/>
        <w:left w:val="none" w:sz="0" w:space="0" w:color="auto"/>
        <w:bottom w:val="none" w:sz="0" w:space="0" w:color="auto"/>
        <w:right w:val="none" w:sz="0" w:space="0" w:color="auto"/>
      </w:divBdr>
    </w:div>
    <w:div w:id="787510775">
      <w:bodyDiv w:val="1"/>
      <w:marLeft w:val="0"/>
      <w:marRight w:val="0"/>
      <w:marTop w:val="0"/>
      <w:marBottom w:val="0"/>
      <w:divBdr>
        <w:top w:val="none" w:sz="0" w:space="0" w:color="auto"/>
        <w:left w:val="none" w:sz="0" w:space="0" w:color="auto"/>
        <w:bottom w:val="none" w:sz="0" w:space="0" w:color="auto"/>
        <w:right w:val="none" w:sz="0" w:space="0" w:color="auto"/>
      </w:divBdr>
    </w:div>
    <w:div w:id="795565182">
      <w:bodyDiv w:val="1"/>
      <w:marLeft w:val="0"/>
      <w:marRight w:val="0"/>
      <w:marTop w:val="0"/>
      <w:marBottom w:val="0"/>
      <w:divBdr>
        <w:top w:val="none" w:sz="0" w:space="0" w:color="auto"/>
        <w:left w:val="none" w:sz="0" w:space="0" w:color="auto"/>
        <w:bottom w:val="none" w:sz="0" w:space="0" w:color="auto"/>
        <w:right w:val="none" w:sz="0" w:space="0" w:color="auto"/>
      </w:divBdr>
    </w:div>
    <w:div w:id="802115393">
      <w:bodyDiv w:val="1"/>
      <w:marLeft w:val="0"/>
      <w:marRight w:val="0"/>
      <w:marTop w:val="0"/>
      <w:marBottom w:val="0"/>
      <w:divBdr>
        <w:top w:val="none" w:sz="0" w:space="0" w:color="auto"/>
        <w:left w:val="none" w:sz="0" w:space="0" w:color="auto"/>
        <w:bottom w:val="none" w:sz="0" w:space="0" w:color="auto"/>
        <w:right w:val="none" w:sz="0" w:space="0" w:color="auto"/>
      </w:divBdr>
    </w:div>
    <w:div w:id="809589884">
      <w:bodyDiv w:val="1"/>
      <w:marLeft w:val="0"/>
      <w:marRight w:val="0"/>
      <w:marTop w:val="0"/>
      <w:marBottom w:val="0"/>
      <w:divBdr>
        <w:top w:val="none" w:sz="0" w:space="0" w:color="auto"/>
        <w:left w:val="none" w:sz="0" w:space="0" w:color="auto"/>
        <w:bottom w:val="none" w:sz="0" w:space="0" w:color="auto"/>
        <w:right w:val="none" w:sz="0" w:space="0" w:color="auto"/>
      </w:divBdr>
    </w:div>
    <w:div w:id="813067139">
      <w:bodyDiv w:val="1"/>
      <w:marLeft w:val="0"/>
      <w:marRight w:val="0"/>
      <w:marTop w:val="0"/>
      <w:marBottom w:val="0"/>
      <w:divBdr>
        <w:top w:val="none" w:sz="0" w:space="0" w:color="auto"/>
        <w:left w:val="none" w:sz="0" w:space="0" w:color="auto"/>
        <w:bottom w:val="none" w:sz="0" w:space="0" w:color="auto"/>
        <w:right w:val="none" w:sz="0" w:space="0" w:color="auto"/>
      </w:divBdr>
    </w:div>
    <w:div w:id="813521460">
      <w:bodyDiv w:val="1"/>
      <w:marLeft w:val="0"/>
      <w:marRight w:val="0"/>
      <w:marTop w:val="0"/>
      <w:marBottom w:val="0"/>
      <w:divBdr>
        <w:top w:val="none" w:sz="0" w:space="0" w:color="auto"/>
        <w:left w:val="none" w:sz="0" w:space="0" w:color="auto"/>
        <w:bottom w:val="none" w:sz="0" w:space="0" w:color="auto"/>
        <w:right w:val="none" w:sz="0" w:space="0" w:color="auto"/>
      </w:divBdr>
    </w:div>
    <w:div w:id="815099450">
      <w:bodyDiv w:val="1"/>
      <w:marLeft w:val="0"/>
      <w:marRight w:val="0"/>
      <w:marTop w:val="0"/>
      <w:marBottom w:val="0"/>
      <w:divBdr>
        <w:top w:val="none" w:sz="0" w:space="0" w:color="auto"/>
        <w:left w:val="none" w:sz="0" w:space="0" w:color="auto"/>
        <w:bottom w:val="none" w:sz="0" w:space="0" w:color="auto"/>
        <w:right w:val="none" w:sz="0" w:space="0" w:color="auto"/>
      </w:divBdr>
    </w:div>
    <w:div w:id="815731285">
      <w:bodyDiv w:val="1"/>
      <w:marLeft w:val="0"/>
      <w:marRight w:val="0"/>
      <w:marTop w:val="0"/>
      <w:marBottom w:val="0"/>
      <w:divBdr>
        <w:top w:val="none" w:sz="0" w:space="0" w:color="auto"/>
        <w:left w:val="none" w:sz="0" w:space="0" w:color="auto"/>
        <w:bottom w:val="none" w:sz="0" w:space="0" w:color="auto"/>
        <w:right w:val="none" w:sz="0" w:space="0" w:color="auto"/>
      </w:divBdr>
    </w:div>
    <w:div w:id="818961389">
      <w:bodyDiv w:val="1"/>
      <w:marLeft w:val="0"/>
      <w:marRight w:val="0"/>
      <w:marTop w:val="0"/>
      <w:marBottom w:val="0"/>
      <w:divBdr>
        <w:top w:val="none" w:sz="0" w:space="0" w:color="auto"/>
        <w:left w:val="none" w:sz="0" w:space="0" w:color="auto"/>
        <w:bottom w:val="none" w:sz="0" w:space="0" w:color="auto"/>
        <w:right w:val="none" w:sz="0" w:space="0" w:color="auto"/>
      </w:divBdr>
    </w:div>
    <w:div w:id="823474657">
      <w:bodyDiv w:val="1"/>
      <w:marLeft w:val="0"/>
      <w:marRight w:val="0"/>
      <w:marTop w:val="0"/>
      <w:marBottom w:val="0"/>
      <w:divBdr>
        <w:top w:val="none" w:sz="0" w:space="0" w:color="auto"/>
        <w:left w:val="none" w:sz="0" w:space="0" w:color="auto"/>
        <w:bottom w:val="none" w:sz="0" w:space="0" w:color="auto"/>
        <w:right w:val="none" w:sz="0" w:space="0" w:color="auto"/>
      </w:divBdr>
    </w:div>
    <w:div w:id="824399588">
      <w:bodyDiv w:val="1"/>
      <w:marLeft w:val="0"/>
      <w:marRight w:val="0"/>
      <w:marTop w:val="0"/>
      <w:marBottom w:val="0"/>
      <w:divBdr>
        <w:top w:val="none" w:sz="0" w:space="0" w:color="auto"/>
        <w:left w:val="none" w:sz="0" w:space="0" w:color="auto"/>
        <w:bottom w:val="none" w:sz="0" w:space="0" w:color="auto"/>
        <w:right w:val="none" w:sz="0" w:space="0" w:color="auto"/>
      </w:divBdr>
    </w:div>
    <w:div w:id="830367948">
      <w:bodyDiv w:val="1"/>
      <w:marLeft w:val="0"/>
      <w:marRight w:val="0"/>
      <w:marTop w:val="0"/>
      <w:marBottom w:val="0"/>
      <w:divBdr>
        <w:top w:val="none" w:sz="0" w:space="0" w:color="auto"/>
        <w:left w:val="none" w:sz="0" w:space="0" w:color="auto"/>
        <w:bottom w:val="none" w:sz="0" w:space="0" w:color="auto"/>
        <w:right w:val="none" w:sz="0" w:space="0" w:color="auto"/>
      </w:divBdr>
    </w:div>
    <w:div w:id="837842646">
      <w:bodyDiv w:val="1"/>
      <w:marLeft w:val="0"/>
      <w:marRight w:val="0"/>
      <w:marTop w:val="0"/>
      <w:marBottom w:val="0"/>
      <w:divBdr>
        <w:top w:val="none" w:sz="0" w:space="0" w:color="auto"/>
        <w:left w:val="none" w:sz="0" w:space="0" w:color="auto"/>
        <w:bottom w:val="none" w:sz="0" w:space="0" w:color="auto"/>
        <w:right w:val="none" w:sz="0" w:space="0" w:color="auto"/>
      </w:divBdr>
    </w:div>
    <w:div w:id="838036277">
      <w:bodyDiv w:val="1"/>
      <w:marLeft w:val="0"/>
      <w:marRight w:val="0"/>
      <w:marTop w:val="0"/>
      <w:marBottom w:val="0"/>
      <w:divBdr>
        <w:top w:val="none" w:sz="0" w:space="0" w:color="auto"/>
        <w:left w:val="none" w:sz="0" w:space="0" w:color="auto"/>
        <w:bottom w:val="none" w:sz="0" w:space="0" w:color="auto"/>
        <w:right w:val="none" w:sz="0" w:space="0" w:color="auto"/>
      </w:divBdr>
    </w:div>
    <w:div w:id="838230844">
      <w:bodyDiv w:val="1"/>
      <w:marLeft w:val="0"/>
      <w:marRight w:val="0"/>
      <w:marTop w:val="0"/>
      <w:marBottom w:val="0"/>
      <w:divBdr>
        <w:top w:val="none" w:sz="0" w:space="0" w:color="auto"/>
        <w:left w:val="none" w:sz="0" w:space="0" w:color="auto"/>
        <w:bottom w:val="none" w:sz="0" w:space="0" w:color="auto"/>
        <w:right w:val="none" w:sz="0" w:space="0" w:color="auto"/>
      </w:divBdr>
    </w:div>
    <w:div w:id="838735584">
      <w:bodyDiv w:val="1"/>
      <w:marLeft w:val="0"/>
      <w:marRight w:val="0"/>
      <w:marTop w:val="0"/>
      <w:marBottom w:val="0"/>
      <w:divBdr>
        <w:top w:val="none" w:sz="0" w:space="0" w:color="auto"/>
        <w:left w:val="none" w:sz="0" w:space="0" w:color="auto"/>
        <w:bottom w:val="none" w:sz="0" w:space="0" w:color="auto"/>
        <w:right w:val="none" w:sz="0" w:space="0" w:color="auto"/>
      </w:divBdr>
    </w:div>
    <w:div w:id="841897913">
      <w:bodyDiv w:val="1"/>
      <w:marLeft w:val="0"/>
      <w:marRight w:val="0"/>
      <w:marTop w:val="0"/>
      <w:marBottom w:val="0"/>
      <w:divBdr>
        <w:top w:val="none" w:sz="0" w:space="0" w:color="auto"/>
        <w:left w:val="none" w:sz="0" w:space="0" w:color="auto"/>
        <w:bottom w:val="none" w:sz="0" w:space="0" w:color="auto"/>
        <w:right w:val="none" w:sz="0" w:space="0" w:color="auto"/>
      </w:divBdr>
    </w:div>
    <w:div w:id="847912333">
      <w:bodyDiv w:val="1"/>
      <w:marLeft w:val="0"/>
      <w:marRight w:val="0"/>
      <w:marTop w:val="0"/>
      <w:marBottom w:val="0"/>
      <w:divBdr>
        <w:top w:val="none" w:sz="0" w:space="0" w:color="auto"/>
        <w:left w:val="none" w:sz="0" w:space="0" w:color="auto"/>
        <w:bottom w:val="none" w:sz="0" w:space="0" w:color="auto"/>
        <w:right w:val="none" w:sz="0" w:space="0" w:color="auto"/>
      </w:divBdr>
    </w:div>
    <w:div w:id="848102746">
      <w:bodyDiv w:val="1"/>
      <w:marLeft w:val="0"/>
      <w:marRight w:val="0"/>
      <w:marTop w:val="0"/>
      <w:marBottom w:val="0"/>
      <w:divBdr>
        <w:top w:val="none" w:sz="0" w:space="0" w:color="auto"/>
        <w:left w:val="none" w:sz="0" w:space="0" w:color="auto"/>
        <w:bottom w:val="none" w:sz="0" w:space="0" w:color="auto"/>
        <w:right w:val="none" w:sz="0" w:space="0" w:color="auto"/>
      </w:divBdr>
    </w:div>
    <w:div w:id="851182795">
      <w:bodyDiv w:val="1"/>
      <w:marLeft w:val="0"/>
      <w:marRight w:val="0"/>
      <w:marTop w:val="0"/>
      <w:marBottom w:val="0"/>
      <w:divBdr>
        <w:top w:val="none" w:sz="0" w:space="0" w:color="auto"/>
        <w:left w:val="none" w:sz="0" w:space="0" w:color="auto"/>
        <w:bottom w:val="none" w:sz="0" w:space="0" w:color="auto"/>
        <w:right w:val="none" w:sz="0" w:space="0" w:color="auto"/>
      </w:divBdr>
    </w:div>
    <w:div w:id="853764818">
      <w:bodyDiv w:val="1"/>
      <w:marLeft w:val="0"/>
      <w:marRight w:val="0"/>
      <w:marTop w:val="0"/>
      <w:marBottom w:val="0"/>
      <w:divBdr>
        <w:top w:val="none" w:sz="0" w:space="0" w:color="auto"/>
        <w:left w:val="none" w:sz="0" w:space="0" w:color="auto"/>
        <w:bottom w:val="none" w:sz="0" w:space="0" w:color="auto"/>
        <w:right w:val="none" w:sz="0" w:space="0" w:color="auto"/>
      </w:divBdr>
    </w:div>
    <w:div w:id="854810805">
      <w:bodyDiv w:val="1"/>
      <w:marLeft w:val="0"/>
      <w:marRight w:val="0"/>
      <w:marTop w:val="0"/>
      <w:marBottom w:val="0"/>
      <w:divBdr>
        <w:top w:val="none" w:sz="0" w:space="0" w:color="auto"/>
        <w:left w:val="none" w:sz="0" w:space="0" w:color="auto"/>
        <w:bottom w:val="none" w:sz="0" w:space="0" w:color="auto"/>
        <w:right w:val="none" w:sz="0" w:space="0" w:color="auto"/>
      </w:divBdr>
    </w:div>
    <w:div w:id="859121772">
      <w:bodyDiv w:val="1"/>
      <w:marLeft w:val="0"/>
      <w:marRight w:val="0"/>
      <w:marTop w:val="0"/>
      <w:marBottom w:val="0"/>
      <w:divBdr>
        <w:top w:val="none" w:sz="0" w:space="0" w:color="auto"/>
        <w:left w:val="none" w:sz="0" w:space="0" w:color="auto"/>
        <w:bottom w:val="none" w:sz="0" w:space="0" w:color="auto"/>
        <w:right w:val="none" w:sz="0" w:space="0" w:color="auto"/>
      </w:divBdr>
    </w:div>
    <w:div w:id="863252065">
      <w:bodyDiv w:val="1"/>
      <w:marLeft w:val="0"/>
      <w:marRight w:val="0"/>
      <w:marTop w:val="0"/>
      <w:marBottom w:val="0"/>
      <w:divBdr>
        <w:top w:val="none" w:sz="0" w:space="0" w:color="auto"/>
        <w:left w:val="none" w:sz="0" w:space="0" w:color="auto"/>
        <w:bottom w:val="none" w:sz="0" w:space="0" w:color="auto"/>
        <w:right w:val="none" w:sz="0" w:space="0" w:color="auto"/>
      </w:divBdr>
    </w:div>
    <w:div w:id="865369161">
      <w:bodyDiv w:val="1"/>
      <w:marLeft w:val="0"/>
      <w:marRight w:val="0"/>
      <w:marTop w:val="0"/>
      <w:marBottom w:val="0"/>
      <w:divBdr>
        <w:top w:val="none" w:sz="0" w:space="0" w:color="auto"/>
        <w:left w:val="none" w:sz="0" w:space="0" w:color="auto"/>
        <w:bottom w:val="none" w:sz="0" w:space="0" w:color="auto"/>
        <w:right w:val="none" w:sz="0" w:space="0" w:color="auto"/>
      </w:divBdr>
    </w:div>
    <w:div w:id="867304046">
      <w:bodyDiv w:val="1"/>
      <w:marLeft w:val="0"/>
      <w:marRight w:val="0"/>
      <w:marTop w:val="0"/>
      <w:marBottom w:val="0"/>
      <w:divBdr>
        <w:top w:val="none" w:sz="0" w:space="0" w:color="auto"/>
        <w:left w:val="none" w:sz="0" w:space="0" w:color="auto"/>
        <w:bottom w:val="none" w:sz="0" w:space="0" w:color="auto"/>
        <w:right w:val="none" w:sz="0" w:space="0" w:color="auto"/>
      </w:divBdr>
    </w:div>
    <w:div w:id="881022437">
      <w:bodyDiv w:val="1"/>
      <w:marLeft w:val="0"/>
      <w:marRight w:val="0"/>
      <w:marTop w:val="0"/>
      <w:marBottom w:val="0"/>
      <w:divBdr>
        <w:top w:val="none" w:sz="0" w:space="0" w:color="auto"/>
        <w:left w:val="none" w:sz="0" w:space="0" w:color="auto"/>
        <w:bottom w:val="none" w:sz="0" w:space="0" w:color="auto"/>
        <w:right w:val="none" w:sz="0" w:space="0" w:color="auto"/>
      </w:divBdr>
    </w:div>
    <w:div w:id="881945699">
      <w:bodyDiv w:val="1"/>
      <w:marLeft w:val="0"/>
      <w:marRight w:val="0"/>
      <w:marTop w:val="0"/>
      <w:marBottom w:val="0"/>
      <w:divBdr>
        <w:top w:val="none" w:sz="0" w:space="0" w:color="auto"/>
        <w:left w:val="none" w:sz="0" w:space="0" w:color="auto"/>
        <w:bottom w:val="none" w:sz="0" w:space="0" w:color="auto"/>
        <w:right w:val="none" w:sz="0" w:space="0" w:color="auto"/>
      </w:divBdr>
    </w:div>
    <w:div w:id="891503594">
      <w:bodyDiv w:val="1"/>
      <w:marLeft w:val="0"/>
      <w:marRight w:val="0"/>
      <w:marTop w:val="0"/>
      <w:marBottom w:val="0"/>
      <w:divBdr>
        <w:top w:val="none" w:sz="0" w:space="0" w:color="auto"/>
        <w:left w:val="none" w:sz="0" w:space="0" w:color="auto"/>
        <w:bottom w:val="none" w:sz="0" w:space="0" w:color="auto"/>
        <w:right w:val="none" w:sz="0" w:space="0" w:color="auto"/>
      </w:divBdr>
    </w:div>
    <w:div w:id="894706498">
      <w:bodyDiv w:val="1"/>
      <w:marLeft w:val="0"/>
      <w:marRight w:val="0"/>
      <w:marTop w:val="0"/>
      <w:marBottom w:val="0"/>
      <w:divBdr>
        <w:top w:val="none" w:sz="0" w:space="0" w:color="auto"/>
        <w:left w:val="none" w:sz="0" w:space="0" w:color="auto"/>
        <w:bottom w:val="none" w:sz="0" w:space="0" w:color="auto"/>
        <w:right w:val="none" w:sz="0" w:space="0" w:color="auto"/>
      </w:divBdr>
    </w:div>
    <w:div w:id="895777490">
      <w:bodyDiv w:val="1"/>
      <w:marLeft w:val="0"/>
      <w:marRight w:val="0"/>
      <w:marTop w:val="0"/>
      <w:marBottom w:val="0"/>
      <w:divBdr>
        <w:top w:val="none" w:sz="0" w:space="0" w:color="auto"/>
        <w:left w:val="none" w:sz="0" w:space="0" w:color="auto"/>
        <w:bottom w:val="none" w:sz="0" w:space="0" w:color="auto"/>
        <w:right w:val="none" w:sz="0" w:space="0" w:color="auto"/>
      </w:divBdr>
    </w:div>
    <w:div w:id="899756452">
      <w:bodyDiv w:val="1"/>
      <w:marLeft w:val="0"/>
      <w:marRight w:val="0"/>
      <w:marTop w:val="0"/>
      <w:marBottom w:val="0"/>
      <w:divBdr>
        <w:top w:val="none" w:sz="0" w:space="0" w:color="auto"/>
        <w:left w:val="none" w:sz="0" w:space="0" w:color="auto"/>
        <w:bottom w:val="none" w:sz="0" w:space="0" w:color="auto"/>
        <w:right w:val="none" w:sz="0" w:space="0" w:color="auto"/>
      </w:divBdr>
    </w:div>
    <w:div w:id="901989567">
      <w:bodyDiv w:val="1"/>
      <w:marLeft w:val="0"/>
      <w:marRight w:val="0"/>
      <w:marTop w:val="0"/>
      <w:marBottom w:val="0"/>
      <w:divBdr>
        <w:top w:val="none" w:sz="0" w:space="0" w:color="auto"/>
        <w:left w:val="none" w:sz="0" w:space="0" w:color="auto"/>
        <w:bottom w:val="none" w:sz="0" w:space="0" w:color="auto"/>
        <w:right w:val="none" w:sz="0" w:space="0" w:color="auto"/>
      </w:divBdr>
    </w:div>
    <w:div w:id="902065472">
      <w:bodyDiv w:val="1"/>
      <w:marLeft w:val="0"/>
      <w:marRight w:val="0"/>
      <w:marTop w:val="0"/>
      <w:marBottom w:val="0"/>
      <w:divBdr>
        <w:top w:val="none" w:sz="0" w:space="0" w:color="auto"/>
        <w:left w:val="none" w:sz="0" w:space="0" w:color="auto"/>
        <w:bottom w:val="none" w:sz="0" w:space="0" w:color="auto"/>
        <w:right w:val="none" w:sz="0" w:space="0" w:color="auto"/>
      </w:divBdr>
    </w:div>
    <w:div w:id="903418561">
      <w:bodyDiv w:val="1"/>
      <w:marLeft w:val="0"/>
      <w:marRight w:val="0"/>
      <w:marTop w:val="0"/>
      <w:marBottom w:val="0"/>
      <w:divBdr>
        <w:top w:val="none" w:sz="0" w:space="0" w:color="auto"/>
        <w:left w:val="none" w:sz="0" w:space="0" w:color="auto"/>
        <w:bottom w:val="none" w:sz="0" w:space="0" w:color="auto"/>
        <w:right w:val="none" w:sz="0" w:space="0" w:color="auto"/>
      </w:divBdr>
    </w:div>
    <w:div w:id="912663761">
      <w:bodyDiv w:val="1"/>
      <w:marLeft w:val="0"/>
      <w:marRight w:val="0"/>
      <w:marTop w:val="0"/>
      <w:marBottom w:val="0"/>
      <w:divBdr>
        <w:top w:val="none" w:sz="0" w:space="0" w:color="auto"/>
        <w:left w:val="none" w:sz="0" w:space="0" w:color="auto"/>
        <w:bottom w:val="none" w:sz="0" w:space="0" w:color="auto"/>
        <w:right w:val="none" w:sz="0" w:space="0" w:color="auto"/>
      </w:divBdr>
    </w:div>
    <w:div w:id="919825579">
      <w:bodyDiv w:val="1"/>
      <w:marLeft w:val="0"/>
      <w:marRight w:val="0"/>
      <w:marTop w:val="0"/>
      <w:marBottom w:val="0"/>
      <w:divBdr>
        <w:top w:val="none" w:sz="0" w:space="0" w:color="auto"/>
        <w:left w:val="none" w:sz="0" w:space="0" w:color="auto"/>
        <w:bottom w:val="none" w:sz="0" w:space="0" w:color="auto"/>
        <w:right w:val="none" w:sz="0" w:space="0" w:color="auto"/>
      </w:divBdr>
    </w:div>
    <w:div w:id="923146169">
      <w:bodyDiv w:val="1"/>
      <w:marLeft w:val="0"/>
      <w:marRight w:val="0"/>
      <w:marTop w:val="0"/>
      <w:marBottom w:val="0"/>
      <w:divBdr>
        <w:top w:val="none" w:sz="0" w:space="0" w:color="auto"/>
        <w:left w:val="none" w:sz="0" w:space="0" w:color="auto"/>
        <w:bottom w:val="none" w:sz="0" w:space="0" w:color="auto"/>
        <w:right w:val="none" w:sz="0" w:space="0" w:color="auto"/>
      </w:divBdr>
    </w:div>
    <w:div w:id="925842009">
      <w:bodyDiv w:val="1"/>
      <w:marLeft w:val="0"/>
      <w:marRight w:val="0"/>
      <w:marTop w:val="0"/>
      <w:marBottom w:val="0"/>
      <w:divBdr>
        <w:top w:val="none" w:sz="0" w:space="0" w:color="auto"/>
        <w:left w:val="none" w:sz="0" w:space="0" w:color="auto"/>
        <w:bottom w:val="none" w:sz="0" w:space="0" w:color="auto"/>
        <w:right w:val="none" w:sz="0" w:space="0" w:color="auto"/>
      </w:divBdr>
    </w:div>
    <w:div w:id="930315300">
      <w:bodyDiv w:val="1"/>
      <w:marLeft w:val="0"/>
      <w:marRight w:val="0"/>
      <w:marTop w:val="0"/>
      <w:marBottom w:val="0"/>
      <w:divBdr>
        <w:top w:val="none" w:sz="0" w:space="0" w:color="auto"/>
        <w:left w:val="none" w:sz="0" w:space="0" w:color="auto"/>
        <w:bottom w:val="none" w:sz="0" w:space="0" w:color="auto"/>
        <w:right w:val="none" w:sz="0" w:space="0" w:color="auto"/>
      </w:divBdr>
    </w:div>
    <w:div w:id="930503363">
      <w:bodyDiv w:val="1"/>
      <w:marLeft w:val="0"/>
      <w:marRight w:val="0"/>
      <w:marTop w:val="0"/>
      <w:marBottom w:val="0"/>
      <w:divBdr>
        <w:top w:val="none" w:sz="0" w:space="0" w:color="auto"/>
        <w:left w:val="none" w:sz="0" w:space="0" w:color="auto"/>
        <w:bottom w:val="none" w:sz="0" w:space="0" w:color="auto"/>
        <w:right w:val="none" w:sz="0" w:space="0" w:color="auto"/>
      </w:divBdr>
    </w:div>
    <w:div w:id="944387735">
      <w:bodyDiv w:val="1"/>
      <w:marLeft w:val="0"/>
      <w:marRight w:val="0"/>
      <w:marTop w:val="0"/>
      <w:marBottom w:val="0"/>
      <w:divBdr>
        <w:top w:val="none" w:sz="0" w:space="0" w:color="auto"/>
        <w:left w:val="none" w:sz="0" w:space="0" w:color="auto"/>
        <w:bottom w:val="none" w:sz="0" w:space="0" w:color="auto"/>
        <w:right w:val="none" w:sz="0" w:space="0" w:color="auto"/>
      </w:divBdr>
    </w:div>
    <w:div w:id="967466420">
      <w:bodyDiv w:val="1"/>
      <w:marLeft w:val="0"/>
      <w:marRight w:val="0"/>
      <w:marTop w:val="0"/>
      <w:marBottom w:val="0"/>
      <w:divBdr>
        <w:top w:val="none" w:sz="0" w:space="0" w:color="auto"/>
        <w:left w:val="none" w:sz="0" w:space="0" w:color="auto"/>
        <w:bottom w:val="none" w:sz="0" w:space="0" w:color="auto"/>
        <w:right w:val="none" w:sz="0" w:space="0" w:color="auto"/>
      </w:divBdr>
    </w:div>
    <w:div w:id="972831030">
      <w:bodyDiv w:val="1"/>
      <w:marLeft w:val="0"/>
      <w:marRight w:val="0"/>
      <w:marTop w:val="0"/>
      <w:marBottom w:val="0"/>
      <w:divBdr>
        <w:top w:val="none" w:sz="0" w:space="0" w:color="auto"/>
        <w:left w:val="none" w:sz="0" w:space="0" w:color="auto"/>
        <w:bottom w:val="none" w:sz="0" w:space="0" w:color="auto"/>
        <w:right w:val="none" w:sz="0" w:space="0" w:color="auto"/>
      </w:divBdr>
    </w:div>
    <w:div w:id="973214734">
      <w:bodyDiv w:val="1"/>
      <w:marLeft w:val="0"/>
      <w:marRight w:val="0"/>
      <w:marTop w:val="0"/>
      <w:marBottom w:val="0"/>
      <w:divBdr>
        <w:top w:val="none" w:sz="0" w:space="0" w:color="auto"/>
        <w:left w:val="none" w:sz="0" w:space="0" w:color="auto"/>
        <w:bottom w:val="none" w:sz="0" w:space="0" w:color="auto"/>
        <w:right w:val="none" w:sz="0" w:space="0" w:color="auto"/>
      </w:divBdr>
    </w:div>
    <w:div w:id="973564286">
      <w:bodyDiv w:val="1"/>
      <w:marLeft w:val="0"/>
      <w:marRight w:val="0"/>
      <w:marTop w:val="0"/>
      <w:marBottom w:val="0"/>
      <w:divBdr>
        <w:top w:val="none" w:sz="0" w:space="0" w:color="auto"/>
        <w:left w:val="none" w:sz="0" w:space="0" w:color="auto"/>
        <w:bottom w:val="none" w:sz="0" w:space="0" w:color="auto"/>
        <w:right w:val="none" w:sz="0" w:space="0" w:color="auto"/>
      </w:divBdr>
    </w:div>
    <w:div w:id="974064738">
      <w:bodyDiv w:val="1"/>
      <w:marLeft w:val="0"/>
      <w:marRight w:val="0"/>
      <w:marTop w:val="0"/>
      <w:marBottom w:val="0"/>
      <w:divBdr>
        <w:top w:val="none" w:sz="0" w:space="0" w:color="auto"/>
        <w:left w:val="none" w:sz="0" w:space="0" w:color="auto"/>
        <w:bottom w:val="none" w:sz="0" w:space="0" w:color="auto"/>
        <w:right w:val="none" w:sz="0" w:space="0" w:color="auto"/>
      </w:divBdr>
    </w:div>
    <w:div w:id="976688994">
      <w:bodyDiv w:val="1"/>
      <w:marLeft w:val="0"/>
      <w:marRight w:val="0"/>
      <w:marTop w:val="0"/>
      <w:marBottom w:val="0"/>
      <w:divBdr>
        <w:top w:val="none" w:sz="0" w:space="0" w:color="auto"/>
        <w:left w:val="none" w:sz="0" w:space="0" w:color="auto"/>
        <w:bottom w:val="none" w:sz="0" w:space="0" w:color="auto"/>
        <w:right w:val="none" w:sz="0" w:space="0" w:color="auto"/>
      </w:divBdr>
    </w:div>
    <w:div w:id="981615074">
      <w:bodyDiv w:val="1"/>
      <w:marLeft w:val="0"/>
      <w:marRight w:val="0"/>
      <w:marTop w:val="0"/>
      <w:marBottom w:val="0"/>
      <w:divBdr>
        <w:top w:val="none" w:sz="0" w:space="0" w:color="auto"/>
        <w:left w:val="none" w:sz="0" w:space="0" w:color="auto"/>
        <w:bottom w:val="none" w:sz="0" w:space="0" w:color="auto"/>
        <w:right w:val="none" w:sz="0" w:space="0" w:color="auto"/>
      </w:divBdr>
    </w:div>
    <w:div w:id="982274410">
      <w:bodyDiv w:val="1"/>
      <w:marLeft w:val="0"/>
      <w:marRight w:val="0"/>
      <w:marTop w:val="0"/>
      <w:marBottom w:val="0"/>
      <w:divBdr>
        <w:top w:val="none" w:sz="0" w:space="0" w:color="auto"/>
        <w:left w:val="none" w:sz="0" w:space="0" w:color="auto"/>
        <w:bottom w:val="none" w:sz="0" w:space="0" w:color="auto"/>
        <w:right w:val="none" w:sz="0" w:space="0" w:color="auto"/>
      </w:divBdr>
    </w:div>
    <w:div w:id="984628271">
      <w:bodyDiv w:val="1"/>
      <w:marLeft w:val="0"/>
      <w:marRight w:val="0"/>
      <w:marTop w:val="0"/>
      <w:marBottom w:val="0"/>
      <w:divBdr>
        <w:top w:val="none" w:sz="0" w:space="0" w:color="auto"/>
        <w:left w:val="none" w:sz="0" w:space="0" w:color="auto"/>
        <w:bottom w:val="none" w:sz="0" w:space="0" w:color="auto"/>
        <w:right w:val="none" w:sz="0" w:space="0" w:color="auto"/>
      </w:divBdr>
    </w:div>
    <w:div w:id="1004673820">
      <w:bodyDiv w:val="1"/>
      <w:marLeft w:val="0"/>
      <w:marRight w:val="0"/>
      <w:marTop w:val="0"/>
      <w:marBottom w:val="0"/>
      <w:divBdr>
        <w:top w:val="none" w:sz="0" w:space="0" w:color="auto"/>
        <w:left w:val="none" w:sz="0" w:space="0" w:color="auto"/>
        <w:bottom w:val="none" w:sz="0" w:space="0" w:color="auto"/>
        <w:right w:val="none" w:sz="0" w:space="0" w:color="auto"/>
      </w:divBdr>
    </w:div>
    <w:div w:id="1005518902">
      <w:bodyDiv w:val="1"/>
      <w:marLeft w:val="0"/>
      <w:marRight w:val="0"/>
      <w:marTop w:val="0"/>
      <w:marBottom w:val="0"/>
      <w:divBdr>
        <w:top w:val="none" w:sz="0" w:space="0" w:color="auto"/>
        <w:left w:val="none" w:sz="0" w:space="0" w:color="auto"/>
        <w:bottom w:val="none" w:sz="0" w:space="0" w:color="auto"/>
        <w:right w:val="none" w:sz="0" w:space="0" w:color="auto"/>
      </w:divBdr>
    </w:div>
    <w:div w:id="1005783234">
      <w:bodyDiv w:val="1"/>
      <w:marLeft w:val="0"/>
      <w:marRight w:val="0"/>
      <w:marTop w:val="0"/>
      <w:marBottom w:val="0"/>
      <w:divBdr>
        <w:top w:val="none" w:sz="0" w:space="0" w:color="auto"/>
        <w:left w:val="none" w:sz="0" w:space="0" w:color="auto"/>
        <w:bottom w:val="none" w:sz="0" w:space="0" w:color="auto"/>
        <w:right w:val="none" w:sz="0" w:space="0" w:color="auto"/>
      </w:divBdr>
    </w:div>
    <w:div w:id="1017391443">
      <w:bodyDiv w:val="1"/>
      <w:marLeft w:val="0"/>
      <w:marRight w:val="0"/>
      <w:marTop w:val="0"/>
      <w:marBottom w:val="0"/>
      <w:divBdr>
        <w:top w:val="none" w:sz="0" w:space="0" w:color="auto"/>
        <w:left w:val="none" w:sz="0" w:space="0" w:color="auto"/>
        <w:bottom w:val="none" w:sz="0" w:space="0" w:color="auto"/>
        <w:right w:val="none" w:sz="0" w:space="0" w:color="auto"/>
      </w:divBdr>
    </w:div>
    <w:div w:id="1039741028">
      <w:bodyDiv w:val="1"/>
      <w:marLeft w:val="0"/>
      <w:marRight w:val="0"/>
      <w:marTop w:val="0"/>
      <w:marBottom w:val="0"/>
      <w:divBdr>
        <w:top w:val="none" w:sz="0" w:space="0" w:color="auto"/>
        <w:left w:val="none" w:sz="0" w:space="0" w:color="auto"/>
        <w:bottom w:val="none" w:sz="0" w:space="0" w:color="auto"/>
        <w:right w:val="none" w:sz="0" w:space="0" w:color="auto"/>
      </w:divBdr>
    </w:div>
    <w:div w:id="1042903057">
      <w:bodyDiv w:val="1"/>
      <w:marLeft w:val="0"/>
      <w:marRight w:val="0"/>
      <w:marTop w:val="0"/>
      <w:marBottom w:val="0"/>
      <w:divBdr>
        <w:top w:val="none" w:sz="0" w:space="0" w:color="auto"/>
        <w:left w:val="none" w:sz="0" w:space="0" w:color="auto"/>
        <w:bottom w:val="none" w:sz="0" w:space="0" w:color="auto"/>
        <w:right w:val="none" w:sz="0" w:space="0" w:color="auto"/>
      </w:divBdr>
    </w:div>
    <w:div w:id="1046567733">
      <w:bodyDiv w:val="1"/>
      <w:marLeft w:val="0"/>
      <w:marRight w:val="0"/>
      <w:marTop w:val="0"/>
      <w:marBottom w:val="0"/>
      <w:divBdr>
        <w:top w:val="none" w:sz="0" w:space="0" w:color="auto"/>
        <w:left w:val="none" w:sz="0" w:space="0" w:color="auto"/>
        <w:bottom w:val="none" w:sz="0" w:space="0" w:color="auto"/>
        <w:right w:val="none" w:sz="0" w:space="0" w:color="auto"/>
      </w:divBdr>
    </w:div>
    <w:div w:id="1047683155">
      <w:bodyDiv w:val="1"/>
      <w:marLeft w:val="0"/>
      <w:marRight w:val="0"/>
      <w:marTop w:val="0"/>
      <w:marBottom w:val="0"/>
      <w:divBdr>
        <w:top w:val="none" w:sz="0" w:space="0" w:color="auto"/>
        <w:left w:val="none" w:sz="0" w:space="0" w:color="auto"/>
        <w:bottom w:val="none" w:sz="0" w:space="0" w:color="auto"/>
        <w:right w:val="none" w:sz="0" w:space="0" w:color="auto"/>
      </w:divBdr>
    </w:div>
    <w:div w:id="1054768702">
      <w:bodyDiv w:val="1"/>
      <w:marLeft w:val="0"/>
      <w:marRight w:val="0"/>
      <w:marTop w:val="0"/>
      <w:marBottom w:val="0"/>
      <w:divBdr>
        <w:top w:val="none" w:sz="0" w:space="0" w:color="auto"/>
        <w:left w:val="none" w:sz="0" w:space="0" w:color="auto"/>
        <w:bottom w:val="none" w:sz="0" w:space="0" w:color="auto"/>
        <w:right w:val="none" w:sz="0" w:space="0" w:color="auto"/>
      </w:divBdr>
    </w:div>
    <w:div w:id="1055931326">
      <w:bodyDiv w:val="1"/>
      <w:marLeft w:val="0"/>
      <w:marRight w:val="0"/>
      <w:marTop w:val="0"/>
      <w:marBottom w:val="0"/>
      <w:divBdr>
        <w:top w:val="none" w:sz="0" w:space="0" w:color="auto"/>
        <w:left w:val="none" w:sz="0" w:space="0" w:color="auto"/>
        <w:bottom w:val="none" w:sz="0" w:space="0" w:color="auto"/>
        <w:right w:val="none" w:sz="0" w:space="0" w:color="auto"/>
      </w:divBdr>
    </w:div>
    <w:div w:id="1061175114">
      <w:bodyDiv w:val="1"/>
      <w:marLeft w:val="0"/>
      <w:marRight w:val="0"/>
      <w:marTop w:val="0"/>
      <w:marBottom w:val="0"/>
      <w:divBdr>
        <w:top w:val="none" w:sz="0" w:space="0" w:color="auto"/>
        <w:left w:val="none" w:sz="0" w:space="0" w:color="auto"/>
        <w:bottom w:val="none" w:sz="0" w:space="0" w:color="auto"/>
        <w:right w:val="none" w:sz="0" w:space="0" w:color="auto"/>
      </w:divBdr>
    </w:div>
    <w:div w:id="1062677677">
      <w:bodyDiv w:val="1"/>
      <w:marLeft w:val="0"/>
      <w:marRight w:val="0"/>
      <w:marTop w:val="0"/>
      <w:marBottom w:val="0"/>
      <w:divBdr>
        <w:top w:val="none" w:sz="0" w:space="0" w:color="auto"/>
        <w:left w:val="none" w:sz="0" w:space="0" w:color="auto"/>
        <w:bottom w:val="none" w:sz="0" w:space="0" w:color="auto"/>
        <w:right w:val="none" w:sz="0" w:space="0" w:color="auto"/>
      </w:divBdr>
    </w:div>
    <w:div w:id="1065223200">
      <w:bodyDiv w:val="1"/>
      <w:marLeft w:val="0"/>
      <w:marRight w:val="0"/>
      <w:marTop w:val="0"/>
      <w:marBottom w:val="0"/>
      <w:divBdr>
        <w:top w:val="none" w:sz="0" w:space="0" w:color="auto"/>
        <w:left w:val="none" w:sz="0" w:space="0" w:color="auto"/>
        <w:bottom w:val="none" w:sz="0" w:space="0" w:color="auto"/>
        <w:right w:val="none" w:sz="0" w:space="0" w:color="auto"/>
      </w:divBdr>
    </w:div>
    <w:div w:id="1067536626">
      <w:bodyDiv w:val="1"/>
      <w:marLeft w:val="0"/>
      <w:marRight w:val="0"/>
      <w:marTop w:val="0"/>
      <w:marBottom w:val="0"/>
      <w:divBdr>
        <w:top w:val="none" w:sz="0" w:space="0" w:color="auto"/>
        <w:left w:val="none" w:sz="0" w:space="0" w:color="auto"/>
        <w:bottom w:val="none" w:sz="0" w:space="0" w:color="auto"/>
        <w:right w:val="none" w:sz="0" w:space="0" w:color="auto"/>
      </w:divBdr>
    </w:div>
    <w:div w:id="1073158049">
      <w:bodyDiv w:val="1"/>
      <w:marLeft w:val="0"/>
      <w:marRight w:val="0"/>
      <w:marTop w:val="0"/>
      <w:marBottom w:val="0"/>
      <w:divBdr>
        <w:top w:val="none" w:sz="0" w:space="0" w:color="auto"/>
        <w:left w:val="none" w:sz="0" w:space="0" w:color="auto"/>
        <w:bottom w:val="none" w:sz="0" w:space="0" w:color="auto"/>
        <w:right w:val="none" w:sz="0" w:space="0" w:color="auto"/>
      </w:divBdr>
    </w:div>
    <w:div w:id="1077284857">
      <w:bodyDiv w:val="1"/>
      <w:marLeft w:val="0"/>
      <w:marRight w:val="0"/>
      <w:marTop w:val="0"/>
      <w:marBottom w:val="0"/>
      <w:divBdr>
        <w:top w:val="none" w:sz="0" w:space="0" w:color="auto"/>
        <w:left w:val="none" w:sz="0" w:space="0" w:color="auto"/>
        <w:bottom w:val="none" w:sz="0" w:space="0" w:color="auto"/>
        <w:right w:val="none" w:sz="0" w:space="0" w:color="auto"/>
      </w:divBdr>
    </w:div>
    <w:div w:id="1077360400">
      <w:bodyDiv w:val="1"/>
      <w:marLeft w:val="0"/>
      <w:marRight w:val="0"/>
      <w:marTop w:val="0"/>
      <w:marBottom w:val="0"/>
      <w:divBdr>
        <w:top w:val="none" w:sz="0" w:space="0" w:color="auto"/>
        <w:left w:val="none" w:sz="0" w:space="0" w:color="auto"/>
        <w:bottom w:val="none" w:sz="0" w:space="0" w:color="auto"/>
        <w:right w:val="none" w:sz="0" w:space="0" w:color="auto"/>
      </w:divBdr>
    </w:div>
    <w:div w:id="1079865153">
      <w:bodyDiv w:val="1"/>
      <w:marLeft w:val="0"/>
      <w:marRight w:val="0"/>
      <w:marTop w:val="0"/>
      <w:marBottom w:val="0"/>
      <w:divBdr>
        <w:top w:val="none" w:sz="0" w:space="0" w:color="auto"/>
        <w:left w:val="none" w:sz="0" w:space="0" w:color="auto"/>
        <w:bottom w:val="none" w:sz="0" w:space="0" w:color="auto"/>
        <w:right w:val="none" w:sz="0" w:space="0" w:color="auto"/>
      </w:divBdr>
    </w:div>
    <w:div w:id="1080130181">
      <w:bodyDiv w:val="1"/>
      <w:marLeft w:val="0"/>
      <w:marRight w:val="0"/>
      <w:marTop w:val="0"/>
      <w:marBottom w:val="0"/>
      <w:divBdr>
        <w:top w:val="none" w:sz="0" w:space="0" w:color="auto"/>
        <w:left w:val="none" w:sz="0" w:space="0" w:color="auto"/>
        <w:bottom w:val="none" w:sz="0" w:space="0" w:color="auto"/>
        <w:right w:val="none" w:sz="0" w:space="0" w:color="auto"/>
      </w:divBdr>
    </w:div>
    <w:div w:id="1080447296">
      <w:bodyDiv w:val="1"/>
      <w:marLeft w:val="0"/>
      <w:marRight w:val="0"/>
      <w:marTop w:val="0"/>
      <w:marBottom w:val="0"/>
      <w:divBdr>
        <w:top w:val="none" w:sz="0" w:space="0" w:color="auto"/>
        <w:left w:val="none" w:sz="0" w:space="0" w:color="auto"/>
        <w:bottom w:val="none" w:sz="0" w:space="0" w:color="auto"/>
        <w:right w:val="none" w:sz="0" w:space="0" w:color="auto"/>
      </w:divBdr>
    </w:div>
    <w:div w:id="1082872711">
      <w:bodyDiv w:val="1"/>
      <w:marLeft w:val="0"/>
      <w:marRight w:val="0"/>
      <w:marTop w:val="0"/>
      <w:marBottom w:val="0"/>
      <w:divBdr>
        <w:top w:val="none" w:sz="0" w:space="0" w:color="auto"/>
        <w:left w:val="none" w:sz="0" w:space="0" w:color="auto"/>
        <w:bottom w:val="none" w:sz="0" w:space="0" w:color="auto"/>
        <w:right w:val="none" w:sz="0" w:space="0" w:color="auto"/>
      </w:divBdr>
    </w:div>
    <w:div w:id="1086418505">
      <w:bodyDiv w:val="1"/>
      <w:marLeft w:val="0"/>
      <w:marRight w:val="0"/>
      <w:marTop w:val="0"/>
      <w:marBottom w:val="0"/>
      <w:divBdr>
        <w:top w:val="none" w:sz="0" w:space="0" w:color="auto"/>
        <w:left w:val="none" w:sz="0" w:space="0" w:color="auto"/>
        <w:bottom w:val="none" w:sz="0" w:space="0" w:color="auto"/>
        <w:right w:val="none" w:sz="0" w:space="0" w:color="auto"/>
      </w:divBdr>
    </w:div>
    <w:div w:id="1092820249">
      <w:bodyDiv w:val="1"/>
      <w:marLeft w:val="0"/>
      <w:marRight w:val="0"/>
      <w:marTop w:val="0"/>
      <w:marBottom w:val="0"/>
      <w:divBdr>
        <w:top w:val="none" w:sz="0" w:space="0" w:color="auto"/>
        <w:left w:val="none" w:sz="0" w:space="0" w:color="auto"/>
        <w:bottom w:val="none" w:sz="0" w:space="0" w:color="auto"/>
        <w:right w:val="none" w:sz="0" w:space="0" w:color="auto"/>
      </w:divBdr>
    </w:div>
    <w:div w:id="1094786541">
      <w:bodyDiv w:val="1"/>
      <w:marLeft w:val="0"/>
      <w:marRight w:val="0"/>
      <w:marTop w:val="0"/>
      <w:marBottom w:val="0"/>
      <w:divBdr>
        <w:top w:val="none" w:sz="0" w:space="0" w:color="auto"/>
        <w:left w:val="none" w:sz="0" w:space="0" w:color="auto"/>
        <w:bottom w:val="none" w:sz="0" w:space="0" w:color="auto"/>
        <w:right w:val="none" w:sz="0" w:space="0" w:color="auto"/>
      </w:divBdr>
    </w:div>
    <w:div w:id="1097561407">
      <w:bodyDiv w:val="1"/>
      <w:marLeft w:val="0"/>
      <w:marRight w:val="0"/>
      <w:marTop w:val="0"/>
      <w:marBottom w:val="0"/>
      <w:divBdr>
        <w:top w:val="none" w:sz="0" w:space="0" w:color="auto"/>
        <w:left w:val="none" w:sz="0" w:space="0" w:color="auto"/>
        <w:bottom w:val="none" w:sz="0" w:space="0" w:color="auto"/>
        <w:right w:val="none" w:sz="0" w:space="0" w:color="auto"/>
      </w:divBdr>
    </w:div>
    <w:div w:id="1099792305">
      <w:bodyDiv w:val="1"/>
      <w:marLeft w:val="0"/>
      <w:marRight w:val="0"/>
      <w:marTop w:val="0"/>
      <w:marBottom w:val="0"/>
      <w:divBdr>
        <w:top w:val="none" w:sz="0" w:space="0" w:color="auto"/>
        <w:left w:val="none" w:sz="0" w:space="0" w:color="auto"/>
        <w:bottom w:val="none" w:sz="0" w:space="0" w:color="auto"/>
        <w:right w:val="none" w:sz="0" w:space="0" w:color="auto"/>
      </w:divBdr>
    </w:div>
    <w:div w:id="1105924648">
      <w:bodyDiv w:val="1"/>
      <w:marLeft w:val="0"/>
      <w:marRight w:val="0"/>
      <w:marTop w:val="0"/>
      <w:marBottom w:val="0"/>
      <w:divBdr>
        <w:top w:val="none" w:sz="0" w:space="0" w:color="auto"/>
        <w:left w:val="none" w:sz="0" w:space="0" w:color="auto"/>
        <w:bottom w:val="none" w:sz="0" w:space="0" w:color="auto"/>
        <w:right w:val="none" w:sz="0" w:space="0" w:color="auto"/>
      </w:divBdr>
    </w:div>
    <w:div w:id="1106074308">
      <w:bodyDiv w:val="1"/>
      <w:marLeft w:val="0"/>
      <w:marRight w:val="0"/>
      <w:marTop w:val="0"/>
      <w:marBottom w:val="0"/>
      <w:divBdr>
        <w:top w:val="none" w:sz="0" w:space="0" w:color="auto"/>
        <w:left w:val="none" w:sz="0" w:space="0" w:color="auto"/>
        <w:bottom w:val="none" w:sz="0" w:space="0" w:color="auto"/>
        <w:right w:val="none" w:sz="0" w:space="0" w:color="auto"/>
      </w:divBdr>
    </w:div>
    <w:div w:id="1110778723">
      <w:bodyDiv w:val="1"/>
      <w:marLeft w:val="0"/>
      <w:marRight w:val="0"/>
      <w:marTop w:val="0"/>
      <w:marBottom w:val="0"/>
      <w:divBdr>
        <w:top w:val="none" w:sz="0" w:space="0" w:color="auto"/>
        <w:left w:val="none" w:sz="0" w:space="0" w:color="auto"/>
        <w:bottom w:val="none" w:sz="0" w:space="0" w:color="auto"/>
        <w:right w:val="none" w:sz="0" w:space="0" w:color="auto"/>
      </w:divBdr>
    </w:div>
    <w:div w:id="1113015947">
      <w:bodyDiv w:val="1"/>
      <w:marLeft w:val="0"/>
      <w:marRight w:val="0"/>
      <w:marTop w:val="0"/>
      <w:marBottom w:val="0"/>
      <w:divBdr>
        <w:top w:val="none" w:sz="0" w:space="0" w:color="auto"/>
        <w:left w:val="none" w:sz="0" w:space="0" w:color="auto"/>
        <w:bottom w:val="none" w:sz="0" w:space="0" w:color="auto"/>
        <w:right w:val="none" w:sz="0" w:space="0" w:color="auto"/>
      </w:divBdr>
    </w:div>
    <w:div w:id="1115833546">
      <w:bodyDiv w:val="1"/>
      <w:marLeft w:val="0"/>
      <w:marRight w:val="0"/>
      <w:marTop w:val="0"/>
      <w:marBottom w:val="0"/>
      <w:divBdr>
        <w:top w:val="none" w:sz="0" w:space="0" w:color="auto"/>
        <w:left w:val="none" w:sz="0" w:space="0" w:color="auto"/>
        <w:bottom w:val="none" w:sz="0" w:space="0" w:color="auto"/>
        <w:right w:val="none" w:sz="0" w:space="0" w:color="auto"/>
      </w:divBdr>
    </w:div>
    <w:div w:id="1119488328">
      <w:bodyDiv w:val="1"/>
      <w:marLeft w:val="0"/>
      <w:marRight w:val="0"/>
      <w:marTop w:val="0"/>
      <w:marBottom w:val="0"/>
      <w:divBdr>
        <w:top w:val="none" w:sz="0" w:space="0" w:color="auto"/>
        <w:left w:val="none" w:sz="0" w:space="0" w:color="auto"/>
        <w:bottom w:val="none" w:sz="0" w:space="0" w:color="auto"/>
        <w:right w:val="none" w:sz="0" w:space="0" w:color="auto"/>
      </w:divBdr>
    </w:div>
    <w:div w:id="1123427719">
      <w:bodyDiv w:val="1"/>
      <w:marLeft w:val="0"/>
      <w:marRight w:val="0"/>
      <w:marTop w:val="0"/>
      <w:marBottom w:val="0"/>
      <w:divBdr>
        <w:top w:val="none" w:sz="0" w:space="0" w:color="auto"/>
        <w:left w:val="none" w:sz="0" w:space="0" w:color="auto"/>
        <w:bottom w:val="none" w:sz="0" w:space="0" w:color="auto"/>
        <w:right w:val="none" w:sz="0" w:space="0" w:color="auto"/>
      </w:divBdr>
    </w:div>
    <w:div w:id="1129932993">
      <w:bodyDiv w:val="1"/>
      <w:marLeft w:val="0"/>
      <w:marRight w:val="0"/>
      <w:marTop w:val="0"/>
      <w:marBottom w:val="0"/>
      <w:divBdr>
        <w:top w:val="none" w:sz="0" w:space="0" w:color="auto"/>
        <w:left w:val="none" w:sz="0" w:space="0" w:color="auto"/>
        <w:bottom w:val="none" w:sz="0" w:space="0" w:color="auto"/>
        <w:right w:val="none" w:sz="0" w:space="0" w:color="auto"/>
      </w:divBdr>
    </w:div>
    <w:div w:id="1137722744">
      <w:bodyDiv w:val="1"/>
      <w:marLeft w:val="0"/>
      <w:marRight w:val="0"/>
      <w:marTop w:val="0"/>
      <w:marBottom w:val="0"/>
      <w:divBdr>
        <w:top w:val="none" w:sz="0" w:space="0" w:color="auto"/>
        <w:left w:val="none" w:sz="0" w:space="0" w:color="auto"/>
        <w:bottom w:val="none" w:sz="0" w:space="0" w:color="auto"/>
        <w:right w:val="none" w:sz="0" w:space="0" w:color="auto"/>
      </w:divBdr>
    </w:div>
    <w:div w:id="1138917013">
      <w:bodyDiv w:val="1"/>
      <w:marLeft w:val="0"/>
      <w:marRight w:val="0"/>
      <w:marTop w:val="0"/>
      <w:marBottom w:val="0"/>
      <w:divBdr>
        <w:top w:val="none" w:sz="0" w:space="0" w:color="auto"/>
        <w:left w:val="none" w:sz="0" w:space="0" w:color="auto"/>
        <w:bottom w:val="none" w:sz="0" w:space="0" w:color="auto"/>
        <w:right w:val="none" w:sz="0" w:space="0" w:color="auto"/>
      </w:divBdr>
    </w:div>
    <w:div w:id="1139424286">
      <w:bodyDiv w:val="1"/>
      <w:marLeft w:val="0"/>
      <w:marRight w:val="0"/>
      <w:marTop w:val="0"/>
      <w:marBottom w:val="0"/>
      <w:divBdr>
        <w:top w:val="none" w:sz="0" w:space="0" w:color="auto"/>
        <w:left w:val="none" w:sz="0" w:space="0" w:color="auto"/>
        <w:bottom w:val="none" w:sz="0" w:space="0" w:color="auto"/>
        <w:right w:val="none" w:sz="0" w:space="0" w:color="auto"/>
      </w:divBdr>
    </w:div>
    <w:div w:id="1141382226">
      <w:bodyDiv w:val="1"/>
      <w:marLeft w:val="0"/>
      <w:marRight w:val="0"/>
      <w:marTop w:val="0"/>
      <w:marBottom w:val="0"/>
      <w:divBdr>
        <w:top w:val="none" w:sz="0" w:space="0" w:color="auto"/>
        <w:left w:val="none" w:sz="0" w:space="0" w:color="auto"/>
        <w:bottom w:val="none" w:sz="0" w:space="0" w:color="auto"/>
        <w:right w:val="none" w:sz="0" w:space="0" w:color="auto"/>
      </w:divBdr>
    </w:div>
    <w:div w:id="1142499509">
      <w:bodyDiv w:val="1"/>
      <w:marLeft w:val="0"/>
      <w:marRight w:val="0"/>
      <w:marTop w:val="0"/>
      <w:marBottom w:val="0"/>
      <w:divBdr>
        <w:top w:val="none" w:sz="0" w:space="0" w:color="auto"/>
        <w:left w:val="none" w:sz="0" w:space="0" w:color="auto"/>
        <w:bottom w:val="none" w:sz="0" w:space="0" w:color="auto"/>
        <w:right w:val="none" w:sz="0" w:space="0" w:color="auto"/>
      </w:divBdr>
    </w:div>
    <w:div w:id="1167862897">
      <w:bodyDiv w:val="1"/>
      <w:marLeft w:val="0"/>
      <w:marRight w:val="0"/>
      <w:marTop w:val="0"/>
      <w:marBottom w:val="0"/>
      <w:divBdr>
        <w:top w:val="none" w:sz="0" w:space="0" w:color="auto"/>
        <w:left w:val="none" w:sz="0" w:space="0" w:color="auto"/>
        <w:bottom w:val="none" w:sz="0" w:space="0" w:color="auto"/>
        <w:right w:val="none" w:sz="0" w:space="0" w:color="auto"/>
      </w:divBdr>
    </w:div>
    <w:div w:id="1173302882">
      <w:bodyDiv w:val="1"/>
      <w:marLeft w:val="0"/>
      <w:marRight w:val="0"/>
      <w:marTop w:val="0"/>
      <w:marBottom w:val="0"/>
      <w:divBdr>
        <w:top w:val="none" w:sz="0" w:space="0" w:color="auto"/>
        <w:left w:val="none" w:sz="0" w:space="0" w:color="auto"/>
        <w:bottom w:val="none" w:sz="0" w:space="0" w:color="auto"/>
        <w:right w:val="none" w:sz="0" w:space="0" w:color="auto"/>
      </w:divBdr>
    </w:div>
    <w:div w:id="1177765270">
      <w:bodyDiv w:val="1"/>
      <w:marLeft w:val="0"/>
      <w:marRight w:val="0"/>
      <w:marTop w:val="0"/>
      <w:marBottom w:val="0"/>
      <w:divBdr>
        <w:top w:val="none" w:sz="0" w:space="0" w:color="auto"/>
        <w:left w:val="none" w:sz="0" w:space="0" w:color="auto"/>
        <w:bottom w:val="none" w:sz="0" w:space="0" w:color="auto"/>
        <w:right w:val="none" w:sz="0" w:space="0" w:color="auto"/>
      </w:divBdr>
    </w:div>
    <w:div w:id="1178039898">
      <w:bodyDiv w:val="1"/>
      <w:marLeft w:val="0"/>
      <w:marRight w:val="0"/>
      <w:marTop w:val="0"/>
      <w:marBottom w:val="0"/>
      <w:divBdr>
        <w:top w:val="none" w:sz="0" w:space="0" w:color="auto"/>
        <w:left w:val="none" w:sz="0" w:space="0" w:color="auto"/>
        <w:bottom w:val="none" w:sz="0" w:space="0" w:color="auto"/>
        <w:right w:val="none" w:sz="0" w:space="0" w:color="auto"/>
      </w:divBdr>
    </w:div>
    <w:div w:id="1178349561">
      <w:bodyDiv w:val="1"/>
      <w:marLeft w:val="0"/>
      <w:marRight w:val="0"/>
      <w:marTop w:val="0"/>
      <w:marBottom w:val="0"/>
      <w:divBdr>
        <w:top w:val="none" w:sz="0" w:space="0" w:color="auto"/>
        <w:left w:val="none" w:sz="0" w:space="0" w:color="auto"/>
        <w:bottom w:val="none" w:sz="0" w:space="0" w:color="auto"/>
        <w:right w:val="none" w:sz="0" w:space="0" w:color="auto"/>
      </w:divBdr>
    </w:div>
    <w:div w:id="1178615674">
      <w:bodyDiv w:val="1"/>
      <w:marLeft w:val="0"/>
      <w:marRight w:val="0"/>
      <w:marTop w:val="0"/>
      <w:marBottom w:val="0"/>
      <w:divBdr>
        <w:top w:val="none" w:sz="0" w:space="0" w:color="auto"/>
        <w:left w:val="none" w:sz="0" w:space="0" w:color="auto"/>
        <w:bottom w:val="none" w:sz="0" w:space="0" w:color="auto"/>
        <w:right w:val="none" w:sz="0" w:space="0" w:color="auto"/>
      </w:divBdr>
    </w:div>
    <w:div w:id="1180311689">
      <w:bodyDiv w:val="1"/>
      <w:marLeft w:val="0"/>
      <w:marRight w:val="0"/>
      <w:marTop w:val="0"/>
      <w:marBottom w:val="0"/>
      <w:divBdr>
        <w:top w:val="none" w:sz="0" w:space="0" w:color="auto"/>
        <w:left w:val="none" w:sz="0" w:space="0" w:color="auto"/>
        <w:bottom w:val="none" w:sz="0" w:space="0" w:color="auto"/>
        <w:right w:val="none" w:sz="0" w:space="0" w:color="auto"/>
      </w:divBdr>
    </w:div>
    <w:div w:id="1186792779">
      <w:bodyDiv w:val="1"/>
      <w:marLeft w:val="0"/>
      <w:marRight w:val="0"/>
      <w:marTop w:val="0"/>
      <w:marBottom w:val="0"/>
      <w:divBdr>
        <w:top w:val="none" w:sz="0" w:space="0" w:color="auto"/>
        <w:left w:val="none" w:sz="0" w:space="0" w:color="auto"/>
        <w:bottom w:val="none" w:sz="0" w:space="0" w:color="auto"/>
        <w:right w:val="none" w:sz="0" w:space="0" w:color="auto"/>
      </w:divBdr>
    </w:div>
    <w:div w:id="1190533021">
      <w:bodyDiv w:val="1"/>
      <w:marLeft w:val="0"/>
      <w:marRight w:val="0"/>
      <w:marTop w:val="0"/>
      <w:marBottom w:val="0"/>
      <w:divBdr>
        <w:top w:val="none" w:sz="0" w:space="0" w:color="auto"/>
        <w:left w:val="none" w:sz="0" w:space="0" w:color="auto"/>
        <w:bottom w:val="none" w:sz="0" w:space="0" w:color="auto"/>
        <w:right w:val="none" w:sz="0" w:space="0" w:color="auto"/>
      </w:divBdr>
    </w:div>
    <w:div w:id="1190872128">
      <w:bodyDiv w:val="1"/>
      <w:marLeft w:val="0"/>
      <w:marRight w:val="0"/>
      <w:marTop w:val="0"/>
      <w:marBottom w:val="0"/>
      <w:divBdr>
        <w:top w:val="none" w:sz="0" w:space="0" w:color="auto"/>
        <w:left w:val="none" w:sz="0" w:space="0" w:color="auto"/>
        <w:bottom w:val="none" w:sz="0" w:space="0" w:color="auto"/>
        <w:right w:val="none" w:sz="0" w:space="0" w:color="auto"/>
      </w:divBdr>
    </w:div>
    <w:div w:id="1198348586">
      <w:bodyDiv w:val="1"/>
      <w:marLeft w:val="0"/>
      <w:marRight w:val="0"/>
      <w:marTop w:val="0"/>
      <w:marBottom w:val="0"/>
      <w:divBdr>
        <w:top w:val="none" w:sz="0" w:space="0" w:color="auto"/>
        <w:left w:val="none" w:sz="0" w:space="0" w:color="auto"/>
        <w:bottom w:val="none" w:sz="0" w:space="0" w:color="auto"/>
        <w:right w:val="none" w:sz="0" w:space="0" w:color="auto"/>
      </w:divBdr>
    </w:div>
    <w:div w:id="1200581777">
      <w:bodyDiv w:val="1"/>
      <w:marLeft w:val="0"/>
      <w:marRight w:val="0"/>
      <w:marTop w:val="0"/>
      <w:marBottom w:val="0"/>
      <w:divBdr>
        <w:top w:val="none" w:sz="0" w:space="0" w:color="auto"/>
        <w:left w:val="none" w:sz="0" w:space="0" w:color="auto"/>
        <w:bottom w:val="none" w:sz="0" w:space="0" w:color="auto"/>
        <w:right w:val="none" w:sz="0" w:space="0" w:color="auto"/>
      </w:divBdr>
    </w:div>
    <w:div w:id="1204244317">
      <w:bodyDiv w:val="1"/>
      <w:marLeft w:val="0"/>
      <w:marRight w:val="0"/>
      <w:marTop w:val="0"/>
      <w:marBottom w:val="0"/>
      <w:divBdr>
        <w:top w:val="none" w:sz="0" w:space="0" w:color="auto"/>
        <w:left w:val="none" w:sz="0" w:space="0" w:color="auto"/>
        <w:bottom w:val="none" w:sz="0" w:space="0" w:color="auto"/>
        <w:right w:val="none" w:sz="0" w:space="0" w:color="auto"/>
      </w:divBdr>
    </w:div>
    <w:div w:id="1211460780">
      <w:bodyDiv w:val="1"/>
      <w:marLeft w:val="0"/>
      <w:marRight w:val="0"/>
      <w:marTop w:val="0"/>
      <w:marBottom w:val="0"/>
      <w:divBdr>
        <w:top w:val="none" w:sz="0" w:space="0" w:color="auto"/>
        <w:left w:val="none" w:sz="0" w:space="0" w:color="auto"/>
        <w:bottom w:val="none" w:sz="0" w:space="0" w:color="auto"/>
        <w:right w:val="none" w:sz="0" w:space="0" w:color="auto"/>
      </w:divBdr>
    </w:div>
    <w:div w:id="1214150363">
      <w:bodyDiv w:val="1"/>
      <w:marLeft w:val="0"/>
      <w:marRight w:val="0"/>
      <w:marTop w:val="0"/>
      <w:marBottom w:val="0"/>
      <w:divBdr>
        <w:top w:val="none" w:sz="0" w:space="0" w:color="auto"/>
        <w:left w:val="none" w:sz="0" w:space="0" w:color="auto"/>
        <w:bottom w:val="none" w:sz="0" w:space="0" w:color="auto"/>
        <w:right w:val="none" w:sz="0" w:space="0" w:color="auto"/>
      </w:divBdr>
    </w:div>
    <w:div w:id="1217548788">
      <w:bodyDiv w:val="1"/>
      <w:marLeft w:val="0"/>
      <w:marRight w:val="0"/>
      <w:marTop w:val="0"/>
      <w:marBottom w:val="0"/>
      <w:divBdr>
        <w:top w:val="none" w:sz="0" w:space="0" w:color="auto"/>
        <w:left w:val="none" w:sz="0" w:space="0" w:color="auto"/>
        <w:bottom w:val="none" w:sz="0" w:space="0" w:color="auto"/>
        <w:right w:val="none" w:sz="0" w:space="0" w:color="auto"/>
      </w:divBdr>
    </w:div>
    <w:div w:id="1219198476">
      <w:bodyDiv w:val="1"/>
      <w:marLeft w:val="0"/>
      <w:marRight w:val="0"/>
      <w:marTop w:val="0"/>
      <w:marBottom w:val="0"/>
      <w:divBdr>
        <w:top w:val="none" w:sz="0" w:space="0" w:color="auto"/>
        <w:left w:val="none" w:sz="0" w:space="0" w:color="auto"/>
        <w:bottom w:val="none" w:sz="0" w:space="0" w:color="auto"/>
        <w:right w:val="none" w:sz="0" w:space="0" w:color="auto"/>
      </w:divBdr>
    </w:div>
    <w:div w:id="1224829669">
      <w:bodyDiv w:val="1"/>
      <w:marLeft w:val="0"/>
      <w:marRight w:val="0"/>
      <w:marTop w:val="0"/>
      <w:marBottom w:val="0"/>
      <w:divBdr>
        <w:top w:val="none" w:sz="0" w:space="0" w:color="auto"/>
        <w:left w:val="none" w:sz="0" w:space="0" w:color="auto"/>
        <w:bottom w:val="none" w:sz="0" w:space="0" w:color="auto"/>
        <w:right w:val="none" w:sz="0" w:space="0" w:color="auto"/>
      </w:divBdr>
    </w:div>
    <w:div w:id="1226994798">
      <w:bodyDiv w:val="1"/>
      <w:marLeft w:val="0"/>
      <w:marRight w:val="0"/>
      <w:marTop w:val="0"/>
      <w:marBottom w:val="0"/>
      <w:divBdr>
        <w:top w:val="none" w:sz="0" w:space="0" w:color="auto"/>
        <w:left w:val="none" w:sz="0" w:space="0" w:color="auto"/>
        <w:bottom w:val="none" w:sz="0" w:space="0" w:color="auto"/>
        <w:right w:val="none" w:sz="0" w:space="0" w:color="auto"/>
      </w:divBdr>
    </w:div>
    <w:div w:id="1228419085">
      <w:bodyDiv w:val="1"/>
      <w:marLeft w:val="0"/>
      <w:marRight w:val="0"/>
      <w:marTop w:val="0"/>
      <w:marBottom w:val="0"/>
      <w:divBdr>
        <w:top w:val="none" w:sz="0" w:space="0" w:color="auto"/>
        <w:left w:val="none" w:sz="0" w:space="0" w:color="auto"/>
        <w:bottom w:val="none" w:sz="0" w:space="0" w:color="auto"/>
        <w:right w:val="none" w:sz="0" w:space="0" w:color="auto"/>
      </w:divBdr>
    </w:div>
    <w:div w:id="1228998569">
      <w:bodyDiv w:val="1"/>
      <w:marLeft w:val="0"/>
      <w:marRight w:val="0"/>
      <w:marTop w:val="0"/>
      <w:marBottom w:val="0"/>
      <w:divBdr>
        <w:top w:val="none" w:sz="0" w:space="0" w:color="auto"/>
        <w:left w:val="none" w:sz="0" w:space="0" w:color="auto"/>
        <w:bottom w:val="none" w:sz="0" w:space="0" w:color="auto"/>
        <w:right w:val="none" w:sz="0" w:space="0" w:color="auto"/>
      </w:divBdr>
    </w:div>
    <w:div w:id="1239167313">
      <w:bodyDiv w:val="1"/>
      <w:marLeft w:val="0"/>
      <w:marRight w:val="0"/>
      <w:marTop w:val="0"/>
      <w:marBottom w:val="0"/>
      <w:divBdr>
        <w:top w:val="none" w:sz="0" w:space="0" w:color="auto"/>
        <w:left w:val="none" w:sz="0" w:space="0" w:color="auto"/>
        <w:bottom w:val="none" w:sz="0" w:space="0" w:color="auto"/>
        <w:right w:val="none" w:sz="0" w:space="0" w:color="auto"/>
      </w:divBdr>
    </w:div>
    <w:div w:id="1241938340">
      <w:bodyDiv w:val="1"/>
      <w:marLeft w:val="0"/>
      <w:marRight w:val="0"/>
      <w:marTop w:val="0"/>
      <w:marBottom w:val="0"/>
      <w:divBdr>
        <w:top w:val="none" w:sz="0" w:space="0" w:color="auto"/>
        <w:left w:val="none" w:sz="0" w:space="0" w:color="auto"/>
        <w:bottom w:val="none" w:sz="0" w:space="0" w:color="auto"/>
        <w:right w:val="none" w:sz="0" w:space="0" w:color="auto"/>
      </w:divBdr>
    </w:div>
    <w:div w:id="1244989294">
      <w:bodyDiv w:val="1"/>
      <w:marLeft w:val="0"/>
      <w:marRight w:val="0"/>
      <w:marTop w:val="0"/>
      <w:marBottom w:val="0"/>
      <w:divBdr>
        <w:top w:val="none" w:sz="0" w:space="0" w:color="auto"/>
        <w:left w:val="none" w:sz="0" w:space="0" w:color="auto"/>
        <w:bottom w:val="none" w:sz="0" w:space="0" w:color="auto"/>
        <w:right w:val="none" w:sz="0" w:space="0" w:color="auto"/>
      </w:divBdr>
    </w:div>
    <w:div w:id="1246913962">
      <w:bodyDiv w:val="1"/>
      <w:marLeft w:val="0"/>
      <w:marRight w:val="0"/>
      <w:marTop w:val="0"/>
      <w:marBottom w:val="0"/>
      <w:divBdr>
        <w:top w:val="none" w:sz="0" w:space="0" w:color="auto"/>
        <w:left w:val="none" w:sz="0" w:space="0" w:color="auto"/>
        <w:bottom w:val="none" w:sz="0" w:space="0" w:color="auto"/>
        <w:right w:val="none" w:sz="0" w:space="0" w:color="auto"/>
      </w:divBdr>
    </w:div>
    <w:div w:id="1252084458">
      <w:bodyDiv w:val="1"/>
      <w:marLeft w:val="0"/>
      <w:marRight w:val="0"/>
      <w:marTop w:val="0"/>
      <w:marBottom w:val="0"/>
      <w:divBdr>
        <w:top w:val="none" w:sz="0" w:space="0" w:color="auto"/>
        <w:left w:val="none" w:sz="0" w:space="0" w:color="auto"/>
        <w:bottom w:val="none" w:sz="0" w:space="0" w:color="auto"/>
        <w:right w:val="none" w:sz="0" w:space="0" w:color="auto"/>
      </w:divBdr>
    </w:div>
    <w:div w:id="1252660740">
      <w:bodyDiv w:val="1"/>
      <w:marLeft w:val="0"/>
      <w:marRight w:val="0"/>
      <w:marTop w:val="0"/>
      <w:marBottom w:val="0"/>
      <w:divBdr>
        <w:top w:val="none" w:sz="0" w:space="0" w:color="auto"/>
        <w:left w:val="none" w:sz="0" w:space="0" w:color="auto"/>
        <w:bottom w:val="none" w:sz="0" w:space="0" w:color="auto"/>
        <w:right w:val="none" w:sz="0" w:space="0" w:color="auto"/>
      </w:divBdr>
    </w:div>
    <w:div w:id="1252815993">
      <w:bodyDiv w:val="1"/>
      <w:marLeft w:val="0"/>
      <w:marRight w:val="0"/>
      <w:marTop w:val="0"/>
      <w:marBottom w:val="0"/>
      <w:divBdr>
        <w:top w:val="none" w:sz="0" w:space="0" w:color="auto"/>
        <w:left w:val="none" w:sz="0" w:space="0" w:color="auto"/>
        <w:bottom w:val="none" w:sz="0" w:space="0" w:color="auto"/>
        <w:right w:val="none" w:sz="0" w:space="0" w:color="auto"/>
      </w:divBdr>
    </w:div>
    <w:div w:id="1254317657">
      <w:bodyDiv w:val="1"/>
      <w:marLeft w:val="0"/>
      <w:marRight w:val="0"/>
      <w:marTop w:val="0"/>
      <w:marBottom w:val="0"/>
      <w:divBdr>
        <w:top w:val="none" w:sz="0" w:space="0" w:color="auto"/>
        <w:left w:val="none" w:sz="0" w:space="0" w:color="auto"/>
        <w:bottom w:val="none" w:sz="0" w:space="0" w:color="auto"/>
        <w:right w:val="none" w:sz="0" w:space="0" w:color="auto"/>
      </w:divBdr>
    </w:div>
    <w:div w:id="1256282508">
      <w:bodyDiv w:val="1"/>
      <w:marLeft w:val="0"/>
      <w:marRight w:val="0"/>
      <w:marTop w:val="0"/>
      <w:marBottom w:val="0"/>
      <w:divBdr>
        <w:top w:val="none" w:sz="0" w:space="0" w:color="auto"/>
        <w:left w:val="none" w:sz="0" w:space="0" w:color="auto"/>
        <w:bottom w:val="none" w:sz="0" w:space="0" w:color="auto"/>
        <w:right w:val="none" w:sz="0" w:space="0" w:color="auto"/>
      </w:divBdr>
    </w:div>
    <w:div w:id="1261182322">
      <w:bodyDiv w:val="1"/>
      <w:marLeft w:val="0"/>
      <w:marRight w:val="0"/>
      <w:marTop w:val="0"/>
      <w:marBottom w:val="0"/>
      <w:divBdr>
        <w:top w:val="none" w:sz="0" w:space="0" w:color="auto"/>
        <w:left w:val="none" w:sz="0" w:space="0" w:color="auto"/>
        <w:bottom w:val="none" w:sz="0" w:space="0" w:color="auto"/>
        <w:right w:val="none" w:sz="0" w:space="0" w:color="auto"/>
      </w:divBdr>
    </w:div>
    <w:div w:id="1262879128">
      <w:bodyDiv w:val="1"/>
      <w:marLeft w:val="0"/>
      <w:marRight w:val="0"/>
      <w:marTop w:val="0"/>
      <w:marBottom w:val="0"/>
      <w:divBdr>
        <w:top w:val="none" w:sz="0" w:space="0" w:color="auto"/>
        <w:left w:val="none" w:sz="0" w:space="0" w:color="auto"/>
        <w:bottom w:val="none" w:sz="0" w:space="0" w:color="auto"/>
        <w:right w:val="none" w:sz="0" w:space="0" w:color="auto"/>
      </w:divBdr>
    </w:div>
    <w:div w:id="1263337851">
      <w:bodyDiv w:val="1"/>
      <w:marLeft w:val="0"/>
      <w:marRight w:val="0"/>
      <w:marTop w:val="0"/>
      <w:marBottom w:val="0"/>
      <w:divBdr>
        <w:top w:val="none" w:sz="0" w:space="0" w:color="auto"/>
        <w:left w:val="none" w:sz="0" w:space="0" w:color="auto"/>
        <w:bottom w:val="none" w:sz="0" w:space="0" w:color="auto"/>
        <w:right w:val="none" w:sz="0" w:space="0" w:color="auto"/>
      </w:divBdr>
    </w:div>
    <w:div w:id="1268081613">
      <w:bodyDiv w:val="1"/>
      <w:marLeft w:val="0"/>
      <w:marRight w:val="0"/>
      <w:marTop w:val="0"/>
      <w:marBottom w:val="0"/>
      <w:divBdr>
        <w:top w:val="none" w:sz="0" w:space="0" w:color="auto"/>
        <w:left w:val="none" w:sz="0" w:space="0" w:color="auto"/>
        <w:bottom w:val="none" w:sz="0" w:space="0" w:color="auto"/>
        <w:right w:val="none" w:sz="0" w:space="0" w:color="auto"/>
      </w:divBdr>
    </w:div>
    <w:div w:id="1269508436">
      <w:bodyDiv w:val="1"/>
      <w:marLeft w:val="0"/>
      <w:marRight w:val="0"/>
      <w:marTop w:val="0"/>
      <w:marBottom w:val="0"/>
      <w:divBdr>
        <w:top w:val="none" w:sz="0" w:space="0" w:color="auto"/>
        <w:left w:val="none" w:sz="0" w:space="0" w:color="auto"/>
        <w:bottom w:val="none" w:sz="0" w:space="0" w:color="auto"/>
        <w:right w:val="none" w:sz="0" w:space="0" w:color="auto"/>
      </w:divBdr>
    </w:div>
    <w:div w:id="1269578167">
      <w:bodyDiv w:val="1"/>
      <w:marLeft w:val="0"/>
      <w:marRight w:val="0"/>
      <w:marTop w:val="0"/>
      <w:marBottom w:val="0"/>
      <w:divBdr>
        <w:top w:val="none" w:sz="0" w:space="0" w:color="auto"/>
        <w:left w:val="none" w:sz="0" w:space="0" w:color="auto"/>
        <w:bottom w:val="none" w:sz="0" w:space="0" w:color="auto"/>
        <w:right w:val="none" w:sz="0" w:space="0" w:color="auto"/>
      </w:divBdr>
    </w:div>
    <w:div w:id="1280063064">
      <w:bodyDiv w:val="1"/>
      <w:marLeft w:val="0"/>
      <w:marRight w:val="0"/>
      <w:marTop w:val="0"/>
      <w:marBottom w:val="0"/>
      <w:divBdr>
        <w:top w:val="none" w:sz="0" w:space="0" w:color="auto"/>
        <w:left w:val="none" w:sz="0" w:space="0" w:color="auto"/>
        <w:bottom w:val="none" w:sz="0" w:space="0" w:color="auto"/>
        <w:right w:val="none" w:sz="0" w:space="0" w:color="auto"/>
      </w:divBdr>
    </w:div>
    <w:div w:id="1286962636">
      <w:bodyDiv w:val="1"/>
      <w:marLeft w:val="0"/>
      <w:marRight w:val="0"/>
      <w:marTop w:val="0"/>
      <w:marBottom w:val="0"/>
      <w:divBdr>
        <w:top w:val="none" w:sz="0" w:space="0" w:color="auto"/>
        <w:left w:val="none" w:sz="0" w:space="0" w:color="auto"/>
        <w:bottom w:val="none" w:sz="0" w:space="0" w:color="auto"/>
        <w:right w:val="none" w:sz="0" w:space="0" w:color="auto"/>
      </w:divBdr>
    </w:div>
    <w:div w:id="1288127708">
      <w:bodyDiv w:val="1"/>
      <w:marLeft w:val="0"/>
      <w:marRight w:val="0"/>
      <w:marTop w:val="0"/>
      <w:marBottom w:val="0"/>
      <w:divBdr>
        <w:top w:val="none" w:sz="0" w:space="0" w:color="auto"/>
        <w:left w:val="none" w:sz="0" w:space="0" w:color="auto"/>
        <w:bottom w:val="none" w:sz="0" w:space="0" w:color="auto"/>
        <w:right w:val="none" w:sz="0" w:space="0" w:color="auto"/>
      </w:divBdr>
    </w:div>
    <w:div w:id="1288967675">
      <w:bodyDiv w:val="1"/>
      <w:marLeft w:val="0"/>
      <w:marRight w:val="0"/>
      <w:marTop w:val="0"/>
      <w:marBottom w:val="0"/>
      <w:divBdr>
        <w:top w:val="none" w:sz="0" w:space="0" w:color="auto"/>
        <w:left w:val="none" w:sz="0" w:space="0" w:color="auto"/>
        <w:bottom w:val="none" w:sz="0" w:space="0" w:color="auto"/>
        <w:right w:val="none" w:sz="0" w:space="0" w:color="auto"/>
      </w:divBdr>
    </w:div>
    <w:div w:id="1298952154">
      <w:bodyDiv w:val="1"/>
      <w:marLeft w:val="0"/>
      <w:marRight w:val="0"/>
      <w:marTop w:val="0"/>
      <w:marBottom w:val="0"/>
      <w:divBdr>
        <w:top w:val="none" w:sz="0" w:space="0" w:color="auto"/>
        <w:left w:val="none" w:sz="0" w:space="0" w:color="auto"/>
        <w:bottom w:val="none" w:sz="0" w:space="0" w:color="auto"/>
        <w:right w:val="none" w:sz="0" w:space="0" w:color="auto"/>
      </w:divBdr>
    </w:div>
    <w:div w:id="1301568125">
      <w:bodyDiv w:val="1"/>
      <w:marLeft w:val="0"/>
      <w:marRight w:val="0"/>
      <w:marTop w:val="0"/>
      <w:marBottom w:val="0"/>
      <w:divBdr>
        <w:top w:val="none" w:sz="0" w:space="0" w:color="auto"/>
        <w:left w:val="none" w:sz="0" w:space="0" w:color="auto"/>
        <w:bottom w:val="none" w:sz="0" w:space="0" w:color="auto"/>
        <w:right w:val="none" w:sz="0" w:space="0" w:color="auto"/>
      </w:divBdr>
    </w:div>
    <w:div w:id="1303341029">
      <w:bodyDiv w:val="1"/>
      <w:marLeft w:val="0"/>
      <w:marRight w:val="0"/>
      <w:marTop w:val="0"/>
      <w:marBottom w:val="0"/>
      <w:divBdr>
        <w:top w:val="none" w:sz="0" w:space="0" w:color="auto"/>
        <w:left w:val="none" w:sz="0" w:space="0" w:color="auto"/>
        <w:bottom w:val="none" w:sz="0" w:space="0" w:color="auto"/>
        <w:right w:val="none" w:sz="0" w:space="0" w:color="auto"/>
      </w:divBdr>
    </w:div>
    <w:div w:id="1305046958">
      <w:bodyDiv w:val="1"/>
      <w:marLeft w:val="0"/>
      <w:marRight w:val="0"/>
      <w:marTop w:val="0"/>
      <w:marBottom w:val="0"/>
      <w:divBdr>
        <w:top w:val="none" w:sz="0" w:space="0" w:color="auto"/>
        <w:left w:val="none" w:sz="0" w:space="0" w:color="auto"/>
        <w:bottom w:val="none" w:sz="0" w:space="0" w:color="auto"/>
        <w:right w:val="none" w:sz="0" w:space="0" w:color="auto"/>
      </w:divBdr>
    </w:div>
    <w:div w:id="1311863419">
      <w:bodyDiv w:val="1"/>
      <w:marLeft w:val="0"/>
      <w:marRight w:val="0"/>
      <w:marTop w:val="0"/>
      <w:marBottom w:val="0"/>
      <w:divBdr>
        <w:top w:val="none" w:sz="0" w:space="0" w:color="auto"/>
        <w:left w:val="none" w:sz="0" w:space="0" w:color="auto"/>
        <w:bottom w:val="none" w:sz="0" w:space="0" w:color="auto"/>
        <w:right w:val="none" w:sz="0" w:space="0" w:color="auto"/>
      </w:divBdr>
    </w:div>
    <w:div w:id="1312056203">
      <w:bodyDiv w:val="1"/>
      <w:marLeft w:val="0"/>
      <w:marRight w:val="0"/>
      <w:marTop w:val="0"/>
      <w:marBottom w:val="0"/>
      <w:divBdr>
        <w:top w:val="none" w:sz="0" w:space="0" w:color="auto"/>
        <w:left w:val="none" w:sz="0" w:space="0" w:color="auto"/>
        <w:bottom w:val="none" w:sz="0" w:space="0" w:color="auto"/>
        <w:right w:val="none" w:sz="0" w:space="0" w:color="auto"/>
      </w:divBdr>
    </w:div>
    <w:div w:id="1312247792">
      <w:bodyDiv w:val="1"/>
      <w:marLeft w:val="0"/>
      <w:marRight w:val="0"/>
      <w:marTop w:val="0"/>
      <w:marBottom w:val="0"/>
      <w:divBdr>
        <w:top w:val="none" w:sz="0" w:space="0" w:color="auto"/>
        <w:left w:val="none" w:sz="0" w:space="0" w:color="auto"/>
        <w:bottom w:val="none" w:sz="0" w:space="0" w:color="auto"/>
        <w:right w:val="none" w:sz="0" w:space="0" w:color="auto"/>
      </w:divBdr>
    </w:div>
    <w:div w:id="1314211330">
      <w:bodyDiv w:val="1"/>
      <w:marLeft w:val="0"/>
      <w:marRight w:val="0"/>
      <w:marTop w:val="0"/>
      <w:marBottom w:val="0"/>
      <w:divBdr>
        <w:top w:val="none" w:sz="0" w:space="0" w:color="auto"/>
        <w:left w:val="none" w:sz="0" w:space="0" w:color="auto"/>
        <w:bottom w:val="none" w:sz="0" w:space="0" w:color="auto"/>
        <w:right w:val="none" w:sz="0" w:space="0" w:color="auto"/>
      </w:divBdr>
    </w:div>
    <w:div w:id="1320109194">
      <w:bodyDiv w:val="1"/>
      <w:marLeft w:val="0"/>
      <w:marRight w:val="0"/>
      <w:marTop w:val="0"/>
      <w:marBottom w:val="0"/>
      <w:divBdr>
        <w:top w:val="none" w:sz="0" w:space="0" w:color="auto"/>
        <w:left w:val="none" w:sz="0" w:space="0" w:color="auto"/>
        <w:bottom w:val="none" w:sz="0" w:space="0" w:color="auto"/>
        <w:right w:val="none" w:sz="0" w:space="0" w:color="auto"/>
      </w:divBdr>
    </w:div>
    <w:div w:id="1321427452">
      <w:bodyDiv w:val="1"/>
      <w:marLeft w:val="0"/>
      <w:marRight w:val="0"/>
      <w:marTop w:val="0"/>
      <w:marBottom w:val="0"/>
      <w:divBdr>
        <w:top w:val="none" w:sz="0" w:space="0" w:color="auto"/>
        <w:left w:val="none" w:sz="0" w:space="0" w:color="auto"/>
        <w:bottom w:val="none" w:sz="0" w:space="0" w:color="auto"/>
        <w:right w:val="none" w:sz="0" w:space="0" w:color="auto"/>
      </w:divBdr>
    </w:div>
    <w:div w:id="1331182423">
      <w:bodyDiv w:val="1"/>
      <w:marLeft w:val="0"/>
      <w:marRight w:val="0"/>
      <w:marTop w:val="0"/>
      <w:marBottom w:val="0"/>
      <w:divBdr>
        <w:top w:val="none" w:sz="0" w:space="0" w:color="auto"/>
        <w:left w:val="none" w:sz="0" w:space="0" w:color="auto"/>
        <w:bottom w:val="none" w:sz="0" w:space="0" w:color="auto"/>
        <w:right w:val="none" w:sz="0" w:space="0" w:color="auto"/>
      </w:divBdr>
    </w:div>
    <w:div w:id="1333796303">
      <w:bodyDiv w:val="1"/>
      <w:marLeft w:val="0"/>
      <w:marRight w:val="0"/>
      <w:marTop w:val="0"/>
      <w:marBottom w:val="0"/>
      <w:divBdr>
        <w:top w:val="none" w:sz="0" w:space="0" w:color="auto"/>
        <w:left w:val="none" w:sz="0" w:space="0" w:color="auto"/>
        <w:bottom w:val="none" w:sz="0" w:space="0" w:color="auto"/>
        <w:right w:val="none" w:sz="0" w:space="0" w:color="auto"/>
      </w:divBdr>
    </w:div>
    <w:div w:id="1336880027">
      <w:bodyDiv w:val="1"/>
      <w:marLeft w:val="0"/>
      <w:marRight w:val="0"/>
      <w:marTop w:val="0"/>
      <w:marBottom w:val="0"/>
      <w:divBdr>
        <w:top w:val="none" w:sz="0" w:space="0" w:color="auto"/>
        <w:left w:val="none" w:sz="0" w:space="0" w:color="auto"/>
        <w:bottom w:val="none" w:sz="0" w:space="0" w:color="auto"/>
        <w:right w:val="none" w:sz="0" w:space="0" w:color="auto"/>
      </w:divBdr>
    </w:div>
    <w:div w:id="1339966647">
      <w:bodyDiv w:val="1"/>
      <w:marLeft w:val="0"/>
      <w:marRight w:val="0"/>
      <w:marTop w:val="0"/>
      <w:marBottom w:val="0"/>
      <w:divBdr>
        <w:top w:val="none" w:sz="0" w:space="0" w:color="auto"/>
        <w:left w:val="none" w:sz="0" w:space="0" w:color="auto"/>
        <w:bottom w:val="none" w:sz="0" w:space="0" w:color="auto"/>
        <w:right w:val="none" w:sz="0" w:space="0" w:color="auto"/>
      </w:divBdr>
    </w:div>
    <w:div w:id="1344088991">
      <w:bodyDiv w:val="1"/>
      <w:marLeft w:val="0"/>
      <w:marRight w:val="0"/>
      <w:marTop w:val="0"/>
      <w:marBottom w:val="0"/>
      <w:divBdr>
        <w:top w:val="none" w:sz="0" w:space="0" w:color="auto"/>
        <w:left w:val="none" w:sz="0" w:space="0" w:color="auto"/>
        <w:bottom w:val="none" w:sz="0" w:space="0" w:color="auto"/>
        <w:right w:val="none" w:sz="0" w:space="0" w:color="auto"/>
      </w:divBdr>
    </w:div>
    <w:div w:id="1347514763">
      <w:bodyDiv w:val="1"/>
      <w:marLeft w:val="0"/>
      <w:marRight w:val="0"/>
      <w:marTop w:val="0"/>
      <w:marBottom w:val="0"/>
      <w:divBdr>
        <w:top w:val="none" w:sz="0" w:space="0" w:color="auto"/>
        <w:left w:val="none" w:sz="0" w:space="0" w:color="auto"/>
        <w:bottom w:val="none" w:sz="0" w:space="0" w:color="auto"/>
        <w:right w:val="none" w:sz="0" w:space="0" w:color="auto"/>
      </w:divBdr>
    </w:div>
    <w:div w:id="1350251663">
      <w:bodyDiv w:val="1"/>
      <w:marLeft w:val="0"/>
      <w:marRight w:val="0"/>
      <w:marTop w:val="0"/>
      <w:marBottom w:val="0"/>
      <w:divBdr>
        <w:top w:val="none" w:sz="0" w:space="0" w:color="auto"/>
        <w:left w:val="none" w:sz="0" w:space="0" w:color="auto"/>
        <w:bottom w:val="none" w:sz="0" w:space="0" w:color="auto"/>
        <w:right w:val="none" w:sz="0" w:space="0" w:color="auto"/>
      </w:divBdr>
    </w:div>
    <w:div w:id="1363676991">
      <w:bodyDiv w:val="1"/>
      <w:marLeft w:val="0"/>
      <w:marRight w:val="0"/>
      <w:marTop w:val="0"/>
      <w:marBottom w:val="0"/>
      <w:divBdr>
        <w:top w:val="none" w:sz="0" w:space="0" w:color="auto"/>
        <w:left w:val="none" w:sz="0" w:space="0" w:color="auto"/>
        <w:bottom w:val="none" w:sz="0" w:space="0" w:color="auto"/>
        <w:right w:val="none" w:sz="0" w:space="0" w:color="auto"/>
      </w:divBdr>
    </w:div>
    <w:div w:id="1365205338">
      <w:bodyDiv w:val="1"/>
      <w:marLeft w:val="0"/>
      <w:marRight w:val="0"/>
      <w:marTop w:val="0"/>
      <w:marBottom w:val="0"/>
      <w:divBdr>
        <w:top w:val="none" w:sz="0" w:space="0" w:color="auto"/>
        <w:left w:val="none" w:sz="0" w:space="0" w:color="auto"/>
        <w:bottom w:val="none" w:sz="0" w:space="0" w:color="auto"/>
        <w:right w:val="none" w:sz="0" w:space="0" w:color="auto"/>
      </w:divBdr>
    </w:div>
    <w:div w:id="1374309030">
      <w:bodyDiv w:val="1"/>
      <w:marLeft w:val="0"/>
      <w:marRight w:val="0"/>
      <w:marTop w:val="0"/>
      <w:marBottom w:val="0"/>
      <w:divBdr>
        <w:top w:val="none" w:sz="0" w:space="0" w:color="auto"/>
        <w:left w:val="none" w:sz="0" w:space="0" w:color="auto"/>
        <w:bottom w:val="none" w:sz="0" w:space="0" w:color="auto"/>
        <w:right w:val="none" w:sz="0" w:space="0" w:color="auto"/>
      </w:divBdr>
    </w:div>
    <w:div w:id="1376780683">
      <w:bodyDiv w:val="1"/>
      <w:marLeft w:val="0"/>
      <w:marRight w:val="0"/>
      <w:marTop w:val="0"/>
      <w:marBottom w:val="0"/>
      <w:divBdr>
        <w:top w:val="none" w:sz="0" w:space="0" w:color="auto"/>
        <w:left w:val="none" w:sz="0" w:space="0" w:color="auto"/>
        <w:bottom w:val="none" w:sz="0" w:space="0" w:color="auto"/>
        <w:right w:val="none" w:sz="0" w:space="0" w:color="auto"/>
      </w:divBdr>
    </w:div>
    <w:div w:id="1386179002">
      <w:bodyDiv w:val="1"/>
      <w:marLeft w:val="0"/>
      <w:marRight w:val="0"/>
      <w:marTop w:val="0"/>
      <w:marBottom w:val="0"/>
      <w:divBdr>
        <w:top w:val="none" w:sz="0" w:space="0" w:color="auto"/>
        <w:left w:val="none" w:sz="0" w:space="0" w:color="auto"/>
        <w:bottom w:val="none" w:sz="0" w:space="0" w:color="auto"/>
        <w:right w:val="none" w:sz="0" w:space="0" w:color="auto"/>
      </w:divBdr>
    </w:div>
    <w:div w:id="1389111136">
      <w:bodyDiv w:val="1"/>
      <w:marLeft w:val="0"/>
      <w:marRight w:val="0"/>
      <w:marTop w:val="0"/>
      <w:marBottom w:val="0"/>
      <w:divBdr>
        <w:top w:val="none" w:sz="0" w:space="0" w:color="auto"/>
        <w:left w:val="none" w:sz="0" w:space="0" w:color="auto"/>
        <w:bottom w:val="none" w:sz="0" w:space="0" w:color="auto"/>
        <w:right w:val="none" w:sz="0" w:space="0" w:color="auto"/>
      </w:divBdr>
    </w:div>
    <w:div w:id="1394039464">
      <w:bodyDiv w:val="1"/>
      <w:marLeft w:val="0"/>
      <w:marRight w:val="0"/>
      <w:marTop w:val="0"/>
      <w:marBottom w:val="0"/>
      <w:divBdr>
        <w:top w:val="none" w:sz="0" w:space="0" w:color="auto"/>
        <w:left w:val="none" w:sz="0" w:space="0" w:color="auto"/>
        <w:bottom w:val="none" w:sz="0" w:space="0" w:color="auto"/>
        <w:right w:val="none" w:sz="0" w:space="0" w:color="auto"/>
      </w:divBdr>
    </w:div>
    <w:div w:id="1395858766">
      <w:bodyDiv w:val="1"/>
      <w:marLeft w:val="0"/>
      <w:marRight w:val="0"/>
      <w:marTop w:val="0"/>
      <w:marBottom w:val="0"/>
      <w:divBdr>
        <w:top w:val="none" w:sz="0" w:space="0" w:color="auto"/>
        <w:left w:val="none" w:sz="0" w:space="0" w:color="auto"/>
        <w:bottom w:val="none" w:sz="0" w:space="0" w:color="auto"/>
        <w:right w:val="none" w:sz="0" w:space="0" w:color="auto"/>
      </w:divBdr>
    </w:div>
    <w:div w:id="1398935234">
      <w:bodyDiv w:val="1"/>
      <w:marLeft w:val="0"/>
      <w:marRight w:val="0"/>
      <w:marTop w:val="0"/>
      <w:marBottom w:val="0"/>
      <w:divBdr>
        <w:top w:val="none" w:sz="0" w:space="0" w:color="auto"/>
        <w:left w:val="none" w:sz="0" w:space="0" w:color="auto"/>
        <w:bottom w:val="none" w:sz="0" w:space="0" w:color="auto"/>
        <w:right w:val="none" w:sz="0" w:space="0" w:color="auto"/>
      </w:divBdr>
    </w:div>
    <w:div w:id="1402026396">
      <w:bodyDiv w:val="1"/>
      <w:marLeft w:val="0"/>
      <w:marRight w:val="0"/>
      <w:marTop w:val="0"/>
      <w:marBottom w:val="0"/>
      <w:divBdr>
        <w:top w:val="none" w:sz="0" w:space="0" w:color="auto"/>
        <w:left w:val="none" w:sz="0" w:space="0" w:color="auto"/>
        <w:bottom w:val="none" w:sz="0" w:space="0" w:color="auto"/>
        <w:right w:val="none" w:sz="0" w:space="0" w:color="auto"/>
      </w:divBdr>
    </w:div>
    <w:div w:id="1403261763">
      <w:bodyDiv w:val="1"/>
      <w:marLeft w:val="0"/>
      <w:marRight w:val="0"/>
      <w:marTop w:val="0"/>
      <w:marBottom w:val="0"/>
      <w:divBdr>
        <w:top w:val="none" w:sz="0" w:space="0" w:color="auto"/>
        <w:left w:val="none" w:sz="0" w:space="0" w:color="auto"/>
        <w:bottom w:val="none" w:sz="0" w:space="0" w:color="auto"/>
        <w:right w:val="none" w:sz="0" w:space="0" w:color="auto"/>
      </w:divBdr>
    </w:div>
    <w:div w:id="1404794111">
      <w:bodyDiv w:val="1"/>
      <w:marLeft w:val="0"/>
      <w:marRight w:val="0"/>
      <w:marTop w:val="0"/>
      <w:marBottom w:val="0"/>
      <w:divBdr>
        <w:top w:val="none" w:sz="0" w:space="0" w:color="auto"/>
        <w:left w:val="none" w:sz="0" w:space="0" w:color="auto"/>
        <w:bottom w:val="none" w:sz="0" w:space="0" w:color="auto"/>
        <w:right w:val="none" w:sz="0" w:space="0" w:color="auto"/>
      </w:divBdr>
    </w:div>
    <w:div w:id="1419711644">
      <w:bodyDiv w:val="1"/>
      <w:marLeft w:val="0"/>
      <w:marRight w:val="0"/>
      <w:marTop w:val="0"/>
      <w:marBottom w:val="0"/>
      <w:divBdr>
        <w:top w:val="none" w:sz="0" w:space="0" w:color="auto"/>
        <w:left w:val="none" w:sz="0" w:space="0" w:color="auto"/>
        <w:bottom w:val="none" w:sz="0" w:space="0" w:color="auto"/>
        <w:right w:val="none" w:sz="0" w:space="0" w:color="auto"/>
      </w:divBdr>
    </w:div>
    <w:div w:id="1423911253">
      <w:bodyDiv w:val="1"/>
      <w:marLeft w:val="0"/>
      <w:marRight w:val="0"/>
      <w:marTop w:val="0"/>
      <w:marBottom w:val="0"/>
      <w:divBdr>
        <w:top w:val="none" w:sz="0" w:space="0" w:color="auto"/>
        <w:left w:val="none" w:sz="0" w:space="0" w:color="auto"/>
        <w:bottom w:val="none" w:sz="0" w:space="0" w:color="auto"/>
        <w:right w:val="none" w:sz="0" w:space="0" w:color="auto"/>
      </w:divBdr>
    </w:div>
    <w:div w:id="1426880277">
      <w:bodyDiv w:val="1"/>
      <w:marLeft w:val="0"/>
      <w:marRight w:val="0"/>
      <w:marTop w:val="0"/>
      <w:marBottom w:val="0"/>
      <w:divBdr>
        <w:top w:val="none" w:sz="0" w:space="0" w:color="auto"/>
        <w:left w:val="none" w:sz="0" w:space="0" w:color="auto"/>
        <w:bottom w:val="none" w:sz="0" w:space="0" w:color="auto"/>
        <w:right w:val="none" w:sz="0" w:space="0" w:color="auto"/>
      </w:divBdr>
    </w:div>
    <w:div w:id="1428964013">
      <w:bodyDiv w:val="1"/>
      <w:marLeft w:val="0"/>
      <w:marRight w:val="0"/>
      <w:marTop w:val="0"/>
      <w:marBottom w:val="0"/>
      <w:divBdr>
        <w:top w:val="none" w:sz="0" w:space="0" w:color="auto"/>
        <w:left w:val="none" w:sz="0" w:space="0" w:color="auto"/>
        <w:bottom w:val="none" w:sz="0" w:space="0" w:color="auto"/>
        <w:right w:val="none" w:sz="0" w:space="0" w:color="auto"/>
      </w:divBdr>
    </w:div>
    <w:div w:id="1435981497">
      <w:bodyDiv w:val="1"/>
      <w:marLeft w:val="0"/>
      <w:marRight w:val="0"/>
      <w:marTop w:val="0"/>
      <w:marBottom w:val="0"/>
      <w:divBdr>
        <w:top w:val="none" w:sz="0" w:space="0" w:color="auto"/>
        <w:left w:val="none" w:sz="0" w:space="0" w:color="auto"/>
        <w:bottom w:val="none" w:sz="0" w:space="0" w:color="auto"/>
        <w:right w:val="none" w:sz="0" w:space="0" w:color="auto"/>
      </w:divBdr>
    </w:div>
    <w:div w:id="1443375824">
      <w:bodyDiv w:val="1"/>
      <w:marLeft w:val="0"/>
      <w:marRight w:val="0"/>
      <w:marTop w:val="0"/>
      <w:marBottom w:val="0"/>
      <w:divBdr>
        <w:top w:val="none" w:sz="0" w:space="0" w:color="auto"/>
        <w:left w:val="none" w:sz="0" w:space="0" w:color="auto"/>
        <w:bottom w:val="none" w:sz="0" w:space="0" w:color="auto"/>
        <w:right w:val="none" w:sz="0" w:space="0" w:color="auto"/>
      </w:divBdr>
    </w:div>
    <w:div w:id="1447507166">
      <w:bodyDiv w:val="1"/>
      <w:marLeft w:val="0"/>
      <w:marRight w:val="0"/>
      <w:marTop w:val="0"/>
      <w:marBottom w:val="0"/>
      <w:divBdr>
        <w:top w:val="none" w:sz="0" w:space="0" w:color="auto"/>
        <w:left w:val="none" w:sz="0" w:space="0" w:color="auto"/>
        <w:bottom w:val="none" w:sz="0" w:space="0" w:color="auto"/>
        <w:right w:val="none" w:sz="0" w:space="0" w:color="auto"/>
      </w:divBdr>
    </w:div>
    <w:div w:id="1450708104">
      <w:bodyDiv w:val="1"/>
      <w:marLeft w:val="0"/>
      <w:marRight w:val="0"/>
      <w:marTop w:val="0"/>
      <w:marBottom w:val="0"/>
      <w:divBdr>
        <w:top w:val="none" w:sz="0" w:space="0" w:color="auto"/>
        <w:left w:val="none" w:sz="0" w:space="0" w:color="auto"/>
        <w:bottom w:val="none" w:sz="0" w:space="0" w:color="auto"/>
        <w:right w:val="none" w:sz="0" w:space="0" w:color="auto"/>
      </w:divBdr>
    </w:div>
    <w:div w:id="1451318212">
      <w:bodyDiv w:val="1"/>
      <w:marLeft w:val="0"/>
      <w:marRight w:val="0"/>
      <w:marTop w:val="0"/>
      <w:marBottom w:val="0"/>
      <w:divBdr>
        <w:top w:val="none" w:sz="0" w:space="0" w:color="auto"/>
        <w:left w:val="none" w:sz="0" w:space="0" w:color="auto"/>
        <w:bottom w:val="none" w:sz="0" w:space="0" w:color="auto"/>
        <w:right w:val="none" w:sz="0" w:space="0" w:color="auto"/>
      </w:divBdr>
    </w:div>
    <w:div w:id="1459489727">
      <w:bodyDiv w:val="1"/>
      <w:marLeft w:val="0"/>
      <w:marRight w:val="0"/>
      <w:marTop w:val="0"/>
      <w:marBottom w:val="0"/>
      <w:divBdr>
        <w:top w:val="none" w:sz="0" w:space="0" w:color="auto"/>
        <w:left w:val="none" w:sz="0" w:space="0" w:color="auto"/>
        <w:bottom w:val="none" w:sz="0" w:space="0" w:color="auto"/>
        <w:right w:val="none" w:sz="0" w:space="0" w:color="auto"/>
      </w:divBdr>
    </w:div>
    <w:div w:id="1462337011">
      <w:bodyDiv w:val="1"/>
      <w:marLeft w:val="0"/>
      <w:marRight w:val="0"/>
      <w:marTop w:val="0"/>
      <w:marBottom w:val="0"/>
      <w:divBdr>
        <w:top w:val="none" w:sz="0" w:space="0" w:color="auto"/>
        <w:left w:val="none" w:sz="0" w:space="0" w:color="auto"/>
        <w:bottom w:val="none" w:sz="0" w:space="0" w:color="auto"/>
        <w:right w:val="none" w:sz="0" w:space="0" w:color="auto"/>
      </w:divBdr>
    </w:div>
    <w:div w:id="1467552778">
      <w:bodyDiv w:val="1"/>
      <w:marLeft w:val="0"/>
      <w:marRight w:val="0"/>
      <w:marTop w:val="0"/>
      <w:marBottom w:val="0"/>
      <w:divBdr>
        <w:top w:val="none" w:sz="0" w:space="0" w:color="auto"/>
        <w:left w:val="none" w:sz="0" w:space="0" w:color="auto"/>
        <w:bottom w:val="none" w:sz="0" w:space="0" w:color="auto"/>
        <w:right w:val="none" w:sz="0" w:space="0" w:color="auto"/>
      </w:divBdr>
    </w:div>
    <w:div w:id="1471434854">
      <w:bodyDiv w:val="1"/>
      <w:marLeft w:val="0"/>
      <w:marRight w:val="0"/>
      <w:marTop w:val="0"/>
      <w:marBottom w:val="0"/>
      <w:divBdr>
        <w:top w:val="none" w:sz="0" w:space="0" w:color="auto"/>
        <w:left w:val="none" w:sz="0" w:space="0" w:color="auto"/>
        <w:bottom w:val="none" w:sz="0" w:space="0" w:color="auto"/>
        <w:right w:val="none" w:sz="0" w:space="0" w:color="auto"/>
      </w:divBdr>
    </w:div>
    <w:div w:id="1471483580">
      <w:bodyDiv w:val="1"/>
      <w:marLeft w:val="0"/>
      <w:marRight w:val="0"/>
      <w:marTop w:val="0"/>
      <w:marBottom w:val="0"/>
      <w:divBdr>
        <w:top w:val="none" w:sz="0" w:space="0" w:color="auto"/>
        <w:left w:val="none" w:sz="0" w:space="0" w:color="auto"/>
        <w:bottom w:val="none" w:sz="0" w:space="0" w:color="auto"/>
        <w:right w:val="none" w:sz="0" w:space="0" w:color="auto"/>
      </w:divBdr>
    </w:div>
    <w:div w:id="1473324997">
      <w:bodyDiv w:val="1"/>
      <w:marLeft w:val="0"/>
      <w:marRight w:val="0"/>
      <w:marTop w:val="0"/>
      <w:marBottom w:val="0"/>
      <w:divBdr>
        <w:top w:val="none" w:sz="0" w:space="0" w:color="auto"/>
        <w:left w:val="none" w:sz="0" w:space="0" w:color="auto"/>
        <w:bottom w:val="none" w:sz="0" w:space="0" w:color="auto"/>
        <w:right w:val="none" w:sz="0" w:space="0" w:color="auto"/>
      </w:divBdr>
    </w:div>
    <w:div w:id="1473478392">
      <w:bodyDiv w:val="1"/>
      <w:marLeft w:val="0"/>
      <w:marRight w:val="0"/>
      <w:marTop w:val="0"/>
      <w:marBottom w:val="0"/>
      <w:divBdr>
        <w:top w:val="none" w:sz="0" w:space="0" w:color="auto"/>
        <w:left w:val="none" w:sz="0" w:space="0" w:color="auto"/>
        <w:bottom w:val="none" w:sz="0" w:space="0" w:color="auto"/>
        <w:right w:val="none" w:sz="0" w:space="0" w:color="auto"/>
      </w:divBdr>
    </w:div>
    <w:div w:id="1483694604">
      <w:bodyDiv w:val="1"/>
      <w:marLeft w:val="0"/>
      <w:marRight w:val="0"/>
      <w:marTop w:val="0"/>
      <w:marBottom w:val="0"/>
      <w:divBdr>
        <w:top w:val="none" w:sz="0" w:space="0" w:color="auto"/>
        <w:left w:val="none" w:sz="0" w:space="0" w:color="auto"/>
        <w:bottom w:val="none" w:sz="0" w:space="0" w:color="auto"/>
        <w:right w:val="none" w:sz="0" w:space="0" w:color="auto"/>
      </w:divBdr>
    </w:div>
    <w:div w:id="1488132591">
      <w:bodyDiv w:val="1"/>
      <w:marLeft w:val="0"/>
      <w:marRight w:val="0"/>
      <w:marTop w:val="0"/>
      <w:marBottom w:val="0"/>
      <w:divBdr>
        <w:top w:val="none" w:sz="0" w:space="0" w:color="auto"/>
        <w:left w:val="none" w:sz="0" w:space="0" w:color="auto"/>
        <w:bottom w:val="none" w:sz="0" w:space="0" w:color="auto"/>
        <w:right w:val="none" w:sz="0" w:space="0" w:color="auto"/>
      </w:divBdr>
    </w:div>
    <w:div w:id="1489245266">
      <w:bodyDiv w:val="1"/>
      <w:marLeft w:val="0"/>
      <w:marRight w:val="0"/>
      <w:marTop w:val="0"/>
      <w:marBottom w:val="0"/>
      <w:divBdr>
        <w:top w:val="none" w:sz="0" w:space="0" w:color="auto"/>
        <w:left w:val="none" w:sz="0" w:space="0" w:color="auto"/>
        <w:bottom w:val="none" w:sz="0" w:space="0" w:color="auto"/>
        <w:right w:val="none" w:sz="0" w:space="0" w:color="auto"/>
      </w:divBdr>
    </w:div>
    <w:div w:id="1499227182">
      <w:bodyDiv w:val="1"/>
      <w:marLeft w:val="0"/>
      <w:marRight w:val="0"/>
      <w:marTop w:val="0"/>
      <w:marBottom w:val="0"/>
      <w:divBdr>
        <w:top w:val="none" w:sz="0" w:space="0" w:color="auto"/>
        <w:left w:val="none" w:sz="0" w:space="0" w:color="auto"/>
        <w:bottom w:val="none" w:sz="0" w:space="0" w:color="auto"/>
        <w:right w:val="none" w:sz="0" w:space="0" w:color="auto"/>
      </w:divBdr>
    </w:div>
    <w:div w:id="1506433504">
      <w:bodyDiv w:val="1"/>
      <w:marLeft w:val="0"/>
      <w:marRight w:val="0"/>
      <w:marTop w:val="0"/>
      <w:marBottom w:val="0"/>
      <w:divBdr>
        <w:top w:val="none" w:sz="0" w:space="0" w:color="auto"/>
        <w:left w:val="none" w:sz="0" w:space="0" w:color="auto"/>
        <w:bottom w:val="none" w:sz="0" w:space="0" w:color="auto"/>
        <w:right w:val="none" w:sz="0" w:space="0" w:color="auto"/>
      </w:divBdr>
    </w:div>
    <w:div w:id="1508208834">
      <w:bodyDiv w:val="1"/>
      <w:marLeft w:val="0"/>
      <w:marRight w:val="0"/>
      <w:marTop w:val="0"/>
      <w:marBottom w:val="0"/>
      <w:divBdr>
        <w:top w:val="none" w:sz="0" w:space="0" w:color="auto"/>
        <w:left w:val="none" w:sz="0" w:space="0" w:color="auto"/>
        <w:bottom w:val="none" w:sz="0" w:space="0" w:color="auto"/>
        <w:right w:val="none" w:sz="0" w:space="0" w:color="auto"/>
      </w:divBdr>
    </w:div>
    <w:div w:id="1508594674">
      <w:bodyDiv w:val="1"/>
      <w:marLeft w:val="0"/>
      <w:marRight w:val="0"/>
      <w:marTop w:val="0"/>
      <w:marBottom w:val="0"/>
      <w:divBdr>
        <w:top w:val="none" w:sz="0" w:space="0" w:color="auto"/>
        <w:left w:val="none" w:sz="0" w:space="0" w:color="auto"/>
        <w:bottom w:val="none" w:sz="0" w:space="0" w:color="auto"/>
        <w:right w:val="none" w:sz="0" w:space="0" w:color="auto"/>
      </w:divBdr>
    </w:div>
    <w:div w:id="1513060447">
      <w:bodyDiv w:val="1"/>
      <w:marLeft w:val="0"/>
      <w:marRight w:val="0"/>
      <w:marTop w:val="0"/>
      <w:marBottom w:val="0"/>
      <w:divBdr>
        <w:top w:val="none" w:sz="0" w:space="0" w:color="auto"/>
        <w:left w:val="none" w:sz="0" w:space="0" w:color="auto"/>
        <w:bottom w:val="none" w:sz="0" w:space="0" w:color="auto"/>
        <w:right w:val="none" w:sz="0" w:space="0" w:color="auto"/>
      </w:divBdr>
    </w:div>
    <w:div w:id="1514226345">
      <w:bodyDiv w:val="1"/>
      <w:marLeft w:val="0"/>
      <w:marRight w:val="0"/>
      <w:marTop w:val="0"/>
      <w:marBottom w:val="0"/>
      <w:divBdr>
        <w:top w:val="none" w:sz="0" w:space="0" w:color="auto"/>
        <w:left w:val="none" w:sz="0" w:space="0" w:color="auto"/>
        <w:bottom w:val="none" w:sz="0" w:space="0" w:color="auto"/>
        <w:right w:val="none" w:sz="0" w:space="0" w:color="auto"/>
      </w:divBdr>
    </w:div>
    <w:div w:id="1514303344">
      <w:bodyDiv w:val="1"/>
      <w:marLeft w:val="0"/>
      <w:marRight w:val="0"/>
      <w:marTop w:val="0"/>
      <w:marBottom w:val="0"/>
      <w:divBdr>
        <w:top w:val="none" w:sz="0" w:space="0" w:color="auto"/>
        <w:left w:val="none" w:sz="0" w:space="0" w:color="auto"/>
        <w:bottom w:val="none" w:sz="0" w:space="0" w:color="auto"/>
        <w:right w:val="none" w:sz="0" w:space="0" w:color="auto"/>
      </w:divBdr>
    </w:div>
    <w:div w:id="1514343156">
      <w:bodyDiv w:val="1"/>
      <w:marLeft w:val="0"/>
      <w:marRight w:val="0"/>
      <w:marTop w:val="0"/>
      <w:marBottom w:val="0"/>
      <w:divBdr>
        <w:top w:val="none" w:sz="0" w:space="0" w:color="auto"/>
        <w:left w:val="none" w:sz="0" w:space="0" w:color="auto"/>
        <w:bottom w:val="none" w:sz="0" w:space="0" w:color="auto"/>
        <w:right w:val="none" w:sz="0" w:space="0" w:color="auto"/>
      </w:divBdr>
    </w:div>
    <w:div w:id="1516845719">
      <w:bodyDiv w:val="1"/>
      <w:marLeft w:val="0"/>
      <w:marRight w:val="0"/>
      <w:marTop w:val="0"/>
      <w:marBottom w:val="0"/>
      <w:divBdr>
        <w:top w:val="none" w:sz="0" w:space="0" w:color="auto"/>
        <w:left w:val="none" w:sz="0" w:space="0" w:color="auto"/>
        <w:bottom w:val="none" w:sz="0" w:space="0" w:color="auto"/>
        <w:right w:val="none" w:sz="0" w:space="0" w:color="auto"/>
      </w:divBdr>
    </w:div>
    <w:div w:id="1517112926">
      <w:bodyDiv w:val="1"/>
      <w:marLeft w:val="0"/>
      <w:marRight w:val="0"/>
      <w:marTop w:val="0"/>
      <w:marBottom w:val="0"/>
      <w:divBdr>
        <w:top w:val="none" w:sz="0" w:space="0" w:color="auto"/>
        <w:left w:val="none" w:sz="0" w:space="0" w:color="auto"/>
        <w:bottom w:val="none" w:sz="0" w:space="0" w:color="auto"/>
        <w:right w:val="none" w:sz="0" w:space="0" w:color="auto"/>
      </w:divBdr>
    </w:div>
    <w:div w:id="1517573398">
      <w:bodyDiv w:val="1"/>
      <w:marLeft w:val="0"/>
      <w:marRight w:val="0"/>
      <w:marTop w:val="0"/>
      <w:marBottom w:val="0"/>
      <w:divBdr>
        <w:top w:val="none" w:sz="0" w:space="0" w:color="auto"/>
        <w:left w:val="none" w:sz="0" w:space="0" w:color="auto"/>
        <w:bottom w:val="none" w:sz="0" w:space="0" w:color="auto"/>
        <w:right w:val="none" w:sz="0" w:space="0" w:color="auto"/>
      </w:divBdr>
    </w:div>
    <w:div w:id="1524710311">
      <w:bodyDiv w:val="1"/>
      <w:marLeft w:val="0"/>
      <w:marRight w:val="0"/>
      <w:marTop w:val="0"/>
      <w:marBottom w:val="0"/>
      <w:divBdr>
        <w:top w:val="none" w:sz="0" w:space="0" w:color="auto"/>
        <w:left w:val="none" w:sz="0" w:space="0" w:color="auto"/>
        <w:bottom w:val="none" w:sz="0" w:space="0" w:color="auto"/>
        <w:right w:val="none" w:sz="0" w:space="0" w:color="auto"/>
      </w:divBdr>
    </w:div>
    <w:div w:id="1526480291">
      <w:bodyDiv w:val="1"/>
      <w:marLeft w:val="0"/>
      <w:marRight w:val="0"/>
      <w:marTop w:val="0"/>
      <w:marBottom w:val="0"/>
      <w:divBdr>
        <w:top w:val="none" w:sz="0" w:space="0" w:color="auto"/>
        <w:left w:val="none" w:sz="0" w:space="0" w:color="auto"/>
        <w:bottom w:val="none" w:sz="0" w:space="0" w:color="auto"/>
        <w:right w:val="none" w:sz="0" w:space="0" w:color="auto"/>
      </w:divBdr>
    </w:div>
    <w:div w:id="1529371559">
      <w:bodyDiv w:val="1"/>
      <w:marLeft w:val="0"/>
      <w:marRight w:val="0"/>
      <w:marTop w:val="0"/>
      <w:marBottom w:val="0"/>
      <w:divBdr>
        <w:top w:val="none" w:sz="0" w:space="0" w:color="auto"/>
        <w:left w:val="none" w:sz="0" w:space="0" w:color="auto"/>
        <w:bottom w:val="none" w:sz="0" w:space="0" w:color="auto"/>
        <w:right w:val="none" w:sz="0" w:space="0" w:color="auto"/>
      </w:divBdr>
    </w:div>
    <w:div w:id="1529491419">
      <w:bodyDiv w:val="1"/>
      <w:marLeft w:val="0"/>
      <w:marRight w:val="0"/>
      <w:marTop w:val="0"/>
      <w:marBottom w:val="0"/>
      <w:divBdr>
        <w:top w:val="none" w:sz="0" w:space="0" w:color="auto"/>
        <w:left w:val="none" w:sz="0" w:space="0" w:color="auto"/>
        <w:bottom w:val="none" w:sz="0" w:space="0" w:color="auto"/>
        <w:right w:val="none" w:sz="0" w:space="0" w:color="auto"/>
      </w:divBdr>
    </w:div>
    <w:div w:id="1531802604">
      <w:bodyDiv w:val="1"/>
      <w:marLeft w:val="0"/>
      <w:marRight w:val="0"/>
      <w:marTop w:val="0"/>
      <w:marBottom w:val="0"/>
      <w:divBdr>
        <w:top w:val="none" w:sz="0" w:space="0" w:color="auto"/>
        <w:left w:val="none" w:sz="0" w:space="0" w:color="auto"/>
        <w:bottom w:val="none" w:sz="0" w:space="0" w:color="auto"/>
        <w:right w:val="none" w:sz="0" w:space="0" w:color="auto"/>
      </w:divBdr>
    </w:div>
    <w:div w:id="1542329897">
      <w:bodyDiv w:val="1"/>
      <w:marLeft w:val="0"/>
      <w:marRight w:val="0"/>
      <w:marTop w:val="0"/>
      <w:marBottom w:val="0"/>
      <w:divBdr>
        <w:top w:val="none" w:sz="0" w:space="0" w:color="auto"/>
        <w:left w:val="none" w:sz="0" w:space="0" w:color="auto"/>
        <w:bottom w:val="none" w:sz="0" w:space="0" w:color="auto"/>
        <w:right w:val="none" w:sz="0" w:space="0" w:color="auto"/>
      </w:divBdr>
    </w:div>
    <w:div w:id="1546022010">
      <w:bodyDiv w:val="1"/>
      <w:marLeft w:val="0"/>
      <w:marRight w:val="0"/>
      <w:marTop w:val="0"/>
      <w:marBottom w:val="0"/>
      <w:divBdr>
        <w:top w:val="none" w:sz="0" w:space="0" w:color="auto"/>
        <w:left w:val="none" w:sz="0" w:space="0" w:color="auto"/>
        <w:bottom w:val="none" w:sz="0" w:space="0" w:color="auto"/>
        <w:right w:val="none" w:sz="0" w:space="0" w:color="auto"/>
      </w:divBdr>
    </w:div>
    <w:div w:id="1546529620">
      <w:bodyDiv w:val="1"/>
      <w:marLeft w:val="0"/>
      <w:marRight w:val="0"/>
      <w:marTop w:val="0"/>
      <w:marBottom w:val="0"/>
      <w:divBdr>
        <w:top w:val="none" w:sz="0" w:space="0" w:color="auto"/>
        <w:left w:val="none" w:sz="0" w:space="0" w:color="auto"/>
        <w:bottom w:val="none" w:sz="0" w:space="0" w:color="auto"/>
        <w:right w:val="none" w:sz="0" w:space="0" w:color="auto"/>
      </w:divBdr>
    </w:div>
    <w:div w:id="1551571486">
      <w:bodyDiv w:val="1"/>
      <w:marLeft w:val="0"/>
      <w:marRight w:val="0"/>
      <w:marTop w:val="0"/>
      <w:marBottom w:val="0"/>
      <w:divBdr>
        <w:top w:val="none" w:sz="0" w:space="0" w:color="auto"/>
        <w:left w:val="none" w:sz="0" w:space="0" w:color="auto"/>
        <w:bottom w:val="none" w:sz="0" w:space="0" w:color="auto"/>
        <w:right w:val="none" w:sz="0" w:space="0" w:color="auto"/>
      </w:divBdr>
    </w:div>
    <w:div w:id="1552963553">
      <w:bodyDiv w:val="1"/>
      <w:marLeft w:val="0"/>
      <w:marRight w:val="0"/>
      <w:marTop w:val="0"/>
      <w:marBottom w:val="0"/>
      <w:divBdr>
        <w:top w:val="none" w:sz="0" w:space="0" w:color="auto"/>
        <w:left w:val="none" w:sz="0" w:space="0" w:color="auto"/>
        <w:bottom w:val="none" w:sz="0" w:space="0" w:color="auto"/>
        <w:right w:val="none" w:sz="0" w:space="0" w:color="auto"/>
      </w:divBdr>
    </w:div>
    <w:div w:id="1554199558">
      <w:bodyDiv w:val="1"/>
      <w:marLeft w:val="0"/>
      <w:marRight w:val="0"/>
      <w:marTop w:val="0"/>
      <w:marBottom w:val="0"/>
      <w:divBdr>
        <w:top w:val="none" w:sz="0" w:space="0" w:color="auto"/>
        <w:left w:val="none" w:sz="0" w:space="0" w:color="auto"/>
        <w:bottom w:val="none" w:sz="0" w:space="0" w:color="auto"/>
        <w:right w:val="none" w:sz="0" w:space="0" w:color="auto"/>
      </w:divBdr>
    </w:div>
    <w:div w:id="1566866930">
      <w:bodyDiv w:val="1"/>
      <w:marLeft w:val="0"/>
      <w:marRight w:val="0"/>
      <w:marTop w:val="0"/>
      <w:marBottom w:val="0"/>
      <w:divBdr>
        <w:top w:val="none" w:sz="0" w:space="0" w:color="auto"/>
        <w:left w:val="none" w:sz="0" w:space="0" w:color="auto"/>
        <w:bottom w:val="none" w:sz="0" w:space="0" w:color="auto"/>
        <w:right w:val="none" w:sz="0" w:space="0" w:color="auto"/>
      </w:divBdr>
    </w:div>
    <w:div w:id="1570263064">
      <w:bodyDiv w:val="1"/>
      <w:marLeft w:val="0"/>
      <w:marRight w:val="0"/>
      <w:marTop w:val="0"/>
      <w:marBottom w:val="0"/>
      <w:divBdr>
        <w:top w:val="none" w:sz="0" w:space="0" w:color="auto"/>
        <w:left w:val="none" w:sz="0" w:space="0" w:color="auto"/>
        <w:bottom w:val="none" w:sz="0" w:space="0" w:color="auto"/>
        <w:right w:val="none" w:sz="0" w:space="0" w:color="auto"/>
      </w:divBdr>
      <w:divsChild>
        <w:div w:id="1733770553">
          <w:marLeft w:val="547"/>
          <w:marRight w:val="0"/>
          <w:marTop w:val="0"/>
          <w:marBottom w:val="0"/>
          <w:divBdr>
            <w:top w:val="none" w:sz="0" w:space="0" w:color="auto"/>
            <w:left w:val="none" w:sz="0" w:space="0" w:color="auto"/>
            <w:bottom w:val="none" w:sz="0" w:space="0" w:color="auto"/>
            <w:right w:val="none" w:sz="0" w:space="0" w:color="auto"/>
          </w:divBdr>
        </w:div>
      </w:divsChild>
    </w:div>
    <w:div w:id="1574122008">
      <w:bodyDiv w:val="1"/>
      <w:marLeft w:val="0"/>
      <w:marRight w:val="0"/>
      <w:marTop w:val="0"/>
      <w:marBottom w:val="0"/>
      <w:divBdr>
        <w:top w:val="none" w:sz="0" w:space="0" w:color="auto"/>
        <w:left w:val="none" w:sz="0" w:space="0" w:color="auto"/>
        <w:bottom w:val="none" w:sz="0" w:space="0" w:color="auto"/>
        <w:right w:val="none" w:sz="0" w:space="0" w:color="auto"/>
      </w:divBdr>
    </w:div>
    <w:div w:id="1577128410">
      <w:bodyDiv w:val="1"/>
      <w:marLeft w:val="0"/>
      <w:marRight w:val="0"/>
      <w:marTop w:val="0"/>
      <w:marBottom w:val="0"/>
      <w:divBdr>
        <w:top w:val="none" w:sz="0" w:space="0" w:color="auto"/>
        <w:left w:val="none" w:sz="0" w:space="0" w:color="auto"/>
        <w:bottom w:val="none" w:sz="0" w:space="0" w:color="auto"/>
        <w:right w:val="none" w:sz="0" w:space="0" w:color="auto"/>
      </w:divBdr>
    </w:div>
    <w:div w:id="1577208289">
      <w:bodyDiv w:val="1"/>
      <w:marLeft w:val="0"/>
      <w:marRight w:val="0"/>
      <w:marTop w:val="0"/>
      <w:marBottom w:val="0"/>
      <w:divBdr>
        <w:top w:val="none" w:sz="0" w:space="0" w:color="auto"/>
        <w:left w:val="none" w:sz="0" w:space="0" w:color="auto"/>
        <w:bottom w:val="none" w:sz="0" w:space="0" w:color="auto"/>
        <w:right w:val="none" w:sz="0" w:space="0" w:color="auto"/>
      </w:divBdr>
    </w:div>
    <w:div w:id="1581720435">
      <w:bodyDiv w:val="1"/>
      <w:marLeft w:val="0"/>
      <w:marRight w:val="0"/>
      <w:marTop w:val="0"/>
      <w:marBottom w:val="0"/>
      <w:divBdr>
        <w:top w:val="none" w:sz="0" w:space="0" w:color="auto"/>
        <w:left w:val="none" w:sz="0" w:space="0" w:color="auto"/>
        <w:bottom w:val="none" w:sz="0" w:space="0" w:color="auto"/>
        <w:right w:val="none" w:sz="0" w:space="0" w:color="auto"/>
      </w:divBdr>
    </w:div>
    <w:div w:id="1583366763">
      <w:bodyDiv w:val="1"/>
      <w:marLeft w:val="0"/>
      <w:marRight w:val="0"/>
      <w:marTop w:val="0"/>
      <w:marBottom w:val="0"/>
      <w:divBdr>
        <w:top w:val="none" w:sz="0" w:space="0" w:color="auto"/>
        <w:left w:val="none" w:sz="0" w:space="0" w:color="auto"/>
        <w:bottom w:val="none" w:sz="0" w:space="0" w:color="auto"/>
        <w:right w:val="none" w:sz="0" w:space="0" w:color="auto"/>
      </w:divBdr>
    </w:div>
    <w:div w:id="1586069267">
      <w:bodyDiv w:val="1"/>
      <w:marLeft w:val="0"/>
      <w:marRight w:val="0"/>
      <w:marTop w:val="0"/>
      <w:marBottom w:val="0"/>
      <w:divBdr>
        <w:top w:val="none" w:sz="0" w:space="0" w:color="auto"/>
        <w:left w:val="none" w:sz="0" w:space="0" w:color="auto"/>
        <w:bottom w:val="none" w:sz="0" w:space="0" w:color="auto"/>
        <w:right w:val="none" w:sz="0" w:space="0" w:color="auto"/>
      </w:divBdr>
    </w:div>
    <w:div w:id="1586258826">
      <w:bodyDiv w:val="1"/>
      <w:marLeft w:val="0"/>
      <w:marRight w:val="0"/>
      <w:marTop w:val="0"/>
      <w:marBottom w:val="0"/>
      <w:divBdr>
        <w:top w:val="none" w:sz="0" w:space="0" w:color="auto"/>
        <w:left w:val="none" w:sz="0" w:space="0" w:color="auto"/>
        <w:bottom w:val="none" w:sz="0" w:space="0" w:color="auto"/>
        <w:right w:val="none" w:sz="0" w:space="0" w:color="auto"/>
      </w:divBdr>
    </w:div>
    <w:div w:id="1586307719">
      <w:bodyDiv w:val="1"/>
      <w:marLeft w:val="0"/>
      <w:marRight w:val="0"/>
      <w:marTop w:val="0"/>
      <w:marBottom w:val="0"/>
      <w:divBdr>
        <w:top w:val="none" w:sz="0" w:space="0" w:color="auto"/>
        <w:left w:val="none" w:sz="0" w:space="0" w:color="auto"/>
        <w:bottom w:val="none" w:sz="0" w:space="0" w:color="auto"/>
        <w:right w:val="none" w:sz="0" w:space="0" w:color="auto"/>
      </w:divBdr>
    </w:div>
    <w:div w:id="1590309705">
      <w:bodyDiv w:val="1"/>
      <w:marLeft w:val="0"/>
      <w:marRight w:val="0"/>
      <w:marTop w:val="0"/>
      <w:marBottom w:val="0"/>
      <w:divBdr>
        <w:top w:val="none" w:sz="0" w:space="0" w:color="auto"/>
        <w:left w:val="none" w:sz="0" w:space="0" w:color="auto"/>
        <w:bottom w:val="none" w:sz="0" w:space="0" w:color="auto"/>
        <w:right w:val="none" w:sz="0" w:space="0" w:color="auto"/>
      </w:divBdr>
    </w:div>
    <w:div w:id="1593052308">
      <w:bodyDiv w:val="1"/>
      <w:marLeft w:val="0"/>
      <w:marRight w:val="0"/>
      <w:marTop w:val="0"/>
      <w:marBottom w:val="0"/>
      <w:divBdr>
        <w:top w:val="none" w:sz="0" w:space="0" w:color="auto"/>
        <w:left w:val="none" w:sz="0" w:space="0" w:color="auto"/>
        <w:bottom w:val="none" w:sz="0" w:space="0" w:color="auto"/>
        <w:right w:val="none" w:sz="0" w:space="0" w:color="auto"/>
      </w:divBdr>
    </w:div>
    <w:div w:id="1598437974">
      <w:bodyDiv w:val="1"/>
      <w:marLeft w:val="0"/>
      <w:marRight w:val="0"/>
      <w:marTop w:val="0"/>
      <w:marBottom w:val="0"/>
      <w:divBdr>
        <w:top w:val="none" w:sz="0" w:space="0" w:color="auto"/>
        <w:left w:val="none" w:sz="0" w:space="0" w:color="auto"/>
        <w:bottom w:val="none" w:sz="0" w:space="0" w:color="auto"/>
        <w:right w:val="none" w:sz="0" w:space="0" w:color="auto"/>
      </w:divBdr>
    </w:div>
    <w:div w:id="1602493673">
      <w:bodyDiv w:val="1"/>
      <w:marLeft w:val="0"/>
      <w:marRight w:val="0"/>
      <w:marTop w:val="0"/>
      <w:marBottom w:val="0"/>
      <w:divBdr>
        <w:top w:val="none" w:sz="0" w:space="0" w:color="auto"/>
        <w:left w:val="none" w:sz="0" w:space="0" w:color="auto"/>
        <w:bottom w:val="none" w:sz="0" w:space="0" w:color="auto"/>
        <w:right w:val="none" w:sz="0" w:space="0" w:color="auto"/>
      </w:divBdr>
    </w:div>
    <w:div w:id="1605652116">
      <w:bodyDiv w:val="1"/>
      <w:marLeft w:val="0"/>
      <w:marRight w:val="0"/>
      <w:marTop w:val="0"/>
      <w:marBottom w:val="0"/>
      <w:divBdr>
        <w:top w:val="none" w:sz="0" w:space="0" w:color="auto"/>
        <w:left w:val="none" w:sz="0" w:space="0" w:color="auto"/>
        <w:bottom w:val="none" w:sz="0" w:space="0" w:color="auto"/>
        <w:right w:val="none" w:sz="0" w:space="0" w:color="auto"/>
      </w:divBdr>
    </w:div>
    <w:div w:id="1609192517">
      <w:bodyDiv w:val="1"/>
      <w:marLeft w:val="0"/>
      <w:marRight w:val="0"/>
      <w:marTop w:val="0"/>
      <w:marBottom w:val="0"/>
      <w:divBdr>
        <w:top w:val="none" w:sz="0" w:space="0" w:color="auto"/>
        <w:left w:val="none" w:sz="0" w:space="0" w:color="auto"/>
        <w:bottom w:val="none" w:sz="0" w:space="0" w:color="auto"/>
        <w:right w:val="none" w:sz="0" w:space="0" w:color="auto"/>
      </w:divBdr>
    </w:div>
    <w:div w:id="1615288686">
      <w:bodyDiv w:val="1"/>
      <w:marLeft w:val="0"/>
      <w:marRight w:val="0"/>
      <w:marTop w:val="0"/>
      <w:marBottom w:val="0"/>
      <w:divBdr>
        <w:top w:val="none" w:sz="0" w:space="0" w:color="auto"/>
        <w:left w:val="none" w:sz="0" w:space="0" w:color="auto"/>
        <w:bottom w:val="none" w:sz="0" w:space="0" w:color="auto"/>
        <w:right w:val="none" w:sz="0" w:space="0" w:color="auto"/>
      </w:divBdr>
    </w:div>
    <w:div w:id="1627739080">
      <w:bodyDiv w:val="1"/>
      <w:marLeft w:val="0"/>
      <w:marRight w:val="0"/>
      <w:marTop w:val="0"/>
      <w:marBottom w:val="0"/>
      <w:divBdr>
        <w:top w:val="none" w:sz="0" w:space="0" w:color="auto"/>
        <w:left w:val="none" w:sz="0" w:space="0" w:color="auto"/>
        <w:bottom w:val="none" w:sz="0" w:space="0" w:color="auto"/>
        <w:right w:val="none" w:sz="0" w:space="0" w:color="auto"/>
      </w:divBdr>
    </w:div>
    <w:div w:id="1629243273">
      <w:bodyDiv w:val="1"/>
      <w:marLeft w:val="0"/>
      <w:marRight w:val="0"/>
      <w:marTop w:val="0"/>
      <w:marBottom w:val="0"/>
      <w:divBdr>
        <w:top w:val="none" w:sz="0" w:space="0" w:color="auto"/>
        <w:left w:val="none" w:sz="0" w:space="0" w:color="auto"/>
        <w:bottom w:val="none" w:sz="0" w:space="0" w:color="auto"/>
        <w:right w:val="none" w:sz="0" w:space="0" w:color="auto"/>
      </w:divBdr>
    </w:div>
    <w:div w:id="1631934801">
      <w:bodyDiv w:val="1"/>
      <w:marLeft w:val="0"/>
      <w:marRight w:val="0"/>
      <w:marTop w:val="0"/>
      <w:marBottom w:val="0"/>
      <w:divBdr>
        <w:top w:val="none" w:sz="0" w:space="0" w:color="auto"/>
        <w:left w:val="none" w:sz="0" w:space="0" w:color="auto"/>
        <w:bottom w:val="none" w:sz="0" w:space="0" w:color="auto"/>
        <w:right w:val="none" w:sz="0" w:space="0" w:color="auto"/>
      </w:divBdr>
    </w:div>
    <w:div w:id="1638993005">
      <w:bodyDiv w:val="1"/>
      <w:marLeft w:val="0"/>
      <w:marRight w:val="0"/>
      <w:marTop w:val="0"/>
      <w:marBottom w:val="0"/>
      <w:divBdr>
        <w:top w:val="none" w:sz="0" w:space="0" w:color="auto"/>
        <w:left w:val="none" w:sz="0" w:space="0" w:color="auto"/>
        <w:bottom w:val="none" w:sz="0" w:space="0" w:color="auto"/>
        <w:right w:val="none" w:sz="0" w:space="0" w:color="auto"/>
      </w:divBdr>
    </w:div>
    <w:div w:id="1641496185">
      <w:bodyDiv w:val="1"/>
      <w:marLeft w:val="0"/>
      <w:marRight w:val="0"/>
      <w:marTop w:val="0"/>
      <w:marBottom w:val="0"/>
      <w:divBdr>
        <w:top w:val="none" w:sz="0" w:space="0" w:color="auto"/>
        <w:left w:val="none" w:sz="0" w:space="0" w:color="auto"/>
        <w:bottom w:val="none" w:sz="0" w:space="0" w:color="auto"/>
        <w:right w:val="none" w:sz="0" w:space="0" w:color="auto"/>
      </w:divBdr>
    </w:div>
    <w:div w:id="1645502813">
      <w:bodyDiv w:val="1"/>
      <w:marLeft w:val="0"/>
      <w:marRight w:val="0"/>
      <w:marTop w:val="0"/>
      <w:marBottom w:val="0"/>
      <w:divBdr>
        <w:top w:val="none" w:sz="0" w:space="0" w:color="auto"/>
        <w:left w:val="none" w:sz="0" w:space="0" w:color="auto"/>
        <w:bottom w:val="none" w:sz="0" w:space="0" w:color="auto"/>
        <w:right w:val="none" w:sz="0" w:space="0" w:color="auto"/>
      </w:divBdr>
    </w:div>
    <w:div w:id="1649630696">
      <w:bodyDiv w:val="1"/>
      <w:marLeft w:val="0"/>
      <w:marRight w:val="0"/>
      <w:marTop w:val="0"/>
      <w:marBottom w:val="0"/>
      <w:divBdr>
        <w:top w:val="none" w:sz="0" w:space="0" w:color="auto"/>
        <w:left w:val="none" w:sz="0" w:space="0" w:color="auto"/>
        <w:bottom w:val="none" w:sz="0" w:space="0" w:color="auto"/>
        <w:right w:val="none" w:sz="0" w:space="0" w:color="auto"/>
      </w:divBdr>
    </w:div>
    <w:div w:id="1655917304">
      <w:bodyDiv w:val="1"/>
      <w:marLeft w:val="0"/>
      <w:marRight w:val="0"/>
      <w:marTop w:val="0"/>
      <w:marBottom w:val="0"/>
      <w:divBdr>
        <w:top w:val="none" w:sz="0" w:space="0" w:color="auto"/>
        <w:left w:val="none" w:sz="0" w:space="0" w:color="auto"/>
        <w:bottom w:val="none" w:sz="0" w:space="0" w:color="auto"/>
        <w:right w:val="none" w:sz="0" w:space="0" w:color="auto"/>
      </w:divBdr>
    </w:div>
    <w:div w:id="1656570455">
      <w:bodyDiv w:val="1"/>
      <w:marLeft w:val="0"/>
      <w:marRight w:val="0"/>
      <w:marTop w:val="0"/>
      <w:marBottom w:val="0"/>
      <w:divBdr>
        <w:top w:val="none" w:sz="0" w:space="0" w:color="auto"/>
        <w:left w:val="none" w:sz="0" w:space="0" w:color="auto"/>
        <w:bottom w:val="none" w:sz="0" w:space="0" w:color="auto"/>
        <w:right w:val="none" w:sz="0" w:space="0" w:color="auto"/>
      </w:divBdr>
    </w:div>
    <w:div w:id="1658920134">
      <w:bodyDiv w:val="1"/>
      <w:marLeft w:val="0"/>
      <w:marRight w:val="0"/>
      <w:marTop w:val="0"/>
      <w:marBottom w:val="0"/>
      <w:divBdr>
        <w:top w:val="none" w:sz="0" w:space="0" w:color="auto"/>
        <w:left w:val="none" w:sz="0" w:space="0" w:color="auto"/>
        <w:bottom w:val="none" w:sz="0" w:space="0" w:color="auto"/>
        <w:right w:val="none" w:sz="0" w:space="0" w:color="auto"/>
      </w:divBdr>
    </w:div>
    <w:div w:id="1662075174">
      <w:bodyDiv w:val="1"/>
      <w:marLeft w:val="0"/>
      <w:marRight w:val="0"/>
      <w:marTop w:val="0"/>
      <w:marBottom w:val="0"/>
      <w:divBdr>
        <w:top w:val="none" w:sz="0" w:space="0" w:color="auto"/>
        <w:left w:val="none" w:sz="0" w:space="0" w:color="auto"/>
        <w:bottom w:val="none" w:sz="0" w:space="0" w:color="auto"/>
        <w:right w:val="none" w:sz="0" w:space="0" w:color="auto"/>
      </w:divBdr>
    </w:div>
    <w:div w:id="1663266606">
      <w:bodyDiv w:val="1"/>
      <w:marLeft w:val="0"/>
      <w:marRight w:val="0"/>
      <w:marTop w:val="0"/>
      <w:marBottom w:val="0"/>
      <w:divBdr>
        <w:top w:val="none" w:sz="0" w:space="0" w:color="auto"/>
        <w:left w:val="none" w:sz="0" w:space="0" w:color="auto"/>
        <w:bottom w:val="none" w:sz="0" w:space="0" w:color="auto"/>
        <w:right w:val="none" w:sz="0" w:space="0" w:color="auto"/>
      </w:divBdr>
    </w:div>
    <w:div w:id="1664241586">
      <w:bodyDiv w:val="1"/>
      <w:marLeft w:val="0"/>
      <w:marRight w:val="0"/>
      <w:marTop w:val="0"/>
      <w:marBottom w:val="0"/>
      <w:divBdr>
        <w:top w:val="none" w:sz="0" w:space="0" w:color="auto"/>
        <w:left w:val="none" w:sz="0" w:space="0" w:color="auto"/>
        <w:bottom w:val="none" w:sz="0" w:space="0" w:color="auto"/>
        <w:right w:val="none" w:sz="0" w:space="0" w:color="auto"/>
      </w:divBdr>
    </w:div>
    <w:div w:id="1664623348">
      <w:bodyDiv w:val="1"/>
      <w:marLeft w:val="0"/>
      <w:marRight w:val="0"/>
      <w:marTop w:val="0"/>
      <w:marBottom w:val="0"/>
      <w:divBdr>
        <w:top w:val="none" w:sz="0" w:space="0" w:color="auto"/>
        <w:left w:val="none" w:sz="0" w:space="0" w:color="auto"/>
        <w:bottom w:val="none" w:sz="0" w:space="0" w:color="auto"/>
        <w:right w:val="none" w:sz="0" w:space="0" w:color="auto"/>
      </w:divBdr>
    </w:div>
    <w:div w:id="1664967677">
      <w:bodyDiv w:val="1"/>
      <w:marLeft w:val="0"/>
      <w:marRight w:val="0"/>
      <w:marTop w:val="0"/>
      <w:marBottom w:val="0"/>
      <w:divBdr>
        <w:top w:val="none" w:sz="0" w:space="0" w:color="auto"/>
        <w:left w:val="none" w:sz="0" w:space="0" w:color="auto"/>
        <w:bottom w:val="none" w:sz="0" w:space="0" w:color="auto"/>
        <w:right w:val="none" w:sz="0" w:space="0" w:color="auto"/>
      </w:divBdr>
    </w:div>
    <w:div w:id="1666057246">
      <w:bodyDiv w:val="1"/>
      <w:marLeft w:val="0"/>
      <w:marRight w:val="0"/>
      <w:marTop w:val="0"/>
      <w:marBottom w:val="0"/>
      <w:divBdr>
        <w:top w:val="none" w:sz="0" w:space="0" w:color="auto"/>
        <w:left w:val="none" w:sz="0" w:space="0" w:color="auto"/>
        <w:bottom w:val="none" w:sz="0" w:space="0" w:color="auto"/>
        <w:right w:val="none" w:sz="0" w:space="0" w:color="auto"/>
      </w:divBdr>
    </w:div>
    <w:div w:id="1671105980">
      <w:bodyDiv w:val="1"/>
      <w:marLeft w:val="0"/>
      <w:marRight w:val="0"/>
      <w:marTop w:val="0"/>
      <w:marBottom w:val="0"/>
      <w:divBdr>
        <w:top w:val="none" w:sz="0" w:space="0" w:color="auto"/>
        <w:left w:val="none" w:sz="0" w:space="0" w:color="auto"/>
        <w:bottom w:val="none" w:sz="0" w:space="0" w:color="auto"/>
        <w:right w:val="none" w:sz="0" w:space="0" w:color="auto"/>
      </w:divBdr>
    </w:div>
    <w:div w:id="1673600388">
      <w:bodyDiv w:val="1"/>
      <w:marLeft w:val="0"/>
      <w:marRight w:val="0"/>
      <w:marTop w:val="0"/>
      <w:marBottom w:val="0"/>
      <w:divBdr>
        <w:top w:val="none" w:sz="0" w:space="0" w:color="auto"/>
        <w:left w:val="none" w:sz="0" w:space="0" w:color="auto"/>
        <w:bottom w:val="none" w:sz="0" w:space="0" w:color="auto"/>
        <w:right w:val="none" w:sz="0" w:space="0" w:color="auto"/>
      </w:divBdr>
    </w:div>
    <w:div w:id="1674725319">
      <w:bodyDiv w:val="1"/>
      <w:marLeft w:val="0"/>
      <w:marRight w:val="0"/>
      <w:marTop w:val="0"/>
      <w:marBottom w:val="0"/>
      <w:divBdr>
        <w:top w:val="none" w:sz="0" w:space="0" w:color="auto"/>
        <w:left w:val="none" w:sz="0" w:space="0" w:color="auto"/>
        <w:bottom w:val="none" w:sz="0" w:space="0" w:color="auto"/>
        <w:right w:val="none" w:sz="0" w:space="0" w:color="auto"/>
      </w:divBdr>
    </w:div>
    <w:div w:id="1677267616">
      <w:bodyDiv w:val="1"/>
      <w:marLeft w:val="0"/>
      <w:marRight w:val="0"/>
      <w:marTop w:val="0"/>
      <w:marBottom w:val="0"/>
      <w:divBdr>
        <w:top w:val="none" w:sz="0" w:space="0" w:color="auto"/>
        <w:left w:val="none" w:sz="0" w:space="0" w:color="auto"/>
        <w:bottom w:val="none" w:sz="0" w:space="0" w:color="auto"/>
        <w:right w:val="none" w:sz="0" w:space="0" w:color="auto"/>
      </w:divBdr>
    </w:div>
    <w:div w:id="1683966552">
      <w:bodyDiv w:val="1"/>
      <w:marLeft w:val="0"/>
      <w:marRight w:val="0"/>
      <w:marTop w:val="0"/>
      <w:marBottom w:val="0"/>
      <w:divBdr>
        <w:top w:val="none" w:sz="0" w:space="0" w:color="auto"/>
        <w:left w:val="none" w:sz="0" w:space="0" w:color="auto"/>
        <w:bottom w:val="none" w:sz="0" w:space="0" w:color="auto"/>
        <w:right w:val="none" w:sz="0" w:space="0" w:color="auto"/>
      </w:divBdr>
    </w:div>
    <w:div w:id="1687750741">
      <w:bodyDiv w:val="1"/>
      <w:marLeft w:val="0"/>
      <w:marRight w:val="0"/>
      <w:marTop w:val="0"/>
      <w:marBottom w:val="0"/>
      <w:divBdr>
        <w:top w:val="none" w:sz="0" w:space="0" w:color="auto"/>
        <w:left w:val="none" w:sz="0" w:space="0" w:color="auto"/>
        <w:bottom w:val="none" w:sz="0" w:space="0" w:color="auto"/>
        <w:right w:val="none" w:sz="0" w:space="0" w:color="auto"/>
      </w:divBdr>
    </w:div>
    <w:div w:id="1689018508">
      <w:bodyDiv w:val="1"/>
      <w:marLeft w:val="0"/>
      <w:marRight w:val="0"/>
      <w:marTop w:val="0"/>
      <w:marBottom w:val="0"/>
      <w:divBdr>
        <w:top w:val="none" w:sz="0" w:space="0" w:color="auto"/>
        <w:left w:val="none" w:sz="0" w:space="0" w:color="auto"/>
        <w:bottom w:val="none" w:sz="0" w:space="0" w:color="auto"/>
        <w:right w:val="none" w:sz="0" w:space="0" w:color="auto"/>
      </w:divBdr>
    </w:div>
    <w:div w:id="1690444751">
      <w:bodyDiv w:val="1"/>
      <w:marLeft w:val="0"/>
      <w:marRight w:val="0"/>
      <w:marTop w:val="0"/>
      <w:marBottom w:val="0"/>
      <w:divBdr>
        <w:top w:val="none" w:sz="0" w:space="0" w:color="auto"/>
        <w:left w:val="none" w:sz="0" w:space="0" w:color="auto"/>
        <w:bottom w:val="none" w:sz="0" w:space="0" w:color="auto"/>
        <w:right w:val="none" w:sz="0" w:space="0" w:color="auto"/>
      </w:divBdr>
    </w:div>
    <w:div w:id="1691033241">
      <w:bodyDiv w:val="1"/>
      <w:marLeft w:val="0"/>
      <w:marRight w:val="0"/>
      <w:marTop w:val="0"/>
      <w:marBottom w:val="0"/>
      <w:divBdr>
        <w:top w:val="none" w:sz="0" w:space="0" w:color="auto"/>
        <w:left w:val="none" w:sz="0" w:space="0" w:color="auto"/>
        <w:bottom w:val="none" w:sz="0" w:space="0" w:color="auto"/>
        <w:right w:val="none" w:sz="0" w:space="0" w:color="auto"/>
      </w:divBdr>
    </w:div>
    <w:div w:id="1697807526">
      <w:bodyDiv w:val="1"/>
      <w:marLeft w:val="0"/>
      <w:marRight w:val="0"/>
      <w:marTop w:val="0"/>
      <w:marBottom w:val="0"/>
      <w:divBdr>
        <w:top w:val="none" w:sz="0" w:space="0" w:color="auto"/>
        <w:left w:val="none" w:sz="0" w:space="0" w:color="auto"/>
        <w:bottom w:val="none" w:sz="0" w:space="0" w:color="auto"/>
        <w:right w:val="none" w:sz="0" w:space="0" w:color="auto"/>
      </w:divBdr>
    </w:div>
    <w:div w:id="1700273878">
      <w:bodyDiv w:val="1"/>
      <w:marLeft w:val="0"/>
      <w:marRight w:val="0"/>
      <w:marTop w:val="0"/>
      <w:marBottom w:val="0"/>
      <w:divBdr>
        <w:top w:val="none" w:sz="0" w:space="0" w:color="auto"/>
        <w:left w:val="none" w:sz="0" w:space="0" w:color="auto"/>
        <w:bottom w:val="none" w:sz="0" w:space="0" w:color="auto"/>
        <w:right w:val="none" w:sz="0" w:space="0" w:color="auto"/>
      </w:divBdr>
    </w:div>
    <w:div w:id="1702632552">
      <w:bodyDiv w:val="1"/>
      <w:marLeft w:val="0"/>
      <w:marRight w:val="0"/>
      <w:marTop w:val="0"/>
      <w:marBottom w:val="0"/>
      <w:divBdr>
        <w:top w:val="none" w:sz="0" w:space="0" w:color="auto"/>
        <w:left w:val="none" w:sz="0" w:space="0" w:color="auto"/>
        <w:bottom w:val="none" w:sz="0" w:space="0" w:color="auto"/>
        <w:right w:val="none" w:sz="0" w:space="0" w:color="auto"/>
      </w:divBdr>
    </w:div>
    <w:div w:id="1706327424">
      <w:bodyDiv w:val="1"/>
      <w:marLeft w:val="0"/>
      <w:marRight w:val="0"/>
      <w:marTop w:val="0"/>
      <w:marBottom w:val="0"/>
      <w:divBdr>
        <w:top w:val="none" w:sz="0" w:space="0" w:color="auto"/>
        <w:left w:val="none" w:sz="0" w:space="0" w:color="auto"/>
        <w:bottom w:val="none" w:sz="0" w:space="0" w:color="auto"/>
        <w:right w:val="none" w:sz="0" w:space="0" w:color="auto"/>
      </w:divBdr>
    </w:div>
    <w:div w:id="1711878246">
      <w:bodyDiv w:val="1"/>
      <w:marLeft w:val="0"/>
      <w:marRight w:val="0"/>
      <w:marTop w:val="0"/>
      <w:marBottom w:val="0"/>
      <w:divBdr>
        <w:top w:val="none" w:sz="0" w:space="0" w:color="auto"/>
        <w:left w:val="none" w:sz="0" w:space="0" w:color="auto"/>
        <w:bottom w:val="none" w:sz="0" w:space="0" w:color="auto"/>
        <w:right w:val="none" w:sz="0" w:space="0" w:color="auto"/>
      </w:divBdr>
    </w:div>
    <w:div w:id="1718360617">
      <w:bodyDiv w:val="1"/>
      <w:marLeft w:val="0"/>
      <w:marRight w:val="0"/>
      <w:marTop w:val="0"/>
      <w:marBottom w:val="0"/>
      <w:divBdr>
        <w:top w:val="none" w:sz="0" w:space="0" w:color="auto"/>
        <w:left w:val="none" w:sz="0" w:space="0" w:color="auto"/>
        <w:bottom w:val="none" w:sz="0" w:space="0" w:color="auto"/>
        <w:right w:val="none" w:sz="0" w:space="0" w:color="auto"/>
      </w:divBdr>
    </w:div>
    <w:div w:id="1724861733">
      <w:bodyDiv w:val="1"/>
      <w:marLeft w:val="0"/>
      <w:marRight w:val="0"/>
      <w:marTop w:val="0"/>
      <w:marBottom w:val="0"/>
      <w:divBdr>
        <w:top w:val="none" w:sz="0" w:space="0" w:color="auto"/>
        <w:left w:val="none" w:sz="0" w:space="0" w:color="auto"/>
        <w:bottom w:val="none" w:sz="0" w:space="0" w:color="auto"/>
        <w:right w:val="none" w:sz="0" w:space="0" w:color="auto"/>
      </w:divBdr>
    </w:div>
    <w:div w:id="1728644992">
      <w:bodyDiv w:val="1"/>
      <w:marLeft w:val="0"/>
      <w:marRight w:val="0"/>
      <w:marTop w:val="0"/>
      <w:marBottom w:val="0"/>
      <w:divBdr>
        <w:top w:val="none" w:sz="0" w:space="0" w:color="auto"/>
        <w:left w:val="none" w:sz="0" w:space="0" w:color="auto"/>
        <w:bottom w:val="none" w:sz="0" w:space="0" w:color="auto"/>
        <w:right w:val="none" w:sz="0" w:space="0" w:color="auto"/>
      </w:divBdr>
    </w:div>
    <w:div w:id="1728917107">
      <w:bodyDiv w:val="1"/>
      <w:marLeft w:val="0"/>
      <w:marRight w:val="0"/>
      <w:marTop w:val="0"/>
      <w:marBottom w:val="0"/>
      <w:divBdr>
        <w:top w:val="none" w:sz="0" w:space="0" w:color="auto"/>
        <w:left w:val="none" w:sz="0" w:space="0" w:color="auto"/>
        <w:bottom w:val="none" w:sz="0" w:space="0" w:color="auto"/>
        <w:right w:val="none" w:sz="0" w:space="0" w:color="auto"/>
      </w:divBdr>
    </w:div>
    <w:div w:id="1730691676">
      <w:bodyDiv w:val="1"/>
      <w:marLeft w:val="0"/>
      <w:marRight w:val="0"/>
      <w:marTop w:val="0"/>
      <w:marBottom w:val="0"/>
      <w:divBdr>
        <w:top w:val="none" w:sz="0" w:space="0" w:color="auto"/>
        <w:left w:val="none" w:sz="0" w:space="0" w:color="auto"/>
        <w:bottom w:val="none" w:sz="0" w:space="0" w:color="auto"/>
        <w:right w:val="none" w:sz="0" w:space="0" w:color="auto"/>
      </w:divBdr>
    </w:div>
    <w:div w:id="1730882903">
      <w:bodyDiv w:val="1"/>
      <w:marLeft w:val="0"/>
      <w:marRight w:val="0"/>
      <w:marTop w:val="0"/>
      <w:marBottom w:val="0"/>
      <w:divBdr>
        <w:top w:val="none" w:sz="0" w:space="0" w:color="auto"/>
        <w:left w:val="none" w:sz="0" w:space="0" w:color="auto"/>
        <w:bottom w:val="none" w:sz="0" w:space="0" w:color="auto"/>
        <w:right w:val="none" w:sz="0" w:space="0" w:color="auto"/>
      </w:divBdr>
    </w:div>
    <w:div w:id="1731343464">
      <w:bodyDiv w:val="1"/>
      <w:marLeft w:val="0"/>
      <w:marRight w:val="0"/>
      <w:marTop w:val="0"/>
      <w:marBottom w:val="0"/>
      <w:divBdr>
        <w:top w:val="none" w:sz="0" w:space="0" w:color="auto"/>
        <w:left w:val="none" w:sz="0" w:space="0" w:color="auto"/>
        <w:bottom w:val="none" w:sz="0" w:space="0" w:color="auto"/>
        <w:right w:val="none" w:sz="0" w:space="0" w:color="auto"/>
      </w:divBdr>
    </w:div>
    <w:div w:id="1731414695">
      <w:bodyDiv w:val="1"/>
      <w:marLeft w:val="0"/>
      <w:marRight w:val="0"/>
      <w:marTop w:val="0"/>
      <w:marBottom w:val="0"/>
      <w:divBdr>
        <w:top w:val="none" w:sz="0" w:space="0" w:color="auto"/>
        <w:left w:val="none" w:sz="0" w:space="0" w:color="auto"/>
        <w:bottom w:val="none" w:sz="0" w:space="0" w:color="auto"/>
        <w:right w:val="none" w:sz="0" w:space="0" w:color="auto"/>
      </w:divBdr>
    </w:div>
    <w:div w:id="1734501411">
      <w:bodyDiv w:val="1"/>
      <w:marLeft w:val="0"/>
      <w:marRight w:val="0"/>
      <w:marTop w:val="0"/>
      <w:marBottom w:val="0"/>
      <w:divBdr>
        <w:top w:val="none" w:sz="0" w:space="0" w:color="auto"/>
        <w:left w:val="none" w:sz="0" w:space="0" w:color="auto"/>
        <w:bottom w:val="none" w:sz="0" w:space="0" w:color="auto"/>
        <w:right w:val="none" w:sz="0" w:space="0" w:color="auto"/>
      </w:divBdr>
    </w:div>
    <w:div w:id="1738355705">
      <w:bodyDiv w:val="1"/>
      <w:marLeft w:val="0"/>
      <w:marRight w:val="0"/>
      <w:marTop w:val="0"/>
      <w:marBottom w:val="0"/>
      <w:divBdr>
        <w:top w:val="none" w:sz="0" w:space="0" w:color="auto"/>
        <w:left w:val="none" w:sz="0" w:space="0" w:color="auto"/>
        <w:bottom w:val="none" w:sz="0" w:space="0" w:color="auto"/>
        <w:right w:val="none" w:sz="0" w:space="0" w:color="auto"/>
      </w:divBdr>
    </w:div>
    <w:div w:id="1745568735">
      <w:bodyDiv w:val="1"/>
      <w:marLeft w:val="0"/>
      <w:marRight w:val="0"/>
      <w:marTop w:val="0"/>
      <w:marBottom w:val="0"/>
      <w:divBdr>
        <w:top w:val="none" w:sz="0" w:space="0" w:color="auto"/>
        <w:left w:val="none" w:sz="0" w:space="0" w:color="auto"/>
        <w:bottom w:val="none" w:sz="0" w:space="0" w:color="auto"/>
        <w:right w:val="none" w:sz="0" w:space="0" w:color="auto"/>
      </w:divBdr>
    </w:div>
    <w:div w:id="1746805987">
      <w:bodyDiv w:val="1"/>
      <w:marLeft w:val="0"/>
      <w:marRight w:val="0"/>
      <w:marTop w:val="0"/>
      <w:marBottom w:val="0"/>
      <w:divBdr>
        <w:top w:val="none" w:sz="0" w:space="0" w:color="auto"/>
        <w:left w:val="none" w:sz="0" w:space="0" w:color="auto"/>
        <w:bottom w:val="none" w:sz="0" w:space="0" w:color="auto"/>
        <w:right w:val="none" w:sz="0" w:space="0" w:color="auto"/>
      </w:divBdr>
    </w:div>
    <w:div w:id="1749186388">
      <w:bodyDiv w:val="1"/>
      <w:marLeft w:val="0"/>
      <w:marRight w:val="0"/>
      <w:marTop w:val="0"/>
      <w:marBottom w:val="0"/>
      <w:divBdr>
        <w:top w:val="none" w:sz="0" w:space="0" w:color="auto"/>
        <w:left w:val="none" w:sz="0" w:space="0" w:color="auto"/>
        <w:bottom w:val="none" w:sz="0" w:space="0" w:color="auto"/>
        <w:right w:val="none" w:sz="0" w:space="0" w:color="auto"/>
      </w:divBdr>
    </w:div>
    <w:div w:id="1760827889">
      <w:bodyDiv w:val="1"/>
      <w:marLeft w:val="0"/>
      <w:marRight w:val="0"/>
      <w:marTop w:val="0"/>
      <w:marBottom w:val="0"/>
      <w:divBdr>
        <w:top w:val="none" w:sz="0" w:space="0" w:color="auto"/>
        <w:left w:val="none" w:sz="0" w:space="0" w:color="auto"/>
        <w:bottom w:val="none" w:sz="0" w:space="0" w:color="auto"/>
        <w:right w:val="none" w:sz="0" w:space="0" w:color="auto"/>
      </w:divBdr>
    </w:div>
    <w:div w:id="1762943974">
      <w:bodyDiv w:val="1"/>
      <w:marLeft w:val="0"/>
      <w:marRight w:val="0"/>
      <w:marTop w:val="0"/>
      <w:marBottom w:val="0"/>
      <w:divBdr>
        <w:top w:val="none" w:sz="0" w:space="0" w:color="auto"/>
        <w:left w:val="none" w:sz="0" w:space="0" w:color="auto"/>
        <w:bottom w:val="none" w:sz="0" w:space="0" w:color="auto"/>
        <w:right w:val="none" w:sz="0" w:space="0" w:color="auto"/>
      </w:divBdr>
    </w:div>
    <w:div w:id="1763647848">
      <w:bodyDiv w:val="1"/>
      <w:marLeft w:val="0"/>
      <w:marRight w:val="0"/>
      <w:marTop w:val="0"/>
      <w:marBottom w:val="0"/>
      <w:divBdr>
        <w:top w:val="none" w:sz="0" w:space="0" w:color="auto"/>
        <w:left w:val="none" w:sz="0" w:space="0" w:color="auto"/>
        <w:bottom w:val="none" w:sz="0" w:space="0" w:color="auto"/>
        <w:right w:val="none" w:sz="0" w:space="0" w:color="auto"/>
      </w:divBdr>
    </w:div>
    <w:div w:id="1764184291">
      <w:bodyDiv w:val="1"/>
      <w:marLeft w:val="0"/>
      <w:marRight w:val="0"/>
      <w:marTop w:val="0"/>
      <w:marBottom w:val="0"/>
      <w:divBdr>
        <w:top w:val="none" w:sz="0" w:space="0" w:color="auto"/>
        <w:left w:val="none" w:sz="0" w:space="0" w:color="auto"/>
        <w:bottom w:val="none" w:sz="0" w:space="0" w:color="auto"/>
        <w:right w:val="none" w:sz="0" w:space="0" w:color="auto"/>
      </w:divBdr>
    </w:div>
    <w:div w:id="1764498607">
      <w:bodyDiv w:val="1"/>
      <w:marLeft w:val="0"/>
      <w:marRight w:val="0"/>
      <w:marTop w:val="0"/>
      <w:marBottom w:val="0"/>
      <w:divBdr>
        <w:top w:val="none" w:sz="0" w:space="0" w:color="auto"/>
        <w:left w:val="none" w:sz="0" w:space="0" w:color="auto"/>
        <w:bottom w:val="none" w:sz="0" w:space="0" w:color="auto"/>
        <w:right w:val="none" w:sz="0" w:space="0" w:color="auto"/>
      </w:divBdr>
    </w:div>
    <w:div w:id="1765229205">
      <w:bodyDiv w:val="1"/>
      <w:marLeft w:val="0"/>
      <w:marRight w:val="0"/>
      <w:marTop w:val="0"/>
      <w:marBottom w:val="0"/>
      <w:divBdr>
        <w:top w:val="none" w:sz="0" w:space="0" w:color="auto"/>
        <w:left w:val="none" w:sz="0" w:space="0" w:color="auto"/>
        <w:bottom w:val="none" w:sz="0" w:space="0" w:color="auto"/>
        <w:right w:val="none" w:sz="0" w:space="0" w:color="auto"/>
      </w:divBdr>
    </w:div>
    <w:div w:id="1773627301">
      <w:bodyDiv w:val="1"/>
      <w:marLeft w:val="0"/>
      <w:marRight w:val="0"/>
      <w:marTop w:val="0"/>
      <w:marBottom w:val="0"/>
      <w:divBdr>
        <w:top w:val="none" w:sz="0" w:space="0" w:color="auto"/>
        <w:left w:val="none" w:sz="0" w:space="0" w:color="auto"/>
        <w:bottom w:val="none" w:sz="0" w:space="0" w:color="auto"/>
        <w:right w:val="none" w:sz="0" w:space="0" w:color="auto"/>
      </w:divBdr>
    </w:div>
    <w:div w:id="1774863596">
      <w:bodyDiv w:val="1"/>
      <w:marLeft w:val="0"/>
      <w:marRight w:val="0"/>
      <w:marTop w:val="0"/>
      <w:marBottom w:val="0"/>
      <w:divBdr>
        <w:top w:val="none" w:sz="0" w:space="0" w:color="auto"/>
        <w:left w:val="none" w:sz="0" w:space="0" w:color="auto"/>
        <w:bottom w:val="none" w:sz="0" w:space="0" w:color="auto"/>
        <w:right w:val="none" w:sz="0" w:space="0" w:color="auto"/>
      </w:divBdr>
    </w:div>
    <w:div w:id="1776166729">
      <w:bodyDiv w:val="1"/>
      <w:marLeft w:val="0"/>
      <w:marRight w:val="0"/>
      <w:marTop w:val="0"/>
      <w:marBottom w:val="0"/>
      <w:divBdr>
        <w:top w:val="none" w:sz="0" w:space="0" w:color="auto"/>
        <w:left w:val="none" w:sz="0" w:space="0" w:color="auto"/>
        <w:bottom w:val="none" w:sz="0" w:space="0" w:color="auto"/>
        <w:right w:val="none" w:sz="0" w:space="0" w:color="auto"/>
      </w:divBdr>
    </w:div>
    <w:div w:id="1777944642">
      <w:bodyDiv w:val="1"/>
      <w:marLeft w:val="0"/>
      <w:marRight w:val="0"/>
      <w:marTop w:val="0"/>
      <w:marBottom w:val="0"/>
      <w:divBdr>
        <w:top w:val="none" w:sz="0" w:space="0" w:color="auto"/>
        <w:left w:val="none" w:sz="0" w:space="0" w:color="auto"/>
        <w:bottom w:val="none" w:sz="0" w:space="0" w:color="auto"/>
        <w:right w:val="none" w:sz="0" w:space="0" w:color="auto"/>
      </w:divBdr>
    </w:div>
    <w:div w:id="1778941418">
      <w:bodyDiv w:val="1"/>
      <w:marLeft w:val="0"/>
      <w:marRight w:val="0"/>
      <w:marTop w:val="0"/>
      <w:marBottom w:val="0"/>
      <w:divBdr>
        <w:top w:val="none" w:sz="0" w:space="0" w:color="auto"/>
        <w:left w:val="none" w:sz="0" w:space="0" w:color="auto"/>
        <w:bottom w:val="none" w:sz="0" w:space="0" w:color="auto"/>
        <w:right w:val="none" w:sz="0" w:space="0" w:color="auto"/>
      </w:divBdr>
    </w:div>
    <w:div w:id="1781682948">
      <w:bodyDiv w:val="1"/>
      <w:marLeft w:val="0"/>
      <w:marRight w:val="0"/>
      <w:marTop w:val="0"/>
      <w:marBottom w:val="0"/>
      <w:divBdr>
        <w:top w:val="none" w:sz="0" w:space="0" w:color="auto"/>
        <w:left w:val="none" w:sz="0" w:space="0" w:color="auto"/>
        <w:bottom w:val="none" w:sz="0" w:space="0" w:color="auto"/>
        <w:right w:val="none" w:sz="0" w:space="0" w:color="auto"/>
      </w:divBdr>
    </w:div>
    <w:div w:id="1783763497">
      <w:bodyDiv w:val="1"/>
      <w:marLeft w:val="0"/>
      <w:marRight w:val="0"/>
      <w:marTop w:val="0"/>
      <w:marBottom w:val="0"/>
      <w:divBdr>
        <w:top w:val="none" w:sz="0" w:space="0" w:color="auto"/>
        <w:left w:val="none" w:sz="0" w:space="0" w:color="auto"/>
        <w:bottom w:val="none" w:sz="0" w:space="0" w:color="auto"/>
        <w:right w:val="none" w:sz="0" w:space="0" w:color="auto"/>
      </w:divBdr>
    </w:div>
    <w:div w:id="1785034498">
      <w:bodyDiv w:val="1"/>
      <w:marLeft w:val="0"/>
      <w:marRight w:val="0"/>
      <w:marTop w:val="0"/>
      <w:marBottom w:val="0"/>
      <w:divBdr>
        <w:top w:val="none" w:sz="0" w:space="0" w:color="auto"/>
        <w:left w:val="none" w:sz="0" w:space="0" w:color="auto"/>
        <w:bottom w:val="none" w:sz="0" w:space="0" w:color="auto"/>
        <w:right w:val="none" w:sz="0" w:space="0" w:color="auto"/>
      </w:divBdr>
    </w:div>
    <w:div w:id="1787578201">
      <w:bodyDiv w:val="1"/>
      <w:marLeft w:val="0"/>
      <w:marRight w:val="0"/>
      <w:marTop w:val="0"/>
      <w:marBottom w:val="0"/>
      <w:divBdr>
        <w:top w:val="none" w:sz="0" w:space="0" w:color="auto"/>
        <w:left w:val="none" w:sz="0" w:space="0" w:color="auto"/>
        <w:bottom w:val="none" w:sz="0" w:space="0" w:color="auto"/>
        <w:right w:val="none" w:sz="0" w:space="0" w:color="auto"/>
      </w:divBdr>
    </w:div>
    <w:div w:id="1787774496">
      <w:bodyDiv w:val="1"/>
      <w:marLeft w:val="0"/>
      <w:marRight w:val="0"/>
      <w:marTop w:val="0"/>
      <w:marBottom w:val="0"/>
      <w:divBdr>
        <w:top w:val="none" w:sz="0" w:space="0" w:color="auto"/>
        <w:left w:val="none" w:sz="0" w:space="0" w:color="auto"/>
        <w:bottom w:val="none" w:sz="0" w:space="0" w:color="auto"/>
        <w:right w:val="none" w:sz="0" w:space="0" w:color="auto"/>
      </w:divBdr>
    </w:div>
    <w:div w:id="1788698871">
      <w:bodyDiv w:val="1"/>
      <w:marLeft w:val="0"/>
      <w:marRight w:val="0"/>
      <w:marTop w:val="0"/>
      <w:marBottom w:val="0"/>
      <w:divBdr>
        <w:top w:val="none" w:sz="0" w:space="0" w:color="auto"/>
        <w:left w:val="none" w:sz="0" w:space="0" w:color="auto"/>
        <w:bottom w:val="none" w:sz="0" w:space="0" w:color="auto"/>
        <w:right w:val="none" w:sz="0" w:space="0" w:color="auto"/>
      </w:divBdr>
    </w:div>
    <w:div w:id="1794519808">
      <w:bodyDiv w:val="1"/>
      <w:marLeft w:val="0"/>
      <w:marRight w:val="0"/>
      <w:marTop w:val="0"/>
      <w:marBottom w:val="0"/>
      <w:divBdr>
        <w:top w:val="none" w:sz="0" w:space="0" w:color="auto"/>
        <w:left w:val="none" w:sz="0" w:space="0" w:color="auto"/>
        <w:bottom w:val="none" w:sz="0" w:space="0" w:color="auto"/>
        <w:right w:val="none" w:sz="0" w:space="0" w:color="auto"/>
      </w:divBdr>
    </w:div>
    <w:div w:id="1802576689">
      <w:bodyDiv w:val="1"/>
      <w:marLeft w:val="0"/>
      <w:marRight w:val="0"/>
      <w:marTop w:val="0"/>
      <w:marBottom w:val="0"/>
      <w:divBdr>
        <w:top w:val="none" w:sz="0" w:space="0" w:color="auto"/>
        <w:left w:val="none" w:sz="0" w:space="0" w:color="auto"/>
        <w:bottom w:val="none" w:sz="0" w:space="0" w:color="auto"/>
        <w:right w:val="none" w:sz="0" w:space="0" w:color="auto"/>
      </w:divBdr>
    </w:div>
    <w:div w:id="1802765917">
      <w:bodyDiv w:val="1"/>
      <w:marLeft w:val="0"/>
      <w:marRight w:val="0"/>
      <w:marTop w:val="0"/>
      <w:marBottom w:val="0"/>
      <w:divBdr>
        <w:top w:val="none" w:sz="0" w:space="0" w:color="auto"/>
        <w:left w:val="none" w:sz="0" w:space="0" w:color="auto"/>
        <w:bottom w:val="none" w:sz="0" w:space="0" w:color="auto"/>
        <w:right w:val="none" w:sz="0" w:space="0" w:color="auto"/>
      </w:divBdr>
    </w:div>
    <w:div w:id="1803305144">
      <w:bodyDiv w:val="1"/>
      <w:marLeft w:val="0"/>
      <w:marRight w:val="0"/>
      <w:marTop w:val="0"/>
      <w:marBottom w:val="0"/>
      <w:divBdr>
        <w:top w:val="none" w:sz="0" w:space="0" w:color="auto"/>
        <w:left w:val="none" w:sz="0" w:space="0" w:color="auto"/>
        <w:bottom w:val="none" w:sz="0" w:space="0" w:color="auto"/>
        <w:right w:val="none" w:sz="0" w:space="0" w:color="auto"/>
      </w:divBdr>
    </w:div>
    <w:div w:id="1803764878">
      <w:bodyDiv w:val="1"/>
      <w:marLeft w:val="0"/>
      <w:marRight w:val="0"/>
      <w:marTop w:val="0"/>
      <w:marBottom w:val="0"/>
      <w:divBdr>
        <w:top w:val="none" w:sz="0" w:space="0" w:color="auto"/>
        <w:left w:val="none" w:sz="0" w:space="0" w:color="auto"/>
        <w:bottom w:val="none" w:sz="0" w:space="0" w:color="auto"/>
        <w:right w:val="none" w:sz="0" w:space="0" w:color="auto"/>
      </w:divBdr>
    </w:div>
    <w:div w:id="1804343631">
      <w:bodyDiv w:val="1"/>
      <w:marLeft w:val="0"/>
      <w:marRight w:val="0"/>
      <w:marTop w:val="0"/>
      <w:marBottom w:val="0"/>
      <w:divBdr>
        <w:top w:val="none" w:sz="0" w:space="0" w:color="auto"/>
        <w:left w:val="none" w:sz="0" w:space="0" w:color="auto"/>
        <w:bottom w:val="none" w:sz="0" w:space="0" w:color="auto"/>
        <w:right w:val="none" w:sz="0" w:space="0" w:color="auto"/>
      </w:divBdr>
    </w:div>
    <w:div w:id="1805613840">
      <w:bodyDiv w:val="1"/>
      <w:marLeft w:val="0"/>
      <w:marRight w:val="0"/>
      <w:marTop w:val="0"/>
      <w:marBottom w:val="0"/>
      <w:divBdr>
        <w:top w:val="none" w:sz="0" w:space="0" w:color="auto"/>
        <w:left w:val="none" w:sz="0" w:space="0" w:color="auto"/>
        <w:bottom w:val="none" w:sz="0" w:space="0" w:color="auto"/>
        <w:right w:val="none" w:sz="0" w:space="0" w:color="auto"/>
      </w:divBdr>
    </w:div>
    <w:div w:id="1805735657">
      <w:bodyDiv w:val="1"/>
      <w:marLeft w:val="0"/>
      <w:marRight w:val="0"/>
      <w:marTop w:val="0"/>
      <w:marBottom w:val="0"/>
      <w:divBdr>
        <w:top w:val="none" w:sz="0" w:space="0" w:color="auto"/>
        <w:left w:val="none" w:sz="0" w:space="0" w:color="auto"/>
        <w:bottom w:val="none" w:sz="0" w:space="0" w:color="auto"/>
        <w:right w:val="none" w:sz="0" w:space="0" w:color="auto"/>
      </w:divBdr>
    </w:div>
    <w:div w:id="1808664665">
      <w:bodyDiv w:val="1"/>
      <w:marLeft w:val="0"/>
      <w:marRight w:val="0"/>
      <w:marTop w:val="0"/>
      <w:marBottom w:val="0"/>
      <w:divBdr>
        <w:top w:val="none" w:sz="0" w:space="0" w:color="auto"/>
        <w:left w:val="none" w:sz="0" w:space="0" w:color="auto"/>
        <w:bottom w:val="none" w:sz="0" w:space="0" w:color="auto"/>
        <w:right w:val="none" w:sz="0" w:space="0" w:color="auto"/>
      </w:divBdr>
    </w:div>
    <w:div w:id="1816995155">
      <w:bodyDiv w:val="1"/>
      <w:marLeft w:val="0"/>
      <w:marRight w:val="0"/>
      <w:marTop w:val="0"/>
      <w:marBottom w:val="0"/>
      <w:divBdr>
        <w:top w:val="none" w:sz="0" w:space="0" w:color="auto"/>
        <w:left w:val="none" w:sz="0" w:space="0" w:color="auto"/>
        <w:bottom w:val="none" w:sz="0" w:space="0" w:color="auto"/>
        <w:right w:val="none" w:sz="0" w:space="0" w:color="auto"/>
      </w:divBdr>
    </w:div>
    <w:div w:id="1818691526">
      <w:bodyDiv w:val="1"/>
      <w:marLeft w:val="0"/>
      <w:marRight w:val="0"/>
      <w:marTop w:val="0"/>
      <w:marBottom w:val="0"/>
      <w:divBdr>
        <w:top w:val="none" w:sz="0" w:space="0" w:color="auto"/>
        <w:left w:val="none" w:sz="0" w:space="0" w:color="auto"/>
        <w:bottom w:val="none" w:sz="0" w:space="0" w:color="auto"/>
        <w:right w:val="none" w:sz="0" w:space="0" w:color="auto"/>
      </w:divBdr>
    </w:div>
    <w:div w:id="1823815754">
      <w:bodyDiv w:val="1"/>
      <w:marLeft w:val="0"/>
      <w:marRight w:val="0"/>
      <w:marTop w:val="0"/>
      <w:marBottom w:val="0"/>
      <w:divBdr>
        <w:top w:val="none" w:sz="0" w:space="0" w:color="auto"/>
        <w:left w:val="none" w:sz="0" w:space="0" w:color="auto"/>
        <w:bottom w:val="none" w:sz="0" w:space="0" w:color="auto"/>
        <w:right w:val="none" w:sz="0" w:space="0" w:color="auto"/>
      </w:divBdr>
    </w:div>
    <w:div w:id="1824546585">
      <w:bodyDiv w:val="1"/>
      <w:marLeft w:val="0"/>
      <w:marRight w:val="0"/>
      <w:marTop w:val="0"/>
      <w:marBottom w:val="0"/>
      <w:divBdr>
        <w:top w:val="none" w:sz="0" w:space="0" w:color="auto"/>
        <w:left w:val="none" w:sz="0" w:space="0" w:color="auto"/>
        <w:bottom w:val="none" w:sz="0" w:space="0" w:color="auto"/>
        <w:right w:val="none" w:sz="0" w:space="0" w:color="auto"/>
      </w:divBdr>
    </w:div>
    <w:div w:id="1825703210">
      <w:bodyDiv w:val="1"/>
      <w:marLeft w:val="0"/>
      <w:marRight w:val="0"/>
      <w:marTop w:val="0"/>
      <w:marBottom w:val="0"/>
      <w:divBdr>
        <w:top w:val="none" w:sz="0" w:space="0" w:color="auto"/>
        <w:left w:val="none" w:sz="0" w:space="0" w:color="auto"/>
        <w:bottom w:val="none" w:sz="0" w:space="0" w:color="auto"/>
        <w:right w:val="none" w:sz="0" w:space="0" w:color="auto"/>
      </w:divBdr>
    </w:div>
    <w:div w:id="1826166668">
      <w:bodyDiv w:val="1"/>
      <w:marLeft w:val="0"/>
      <w:marRight w:val="0"/>
      <w:marTop w:val="0"/>
      <w:marBottom w:val="0"/>
      <w:divBdr>
        <w:top w:val="none" w:sz="0" w:space="0" w:color="auto"/>
        <w:left w:val="none" w:sz="0" w:space="0" w:color="auto"/>
        <w:bottom w:val="none" w:sz="0" w:space="0" w:color="auto"/>
        <w:right w:val="none" w:sz="0" w:space="0" w:color="auto"/>
      </w:divBdr>
    </w:div>
    <w:div w:id="1828014459">
      <w:bodyDiv w:val="1"/>
      <w:marLeft w:val="0"/>
      <w:marRight w:val="0"/>
      <w:marTop w:val="0"/>
      <w:marBottom w:val="0"/>
      <w:divBdr>
        <w:top w:val="none" w:sz="0" w:space="0" w:color="auto"/>
        <w:left w:val="none" w:sz="0" w:space="0" w:color="auto"/>
        <w:bottom w:val="none" w:sz="0" w:space="0" w:color="auto"/>
        <w:right w:val="none" w:sz="0" w:space="0" w:color="auto"/>
      </w:divBdr>
    </w:div>
    <w:div w:id="1832603294">
      <w:bodyDiv w:val="1"/>
      <w:marLeft w:val="0"/>
      <w:marRight w:val="0"/>
      <w:marTop w:val="0"/>
      <w:marBottom w:val="0"/>
      <w:divBdr>
        <w:top w:val="none" w:sz="0" w:space="0" w:color="auto"/>
        <w:left w:val="none" w:sz="0" w:space="0" w:color="auto"/>
        <w:bottom w:val="none" w:sz="0" w:space="0" w:color="auto"/>
        <w:right w:val="none" w:sz="0" w:space="0" w:color="auto"/>
      </w:divBdr>
    </w:div>
    <w:div w:id="1838573835">
      <w:bodyDiv w:val="1"/>
      <w:marLeft w:val="0"/>
      <w:marRight w:val="0"/>
      <w:marTop w:val="0"/>
      <w:marBottom w:val="0"/>
      <w:divBdr>
        <w:top w:val="none" w:sz="0" w:space="0" w:color="auto"/>
        <w:left w:val="none" w:sz="0" w:space="0" w:color="auto"/>
        <w:bottom w:val="none" w:sz="0" w:space="0" w:color="auto"/>
        <w:right w:val="none" w:sz="0" w:space="0" w:color="auto"/>
      </w:divBdr>
    </w:div>
    <w:div w:id="1840343321">
      <w:bodyDiv w:val="1"/>
      <w:marLeft w:val="0"/>
      <w:marRight w:val="0"/>
      <w:marTop w:val="0"/>
      <w:marBottom w:val="0"/>
      <w:divBdr>
        <w:top w:val="none" w:sz="0" w:space="0" w:color="auto"/>
        <w:left w:val="none" w:sz="0" w:space="0" w:color="auto"/>
        <w:bottom w:val="none" w:sz="0" w:space="0" w:color="auto"/>
        <w:right w:val="none" w:sz="0" w:space="0" w:color="auto"/>
      </w:divBdr>
    </w:div>
    <w:div w:id="1847162635">
      <w:bodyDiv w:val="1"/>
      <w:marLeft w:val="0"/>
      <w:marRight w:val="0"/>
      <w:marTop w:val="0"/>
      <w:marBottom w:val="0"/>
      <w:divBdr>
        <w:top w:val="none" w:sz="0" w:space="0" w:color="auto"/>
        <w:left w:val="none" w:sz="0" w:space="0" w:color="auto"/>
        <w:bottom w:val="none" w:sz="0" w:space="0" w:color="auto"/>
        <w:right w:val="none" w:sz="0" w:space="0" w:color="auto"/>
      </w:divBdr>
    </w:div>
    <w:div w:id="1847862890">
      <w:bodyDiv w:val="1"/>
      <w:marLeft w:val="0"/>
      <w:marRight w:val="0"/>
      <w:marTop w:val="0"/>
      <w:marBottom w:val="0"/>
      <w:divBdr>
        <w:top w:val="none" w:sz="0" w:space="0" w:color="auto"/>
        <w:left w:val="none" w:sz="0" w:space="0" w:color="auto"/>
        <w:bottom w:val="none" w:sz="0" w:space="0" w:color="auto"/>
        <w:right w:val="none" w:sz="0" w:space="0" w:color="auto"/>
      </w:divBdr>
    </w:div>
    <w:div w:id="1850489027">
      <w:bodyDiv w:val="1"/>
      <w:marLeft w:val="0"/>
      <w:marRight w:val="0"/>
      <w:marTop w:val="0"/>
      <w:marBottom w:val="0"/>
      <w:divBdr>
        <w:top w:val="none" w:sz="0" w:space="0" w:color="auto"/>
        <w:left w:val="none" w:sz="0" w:space="0" w:color="auto"/>
        <w:bottom w:val="none" w:sz="0" w:space="0" w:color="auto"/>
        <w:right w:val="none" w:sz="0" w:space="0" w:color="auto"/>
      </w:divBdr>
    </w:div>
    <w:div w:id="1853377794">
      <w:bodyDiv w:val="1"/>
      <w:marLeft w:val="0"/>
      <w:marRight w:val="0"/>
      <w:marTop w:val="0"/>
      <w:marBottom w:val="0"/>
      <w:divBdr>
        <w:top w:val="none" w:sz="0" w:space="0" w:color="auto"/>
        <w:left w:val="none" w:sz="0" w:space="0" w:color="auto"/>
        <w:bottom w:val="none" w:sz="0" w:space="0" w:color="auto"/>
        <w:right w:val="none" w:sz="0" w:space="0" w:color="auto"/>
      </w:divBdr>
    </w:div>
    <w:div w:id="1853565643">
      <w:bodyDiv w:val="1"/>
      <w:marLeft w:val="0"/>
      <w:marRight w:val="0"/>
      <w:marTop w:val="0"/>
      <w:marBottom w:val="0"/>
      <w:divBdr>
        <w:top w:val="none" w:sz="0" w:space="0" w:color="auto"/>
        <w:left w:val="none" w:sz="0" w:space="0" w:color="auto"/>
        <w:bottom w:val="none" w:sz="0" w:space="0" w:color="auto"/>
        <w:right w:val="none" w:sz="0" w:space="0" w:color="auto"/>
      </w:divBdr>
    </w:div>
    <w:div w:id="1855076623">
      <w:bodyDiv w:val="1"/>
      <w:marLeft w:val="0"/>
      <w:marRight w:val="0"/>
      <w:marTop w:val="0"/>
      <w:marBottom w:val="0"/>
      <w:divBdr>
        <w:top w:val="none" w:sz="0" w:space="0" w:color="auto"/>
        <w:left w:val="none" w:sz="0" w:space="0" w:color="auto"/>
        <w:bottom w:val="none" w:sz="0" w:space="0" w:color="auto"/>
        <w:right w:val="none" w:sz="0" w:space="0" w:color="auto"/>
      </w:divBdr>
    </w:div>
    <w:div w:id="1858035977">
      <w:bodyDiv w:val="1"/>
      <w:marLeft w:val="0"/>
      <w:marRight w:val="0"/>
      <w:marTop w:val="0"/>
      <w:marBottom w:val="0"/>
      <w:divBdr>
        <w:top w:val="none" w:sz="0" w:space="0" w:color="auto"/>
        <w:left w:val="none" w:sz="0" w:space="0" w:color="auto"/>
        <w:bottom w:val="none" w:sz="0" w:space="0" w:color="auto"/>
        <w:right w:val="none" w:sz="0" w:space="0" w:color="auto"/>
      </w:divBdr>
    </w:div>
    <w:div w:id="1861893079">
      <w:bodyDiv w:val="1"/>
      <w:marLeft w:val="0"/>
      <w:marRight w:val="0"/>
      <w:marTop w:val="0"/>
      <w:marBottom w:val="0"/>
      <w:divBdr>
        <w:top w:val="none" w:sz="0" w:space="0" w:color="auto"/>
        <w:left w:val="none" w:sz="0" w:space="0" w:color="auto"/>
        <w:bottom w:val="none" w:sz="0" w:space="0" w:color="auto"/>
        <w:right w:val="none" w:sz="0" w:space="0" w:color="auto"/>
      </w:divBdr>
    </w:div>
    <w:div w:id="1862159317">
      <w:bodyDiv w:val="1"/>
      <w:marLeft w:val="0"/>
      <w:marRight w:val="0"/>
      <w:marTop w:val="0"/>
      <w:marBottom w:val="0"/>
      <w:divBdr>
        <w:top w:val="none" w:sz="0" w:space="0" w:color="auto"/>
        <w:left w:val="none" w:sz="0" w:space="0" w:color="auto"/>
        <w:bottom w:val="none" w:sz="0" w:space="0" w:color="auto"/>
        <w:right w:val="none" w:sz="0" w:space="0" w:color="auto"/>
      </w:divBdr>
    </w:div>
    <w:div w:id="1863595073">
      <w:bodyDiv w:val="1"/>
      <w:marLeft w:val="0"/>
      <w:marRight w:val="0"/>
      <w:marTop w:val="0"/>
      <w:marBottom w:val="0"/>
      <w:divBdr>
        <w:top w:val="none" w:sz="0" w:space="0" w:color="auto"/>
        <w:left w:val="none" w:sz="0" w:space="0" w:color="auto"/>
        <w:bottom w:val="none" w:sz="0" w:space="0" w:color="auto"/>
        <w:right w:val="none" w:sz="0" w:space="0" w:color="auto"/>
      </w:divBdr>
    </w:div>
    <w:div w:id="1869954536">
      <w:bodyDiv w:val="1"/>
      <w:marLeft w:val="0"/>
      <w:marRight w:val="0"/>
      <w:marTop w:val="0"/>
      <w:marBottom w:val="0"/>
      <w:divBdr>
        <w:top w:val="none" w:sz="0" w:space="0" w:color="auto"/>
        <w:left w:val="none" w:sz="0" w:space="0" w:color="auto"/>
        <w:bottom w:val="none" w:sz="0" w:space="0" w:color="auto"/>
        <w:right w:val="none" w:sz="0" w:space="0" w:color="auto"/>
      </w:divBdr>
    </w:div>
    <w:div w:id="1870142257">
      <w:bodyDiv w:val="1"/>
      <w:marLeft w:val="0"/>
      <w:marRight w:val="0"/>
      <w:marTop w:val="0"/>
      <w:marBottom w:val="0"/>
      <w:divBdr>
        <w:top w:val="none" w:sz="0" w:space="0" w:color="auto"/>
        <w:left w:val="none" w:sz="0" w:space="0" w:color="auto"/>
        <w:bottom w:val="none" w:sz="0" w:space="0" w:color="auto"/>
        <w:right w:val="none" w:sz="0" w:space="0" w:color="auto"/>
      </w:divBdr>
    </w:div>
    <w:div w:id="1871724936">
      <w:bodyDiv w:val="1"/>
      <w:marLeft w:val="0"/>
      <w:marRight w:val="0"/>
      <w:marTop w:val="0"/>
      <w:marBottom w:val="0"/>
      <w:divBdr>
        <w:top w:val="none" w:sz="0" w:space="0" w:color="auto"/>
        <w:left w:val="none" w:sz="0" w:space="0" w:color="auto"/>
        <w:bottom w:val="none" w:sz="0" w:space="0" w:color="auto"/>
        <w:right w:val="none" w:sz="0" w:space="0" w:color="auto"/>
      </w:divBdr>
    </w:div>
    <w:div w:id="1873498952">
      <w:bodyDiv w:val="1"/>
      <w:marLeft w:val="0"/>
      <w:marRight w:val="0"/>
      <w:marTop w:val="0"/>
      <w:marBottom w:val="0"/>
      <w:divBdr>
        <w:top w:val="none" w:sz="0" w:space="0" w:color="auto"/>
        <w:left w:val="none" w:sz="0" w:space="0" w:color="auto"/>
        <w:bottom w:val="none" w:sz="0" w:space="0" w:color="auto"/>
        <w:right w:val="none" w:sz="0" w:space="0" w:color="auto"/>
      </w:divBdr>
    </w:div>
    <w:div w:id="1884099367">
      <w:bodyDiv w:val="1"/>
      <w:marLeft w:val="0"/>
      <w:marRight w:val="0"/>
      <w:marTop w:val="0"/>
      <w:marBottom w:val="0"/>
      <w:divBdr>
        <w:top w:val="none" w:sz="0" w:space="0" w:color="auto"/>
        <w:left w:val="none" w:sz="0" w:space="0" w:color="auto"/>
        <w:bottom w:val="none" w:sz="0" w:space="0" w:color="auto"/>
        <w:right w:val="none" w:sz="0" w:space="0" w:color="auto"/>
      </w:divBdr>
    </w:div>
    <w:div w:id="1890874437">
      <w:bodyDiv w:val="1"/>
      <w:marLeft w:val="0"/>
      <w:marRight w:val="0"/>
      <w:marTop w:val="0"/>
      <w:marBottom w:val="0"/>
      <w:divBdr>
        <w:top w:val="none" w:sz="0" w:space="0" w:color="auto"/>
        <w:left w:val="none" w:sz="0" w:space="0" w:color="auto"/>
        <w:bottom w:val="none" w:sz="0" w:space="0" w:color="auto"/>
        <w:right w:val="none" w:sz="0" w:space="0" w:color="auto"/>
      </w:divBdr>
    </w:div>
    <w:div w:id="1891651584">
      <w:bodyDiv w:val="1"/>
      <w:marLeft w:val="0"/>
      <w:marRight w:val="0"/>
      <w:marTop w:val="0"/>
      <w:marBottom w:val="0"/>
      <w:divBdr>
        <w:top w:val="none" w:sz="0" w:space="0" w:color="auto"/>
        <w:left w:val="none" w:sz="0" w:space="0" w:color="auto"/>
        <w:bottom w:val="none" w:sz="0" w:space="0" w:color="auto"/>
        <w:right w:val="none" w:sz="0" w:space="0" w:color="auto"/>
      </w:divBdr>
    </w:div>
    <w:div w:id="1895696387">
      <w:bodyDiv w:val="1"/>
      <w:marLeft w:val="0"/>
      <w:marRight w:val="0"/>
      <w:marTop w:val="0"/>
      <w:marBottom w:val="0"/>
      <w:divBdr>
        <w:top w:val="none" w:sz="0" w:space="0" w:color="auto"/>
        <w:left w:val="none" w:sz="0" w:space="0" w:color="auto"/>
        <w:bottom w:val="none" w:sz="0" w:space="0" w:color="auto"/>
        <w:right w:val="none" w:sz="0" w:space="0" w:color="auto"/>
      </w:divBdr>
    </w:div>
    <w:div w:id="1895844517">
      <w:bodyDiv w:val="1"/>
      <w:marLeft w:val="0"/>
      <w:marRight w:val="0"/>
      <w:marTop w:val="0"/>
      <w:marBottom w:val="0"/>
      <w:divBdr>
        <w:top w:val="none" w:sz="0" w:space="0" w:color="auto"/>
        <w:left w:val="none" w:sz="0" w:space="0" w:color="auto"/>
        <w:bottom w:val="none" w:sz="0" w:space="0" w:color="auto"/>
        <w:right w:val="none" w:sz="0" w:space="0" w:color="auto"/>
      </w:divBdr>
    </w:div>
    <w:div w:id="1903828904">
      <w:bodyDiv w:val="1"/>
      <w:marLeft w:val="0"/>
      <w:marRight w:val="0"/>
      <w:marTop w:val="0"/>
      <w:marBottom w:val="0"/>
      <w:divBdr>
        <w:top w:val="none" w:sz="0" w:space="0" w:color="auto"/>
        <w:left w:val="none" w:sz="0" w:space="0" w:color="auto"/>
        <w:bottom w:val="none" w:sz="0" w:space="0" w:color="auto"/>
        <w:right w:val="none" w:sz="0" w:space="0" w:color="auto"/>
      </w:divBdr>
    </w:div>
    <w:div w:id="1903904909">
      <w:bodyDiv w:val="1"/>
      <w:marLeft w:val="0"/>
      <w:marRight w:val="0"/>
      <w:marTop w:val="0"/>
      <w:marBottom w:val="0"/>
      <w:divBdr>
        <w:top w:val="none" w:sz="0" w:space="0" w:color="auto"/>
        <w:left w:val="none" w:sz="0" w:space="0" w:color="auto"/>
        <w:bottom w:val="none" w:sz="0" w:space="0" w:color="auto"/>
        <w:right w:val="none" w:sz="0" w:space="0" w:color="auto"/>
      </w:divBdr>
    </w:div>
    <w:div w:id="1907957140">
      <w:bodyDiv w:val="1"/>
      <w:marLeft w:val="0"/>
      <w:marRight w:val="0"/>
      <w:marTop w:val="0"/>
      <w:marBottom w:val="0"/>
      <w:divBdr>
        <w:top w:val="none" w:sz="0" w:space="0" w:color="auto"/>
        <w:left w:val="none" w:sz="0" w:space="0" w:color="auto"/>
        <w:bottom w:val="none" w:sz="0" w:space="0" w:color="auto"/>
        <w:right w:val="none" w:sz="0" w:space="0" w:color="auto"/>
      </w:divBdr>
    </w:div>
    <w:div w:id="1915428323">
      <w:bodyDiv w:val="1"/>
      <w:marLeft w:val="0"/>
      <w:marRight w:val="0"/>
      <w:marTop w:val="0"/>
      <w:marBottom w:val="0"/>
      <w:divBdr>
        <w:top w:val="none" w:sz="0" w:space="0" w:color="auto"/>
        <w:left w:val="none" w:sz="0" w:space="0" w:color="auto"/>
        <w:bottom w:val="none" w:sz="0" w:space="0" w:color="auto"/>
        <w:right w:val="none" w:sz="0" w:space="0" w:color="auto"/>
      </w:divBdr>
    </w:div>
    <w:div w:id="1918202859">
      <w:bodyDiv w:val="1"/>
      <w:marLeft w:val="0"/>
      <w:marRight w:val="0"/>
      <w:marTop w:val="0"/>
      <w:marBottom w:val="0"/>
      <w:divBdr>
        <w:top w:val="none" w:sz="0" w:space="0" w:color="auto"/>
        <w:left w:val="none" w:sz="0" w:space="0" w:color="auto"/>
        <w:bottom w:val="none" w:sz="0" w:space="0" w:color="auto"/>
        <w:right w:val="none" w:sz="0" w:space="0" w:color="auto"/>
      </w:divBdr>
    </w:div>
    <w:div w:id="1919097061">
      <w:bodyDiv w:val="1"/>
      <w:marLeft w:val="0"/>
      <w:marRight w:val="0"/>
      <w:marTop w:val="0"/>
      <w:marBottom w:val="0"/>
      <w:divBdr>
        <w:top w:val="none" w:sz="0" w:space="0" w:color="auto"/>
        <w:left w:val="none" w:sz="0" w:space="0" w:color="auto"/>
        <w:bottom w:val="none" w:sz="0" w:space="0" w:color="auto"/>
        <w:right w:val="none" w:sz="0" w:space="0" w:color="auto"/>
      </w:divBdr>
    </w:div>
    <w:div w:id="1919365701">
      <w:bodyDiv w:val="1"/>
      <w:marLeft w:val="0"/>
      <w:marRight w:val="0"/>
      <w:marTop w:val="0"/>
      <w:marBottom w:val="0"/>
      <w:divBdr>
        <w:top w:val="none" w:sz="0" w:space="0" w:color="auto"/>
        <w:left w:val="none" w:sz="0" w:space="0" w:color="auto"/>
        <w:bottom w:val="none" w:sz="0" w:space="0" w:color="auto"/>
        <w:right w:val="none" w:sz="0" w:space="0" w:color="auto"/>
      </w:divBdr>
    </w:div>
    <w:div w:id="1919441071">
      <w:bodyDiv w:val="1"/>
      <w:marLeft w:val="0"/>
      <w:marRight w:val="0"/>
      <w:marTop w:val="0"/>
      <w:marBottom w:val="0"/>
      <w:divBdr>
        <w:top w:val="none" w:sz="0" w:space="0" w:color="auto"/>
        <w:left w:val="none" w:sz="0" w:space="0" w:color="auto"/>
        <w:bottom w:val="none" w:sz="0" w:space="0" w:color="auto"/>
        <w:right w:val="none" w:sz="0" w:space="0" w:color="auto"/>
      </w:divBdr>
    </w:div>
    <w:div w:id="1919633139">
      <w:bodyDiv w:val="1"/>
      <w:marLeft w:val="0"/>
      <w:marRight w:val="0"/>
      <w:marTop w:val="0"/>
      <w:marBottom w:val="0"/>
      <w:divBdr>
        <w:top w:val="none" w:sz="0" w:space="0" w:color="auto"/>
        <w:left w:val="none" w:sz="0" w:space="0" w:color="auto"/>
        <w:bottom w:val="none" w:sz="0" w:space="0" w:color="auto"/>
        <w:right w:val="none" w:sz="0" w:space="0" w:color="auto"/>
      </w:divBdr>
    </w:div>
    <w:div w:id="1924948710">
      <w:bodyDiv w:val="1"/>
      <w:marLeft w:val="0"/>
      <w:marRight w:val="0"/>
      <w:marTop w:val="0"/>
      <w:marBottom w:val="0"/>
      <w:divBdr>
        <w:top w:val="none" w:sz="0" w:space="0" w:color="auto"/>
        <w:left w:val="none" w:sz="0" w:space="0" w:color="auto"/>
        <w:bottom w:val="none" w:sz="0" w:space="0" w:color="auto"/>
        <w:right w:val="none" w:sz="0" w:space="0" w:color="auto"/>
      </w:divBdr>
    </w:div>
    <w:div w:id="1925722513">
      <w:bodyDiv w:val="1"/>
      <w:marLeft w:val="0"/>
      <w:marRight w:val="0"/>
      <w:marTop w:val="0"/>
      <w:marBottom w:val="0"/>
      <w:divBdr>
        <w:top w:val="none" w:sz="0" w:space="0" w:color="auto"/>
        <w:left w:val="none" w:sz="0" w:space="0" w:color="auto"/>
        <w:bottom w:val="none" w:sz="0" w:space="0" w:color="auto"/>
        <w:right w:val="none" w:sz="0" w:space="0" w:color="auto"/>
      </w:divBdr>
    </w:div>
    <w:div w:id="1925798279">
      <w:bodyDiv w:val="1"/>
      <w:marLeft w:val="0"/>
      <w:marRight w:val="0"/>
      <w:marTop w:val="0"/>
      <w:marBottom w:val="0"/>
      <w:divBdr>
        <w:top w:val="none" w:sz="0" w:space="0" w:color="auto"/>
        <w:left w:val="none" w:sz="0" w:space="0" w:color="auto"/>
        <w:bottom w:val="none" w:sz="0" w:space="0" w:color="auto"/>
        <w:right w:val="none" w:sz="0" w:space="0" w:color="auto"/>
      </w:divBdr>
    </w:div>
    <w:div w:id="1928884534">
      <w:bodyDiv w:val="1"/>
      <w:marLeft w:val="0"/>
      <w:marRight w:val="0"/>
      <w:marTop w:val="0"/>
      <w:marBottom w:val="0"/>
      <w:divBdr>
        <w:top w:val="none" w:sz="0" w:space="0" w:color="auto"/>
        <w:left w:val="none" w:sz="0" w:space="0" w:color="auto"/>
        <w:bottom w:val="none" w:sz="0" w:space="0" w:color="auto"/>
        <w:right w:val="none" w:sz="0" w:space="0" w:color="auto"/>
      </w:divBdr>
    </w:div>
    <w:div w:id="1929459334">
      <w:bodyDiv w:val="1"/>
      <w:marLeft w:val="0"/>
      <w:marRight w:val="0"/>
      <w:marTop w:val="0"/>
      <w:marBottom w:val="0"/>
      <w:divBdr>
        <w:top w:val="none" w:sz="0" w:space="0" w:color="auto"/>
        <w:left w:val="none" w:sz="0" w:space="0" w:color="auto"/>
        <w:bottom w:val="none" w:sz="0" w:space="0" w:color="auto"/>
        <w:right w:val="none" w:sz="0" w:space="0" w:color="auto"/>
      </w:divBdr>
    </w:div>
    <w:div w:id="1929731719">
      <w:bodyDiv w:val="1"/>
      <w:marLeft w:val="0"/>
      <w:marRight w:val="0"/>
      <w:marTop w:val="0"/>
      <w:marBottom w:val="0"/>
      <w:divBdr>
        <w:top w:val="none" w:sz="0" w:space="0" w:color="auto"/>
        <w:left w:val="none" w:sz="0" w:space="0" w:color="auto"/>
        <w:bottom w:val="none" w:sz="0" w:space="0" w:color="auto"/>
        <w:right w:val="none" w:sz="0" w:space="0" w:color="auto"/>
      </w:divBdr>
    </w:div>
    <w:div w:id="1930000305">
      <w:bodyDiv w:val="1"/>
      <w:marLeft w:val="0"/>
      <w:marRight w:val="0"/>
      <w:marTop w:val="0"/>
      <w:marBottom w:val="0"/>
      <w:divBdr>
        <w:top w:val="none" w:sz="0" w:space="0" w:color="auto"/>
        <w:left w:val="none" w:sz="0" w:space="0" w:color="auto"/>
        <w:bottom w:val="none" w:sz="0" w:space="0" w:color="auto"/>
        <w:right w:val="none" w:sz="0" w:space="0" w:color="auto"/>
      </w:divBdr>
    </w:div>
    <w:div w:id="1934127260">
      <w:bodyDiv w:val="1"/>
      <w:marLeft w:val="0"/>
      <w:marRight w:val="0"/>
      <w:marTop w:val="0"/>
      <w:marBottom w:val="0"/>
      <w:divBdr>
        <w:top w:val="none" w:sz="0" w:space="0" w:color="auto"/>
        <w:left w:val="none" w:sz="0" w:space="0" w:color="auto"/>
        <w:bottom w:val="none" w:sz="0" w:space="0" w:color="auto"/>
        <w:right w:val="none" w:sz="0" w:space="0" w:color="auto"/>
      </w:divBdr>
    </w:div>
    <w:div w:id="1935091137">
      <w:bodyDiv w:val="1"/>
      <w:marLeft w:val="0"/>
      <w:marRight w:val="0"/>
      <w:marTop w:val="0"/>
      <w:marBottom w:val="0"/>
      <w:divBdr>
        <w:top w:val="none" w:sz="0" w:space="0" w:color="auto"/>
        <w:left w:val="none" w:sz="0" w:space="0" w:color="auto"/>
        <w:bottom w:val="none" w:sz="0" w:space="0" w:color="auto"/>
        <w:right w:val="none" w:sz="0" w:space="0" w:color="auto"/>
      </w:divBdr>
    </w:div>
    <w:div w:id="1935547645">
      <w:bodyDiv w:val="1"/>
      <w:marLeft w:val="0"/>
      <w:marRight w:val="0"/>
      <w:marTop w:val="0"/>
      <w:marBottom w:val="0"/>
      <w:divBdr>
        <w:top w:val="none" w:sz="0" w:space="0" w:color="auto"/>
        <w:left w:val="none" w:sz="0" w:space="0" w:color="auto"/>
        <w:bottom w:val="none" w:sz="0" w:space="0" w:color="auto"/>
        <w:right w:val="none" w:sz="0" w:space="0" w:color="auto"/>
      </w:divBdr>
    </w:div>
    <w:div w:id="1938783130">
      <w:bodyDiv w:val="1"/>
      <w:marLeft w:val="0"/>
      <w:marRight w:val="0"/>
      <w:marTop w:val="0"/>
      <w:marBottom w:val="0"/>
      <w:divBdr>
        <w:top w:val="none" w:sz="0" w:space="0" w:color="auto"/>
        <w:left w:val="none" w:sz="0" w:space="0" w:color="auto"/>
        <w:bottom w:val="none" w:sz="0" w:space="0" w:color="auto"/>
        <w:right w:val="none" w:sz="0" w:space="0" w:color="auto"/>
      </w:divBdr>
    </w:div>
    <w:div w:id="1945918451">
      <w:bodyDiv w:val="1"/>
      <w:marLeft w:val="0"/>
      <w:marRight w:val="0"/>
      <w:marTop w:val="0"/>
      <w:marBottom w:val="0"/>
      <w:divBdr>
        <w:top w:val="none" w:sz="0" w:space="0" w:color="auto"/>
        <w:left w:val="none" w:sz="0" w:space="0" w:color="auto"/>
        <w:bottom w:val="none" w:sz="0" w:space="0" w:color="auto"/>
        <w:right w:val="none" w:sz="0" w:space="0" w:color="auto"/>
      </w:divBdr>
    </w:div>
    <w:div w:id="1947611855">
      <w:bodyDiv w:val="1"/>
      <w:marLeft w:val="0"/>
      <w:marRight w:val="0"/>
      <w:marTop w:val="0"/>
      <w:marBottom w:val="0"/>
      <w:divBdr>
        <w:top w:val="none" w:sz="0" w:space="0" w:color="auto"/>
        <w:left w:val="none" w:sz="0" w:space="0" w:color="auto"/>
        <w:bottom w:val="none" w:sz="0" w:space="0" w:color="auto"/>
        <w:right w:val="none" w:sz="0" w:space="0" w:color="auto"/>
      </w:divBdr>
    </w:div>
    <w:div w:id="1952930254">
      <w:bodyDiv w:val="1"/>
      <w:marLeft w:val="0"/>
      <w:marRight w:val="0"/>
      <w:marTop w:val="0"/>
      <w:marBottom w:val="0"/>
      <w:divBdr>
        <w:top w:val="none" w:sz="0" w:space="0" w:color="auto"/>
        <w:left w:val="none" w:sz="0" w:space="0" w:color="auto"/>
        <w:bottom w:val="none" w:sz="0" w:space="0" w:color="auto"/>
        <w:right w:val="none" w:sz="0" w:space="0" w:color="auto"/>
      </w:divBdr>
    </w:div>
    <w:div w:id="1953517188">
      <w:bodyDiv w:val="1"/>
      <w:marLeft w:val="0"/>
      <w:marRight w:val="0"/>
      <w:marTop w:val="0"/>
      <w:marBottom w:val="0"/>
      <w:divBdr>
        <w:top w:val="none" w:sz="0" w:space="0" w:color="auto"/>
        <w:left w:val="none" w:sz="0" w:space="0" w:color="auto"/>
        <w:bottom w:val="none" w:sz="0" w:space="0" w:color="auto"/>
        <w:right w:val="none" w:sz="0" w:space="0" w:color="auto"/>
      </w:divBdr>
    </w:div>
    <w:div w:id="1955281212">
      <w:bodyDiv w:val="1"/>
      <w:marLeft w:val="0"/>
      <w:marRight w:val="0"/>
      <w:marTop w:val="0"/>
      <w:marBottom w:val="0"/>
      <w:divBdr>
        <w:top w:val="none" w:sz="0" w:space="0" w:color="auto"/>
        <w:left w:val="none" w:sz="0" w:space="0" w:color="auto"/>
        <w:bottom w:val="none" w:sz="0" w:space="0" w:color="auto"/>
        <w:right w:val="none" w:sz="0" w:space="0" w:color="auto"/>
      </w:divBdr>
    </w:div>
    <w:div w:id="1963606622">
      <w:bodyDiv w:val="1"/>
      <w:marLeft w:val="0"/>
      <w:marRight w:val="0"/>
      <w:marTop w:val="0"/>
      <w:marBottom w:val="0"/>
      <w:divBdr>
        <w:top w:val="none" w:sz="0" w:space="0" w:color="auto"/>
        <w:left w:val="none" w:sz="0" w:space="0" w:color="auto"/>
        <w:bottom w:val="none" w:sz="0" w:space="0" w:color="auto"/>
        <w:right w:val="none" w:sz="0" w:space="0" w:color="auto"/>
      </w:divBdr>
    </w:div>
    <w:div w:id="1964573021">
      <w:bodyDiv w:val="1"/>
      <w:marLeft w:val="0"/>
      <w:marRight w:val="0"/>
      <w:marTop w:val="0"/>
      <w:marBottom w:val="0"/>
      <w:divBdr>
        <w:top w:val="none" w:sz="0" w:space="0" w:color="auto"/>
        <w:left w:val="none" w:sz="0" w:space="0" w:color="auto"/>
        <w:bottom w:val="none" w:sz="0" w:space="0" w:color="auto"/>
        <w:right w:val="none" w:sz="0" w:space="0" w:color="auto"/>
      </w:divBdr>
    </w:div>
    <w:div w:id="1965110856">
      <w:bodyDiv w:val="1"/>
      <w:marLeft w:val="0"/>
      <w:marRight w:val="0"/>
      <w:marTop w:val="0"/>
      <w:marBottom w:val="0"/>
      <w:divBdr>
        <w:top w:val="none" w:sz="0" w:space="0" w:color="auto"/>
        <w:left w:val="none" w:sz="0" w:space="0" w:color="auto"/>
        <w:bottom w:val="none" w:sz="0" w:space="0" w:color="auto"/>
        <w:right w:val="none" w:sz="0" w:space="0" w:color="auto"/>
      </w:divBdr>
    </w:div>
    <w:div w:id="1970238800">
      <w:bodyDiv w:val="1"/>
      <w:marLeft w:val="0"/>
      <w:marRight w:val="0"/>
      <w:marTop w:val="0"/>
      <w:marBottom w:val="0"/>
      <w:divBdr>
        <w:top w:val="none" w:sz="0" w:space="0" w:color="auto"/>
        <w:left w:val="none" w:sz="0" w:space="0" w:color="auto"/>
        <w:bottom w:val="none" w:sz="0" w:space="0" w:color="auto"/>
        <w:right w:val="none" w:sz="0" w:space="0" w:color="auto"/>
      </w:divBdr>
    </w:div>
    <w:div w:id="1975018708">
      <w:bodyDiv w:val="1"/>
      <w:marLeft w:val="0"/>
      <w:marRight w:val="0"/>
      <w:marTop w:val="0"/>
      <w:marBottom w:val="0"/>
      <w:divBdr>
        <w:top w:val="none" w:sz="0" w:space="0" w:color="auto"/>
        <w:left w:val="none" w:sz="0" w:space="0" w:color="auto"/>
        <w:bottom w:val="none" w:sz="0" w:space="0" w:color="auto"/>
        <w:right w:val="none" w:sz="0" w:space="0" w:color="auto"/>
      </w:divBdr>
    </w:div>
    <w:div w:id="1979917074">
      <w:bodyDiv w:val="1"/>
      <w:marLeft w:val="0"/>
      <w:marRight w:val="0"/>
      <w:marTop w:val="0"/>
      <w:marBottom w:val="0"/>
      <w:divBdr>
        <w:top w:val="none" w:sz="0" w:space="0" w:color="auto"/>
        <w:left w:val="none" w:sz="0" w:space="0" w:color="auto"/>
        <w:bottom w:val="none" w:sz="0" w:space="0" w:color="auto"/>
        <w:right w:val="none" w:sz="0" w:space="0" w:color="auto"/>
      </w:divBdr>
    </w:div>
    <w:div w:id="1983804694">
      <w:bodyDiv w:val="1"/>
      <w:marLeft w:val="0"/>
      <w:marRight w:val="0"/>
      <w:marTop w:val="0"/>
      <w:marBottom w:val="0"/>
      <w:divBdr>
        <w:top w:val="none" w:sz="0" w:space="0" w:color="auto"/>
        <w:left w:val="none" w:sz="0" w:space="0" w:color="auto"/>
        <w:bottom w:val="none" w:sz="0" w:space="0" w:color="auto"/>
        <w:right w:val="none" w:sz="0" w:space="0" w:color="auto"/>
      </w:divBdr>
    </w:div>
    <w:div w:id="1984701811">
      <w:bodyDiv w:val="1"/>
      <w:marLeft w:val="0"/>
      <w:marRight w:val="0"/>
      <w:marTop w:val="0"/>
      <w:marBottom w:val="0"/>
      <w:divBdr>
        <w:top w:val="none" w:sz="0" w:space="0" w:color="auto"/>
        <w:left w:val="none" w:sz="0" w:space="0" w:color="auto"/>
        <w:bottom w:val="none" w:sz="0" w:space="0" w:color="auto"/>
        <w:right w:val="none" w:sz="0" w:space="0" w:color="auto"/>
      </w:divBdr>
    </w:div>
    <w:div w:id="1994795947">
      <w:bodyDiv w:val="1"/>
      <w:marLeft w:val="0"/>
      <w:marRight w:val="0"/>
      <w:marTop w:val="0"/>
      <w:marBottom w:val="0"/>
      <w:divBdr>
        <w:top w:val="none" w:sz="0" w:space="0" w:color="auto"/>
        <w:left w:val="none" w:sz="0" w:space="0" w:color="auto"/>
        <w:bottom w:val="none" w:sz="0" w:space="0" w:color="auto"/>
        <w:right w:val="none" w:sz="0" w:space="0" w:color="auto"/>
      </w:divBdr>
    </w:div>
    <w:div w:id="1995451332">
      <w:bodyDiv w:val="1"/>
      <w:marLeft w:val="0"/>
      <w:marRight w:val="0"/>
      <w:marTop w:val="0"/>
      <w:marBottom w:val="0"/>
      <w:divBdr>
        <w:top w:val="none" w:sz="0" w:space="0" w:color="auto"/>
        <w:left w:val="none" w:sz="0" w:space="0" w:color="auto"/>
        <w:bottom w:val="none" w:sz="0" w:space="0" w:color="auto"/>
        <w:right w:val="none" w:sz="0" w:space="0" w:color="auto"/>
      </w:divBdr>
    </w:div>
    <w:div w:id="1998683262">
      <w:bodyDiv w:val="1"/>
      <w:marLeft w:val="0"/>
      <w:marRight w:val="0"/>
      <w:marTop w:val="0"/>
      <w:marBottom w:val="0"/>
      <w:divBdr>
        <w:top w:val="none" w:sz="0" w:space="0" w:color="auto"/>
        <w:left w:val="none" w:sz="0" w:space="0" w:color="auto"/>
        <w:bottom w:val="none" w:sz="0" w:space="0" w:color="auto"/>
        <w:right w:val="none" w:sz="0" w:space="0" w:color="auto"/>
      </w:divBdr>
    </w:div>
    <w:div w:id="2000691313">
      <w:bodyDiv w:val="1"/>
      <w:marLeft w:val="0"/>
      <w:marRight w:val="0"/>
      <w:marTop w:val="0"/>
      <w:marBottom w:val="0"/>
      <w:divBdr>
        <w:top w:val="none" w:sz="0" w:space="0" w:color="auto"/>
        <w:left w:val="none" w:sz="0" w:space="0" w:color="auto"/>
        <w:bottom w:val="none" w:sz="0" w:space="0" w:color="auto"/>
        <w:right w:val="none" w:sz="0" w:space="0" w:color="auto"/>
      </w:divBdr>
    </w:div>
    <w:div w:id="2000889738">
      <w:bodyDiv w:val="1"/>
      <w:marLeft w:val="0"/>
      <w:marRight w:val="0"/>
      <w:marTop w:val="0"/>
      <w:marBottom w:val="0"/>
      <w:divBdr>
        <w:top w:val="none" w:sz="0" w:space="0" w:color="auto"/>
        <w:left w:val="none" w:sz="0" w:space="0" w:color="auto"/>
        <w:bottom w:val="none" w:sz="0" w:space="0" w:color="auto"/>
        <w:right w:val="none" w:sz="0" w:space="0" w:color="auto"/>
      </w:divBdr>
    </w:div>
    <w:div w:id="2001155635">
      <w:bodyDiv w:val="1"/>
      <w:marLeft w:val="0"/>
      <w:marRight w:val="0"/>
      <w:marTop w:val="0"/>
      <w:marBottom w:val="0"/>
      <w:divBdr>
        <w:top w:val="none" w:sz="0" w:space="0" w:color="auto"/>
        <w:left w:val="none" w:sz="0" w:space="0" w:color="auto"/>
        <w:bottom w:val="none" w:sz="0" w:space="0" w:color="auto"/>
        <w:right w:val="none" w:sz="0" w:space="0" w:color="auto"/>
      </w:divBdr>
    </w:div>
    <w:div w:id="2015301411">
      <w:bodyDiv w:val="1"/>
      <w:marLeft w:val="0"/>
      <w:marRight w:val="0"/>
      <w:marTop w:val="0"/>
      <w:marBottom w:val="0"/>
      <w:divBdr>
        <w:top w:val="none" w:sz="0" w:space="0" w:color="auto"/>
        <w:left w:val="none" w:sz="0" w:space="0" w:color="auto"/>
        <w:bottom w:val="none" w:sz="0" w:space="0" w:color="auto"/>
        <w:right w:val="none" w:sz="0" w:space="0" w:color="auto"/>
      </w:divBdr>
    </w:div>
    <w:div w:id="2022118369">
      <w:bodyDiv w:val="1"/>
      <w:marLeft w:val="0"/>
      <w:marRight w:val="0"/>
      <w:marTop w:val="0"/>
      <w:marBottom w:val="0"/>
      <w:divBdr>
        <w:top w:val="none" w:sz="0" w:space="0" w:color="auto"/>
        <w:left w:val="none" w:sz="0" w:space="0" w:color="auto"/>
        <w:bottom w:val="none" w:sz="0" w:space="0" w:color="auto"/>
        <w:right w:val="none" w:sz="0" w:space="0" w:color="auto"/>
      </w:divBdr>
    </w:div>
    <w:div w:id="2023580020">
      <w:bodyDiv w:val="1"/>
      <w:marLeft w:val="0"/>
      <w:marRight w:val="0"/>
      <w:marTop w:val="0"/>
      <w:marBottom w:val="0"/>
      <w:divBdr>
        <w:top w:val="none" w:sz="0" w:space="0" w:color="auto"/>
        <w:left w:val="none" w:sz="0" w:space="0" w:color="auto"/>
        <w:bottom w:val="none" w:sz="0" w:space="0" w:color="auto"/>
        <w:right w:val="none" w:sz="0" w:space="0" w:color="auto"/>
      </w:divBdr>
    </w:div>
    <w:div w:id="2025134359">
      <w:bodyDiv w:val="1"/>
      <w:marLeft w:val="0"/>
      <w:marRight w:val="0"/>
      <w:marTop w:val="0"/>
      <w:marBottom w:val="0"/>
      <w:divBdr>
        <w:top w:val="none" w:sz="0" w:space="0" w:color="auto"/>
        <w:left w:val="none" w:sz="0" w:space="0" w:color="auto"/>
        <w:bottom w:val="none" w:sz="0" w:space="0" w:color="auto"/>
        <w:right w:val="none" w:sz="0" w:space="0" w:color="auto"/>
      </w:divBdr>
    </w:div>
    <w:div w:id="2027561940">
      <w:bodyDiv w:val="1"/>
      <w:marLeft w:val="0"/>
      <w:marRight w:val="0"/>
      <w:marTop w:val="0"/>
      <w:marBottom w:val="0"/>
      <w:divBdr>
        <w:top w:val="none" w:sz="0" w:space="0" w:color="auto"/>
        <w:left w:val="none" w:sz="0" w:space="0" w:color="auto"/>
        <w:bottom w:val="none" w:sz="0" w:space="0" w:color="auto"/>
        <w:right w:val="none" w:sz="0" w:space="0" w:color="auto"/>
      </w:divBdr>
    </w:div>
    <w:div w:id="2031683807">
      <w:bodyDiv w:val="1"/>
      <w:marLeft w:val="0"/>
      <w:marRight w:val="0"/>
      <w:marTop w:val="0"/>
      <w:marBottom w:val="0"/>
      <w:divBdr>
        <w:top w:val="none" w:sz="0" w:space="0" w:color="auto"/>
        <w:left w:val="none" w:sz="0" w:space="0" w:color="auto"/>
        <w:bottom w:val="none" w:sz="0" w:space="0" w:color="auto"/>
        <w:right w:val="none" w:sz="0" w:space="0" w:color="auto"/>
      </w:divBdr>
    </w:div>
    <w:div w:id="2032220962">
      <w:bodyDiv w:val="1"/>
      <w:marLeft w:val="0"/>
      <w:marRight w:val="0"/>
      <w:marTop w:val="0"/>
      <w:marBottom w:val="0"/>
      <w:divBdr>
        <w:top w:val="none" w:sz="0" w:space="0" w:color="auto"/>
        <w:left w:val="none" w:sz="0" w:space="0" w:color="auto"/>
        <w:bottom w:val="none" w:sz="0" w:space="0" w:color="auto"/>
        <w:right w:val="none" w:sz="0" w:space="0" w:color="auto"/>
      </w:divBdr>
    </w:div>
    <w:div w:id="2032337193">
      <w:bodyDiv w:val="1"/>
      <w:marLeft w:val="0"/>
      <w:marRight w:val="0"/>
      <w:marTop w:val="0"/>
      <w:marBottom w:val="0"/>
      <w:divBdr>
        <w:top w:val="none" w:sz="0" w:space="0" w:color="auto"/>
        <w:left w:val="none" w:sz="0" w:space="0" w:color="auto"/>
        <w:bottom w:val="none" w:sz="0" w:space="0" w:color="auto"/>
        <w:right w:val="none" w:sz="0" w:space="0" w:color="auto"/>
      </w:divBdr>
    </w:div>
    <w:div w:id="2033064408">
      <w:bodyDiv w:val="1"/>
      <w:marLeft w:val="0"/>
      <w:marRight w:val="0"/>
      <w:marTop w:val="0"/>
      <w:marBottom w:val="0"/>
      <w:divBdr>
        <w:top w:val="none" w:sz="0" w:space="0" w:color="auto"/>
        <w:left w:val="none" w:sz="0" w:space="0" w:color="auto"/>
        <w:bottom w:val="none" w:sz="0" w:space="0" w:color="auto"/>
        <w:right w:val="none" w:sz="0" w:space="0" w:color="auto"/>
      </w:divBdr>
    </w:div>
    <w:div w:id="2042977260">
      <w:bodyDiv w:val="1"/>
      <w:marLeft w:val="0"/>
      <w:marRight w:val="0"/>
      <w:marTop w:val="0"/>
      <w:marBottom w:val="0"/>
      <w:divBdr>
        <w:top w:val="none" w:sz="0" w:space="0" w:color="auto"/>
        <w:left w:val="none" w:sz="0" w:space="0" w:color="auto"/>
        <w:bottom w:val="none" w:sz="0" w:space="0" w:color="auto"/>
        <w:right w:val="none" w:sz="0" w:space="0" w:color="auto"/>
      </w:divBdr>
    </w:div>
    <w:div w:id="2043823852">
      <w:bodyDiv w:val="1"/>
      <w:marLeft w:val="0"/>
      <w:marRight w:val="0"/>
      <w:marTop w:val="0"/>
      <w:marBottom w:val="0"/>
      <w:divBdr>
        <w:top w:val="none" w:sz="0" w:space="0" w:color="auto"/>
        <w:left w:val="none" w:sz="0" w:space="0" w:color="auto"/>
        <w:bottom w:val="none" w:sz="0" w:space="0" w:color="auto"/>
        <w:right w:val="none" w:sz="0" w:space="0" w:color="auto"/>
      </w:divBdr>
    </w:div>
    <w:div w:id="2044595632">
      <w:bodyDiv w:val="1"/>
      <w:marLeft w:val="0"/>
      <w:marRight w:val="0"/>
      <w:marTop w:val="0"/>
      <w:marBottom w:val="0"/>
      <w:divBdr>
        <w:top w:val="none" w:sz="0" w:space="0" w:color="auto"/>
        <w:left w:val="none" w:sz="0" w:space="0" w:color="auto"/>
        <w:bottom w:val="none" w:sz="0" w:space="0" w:color="auto"/>
        <w:right w:val="none" w:sz="0" w:space="0" w:color="auto"/>
      </w:divBdr>
    </w:div>
    <w:div w:id="2060469764">
      <w:bodyDiv w:val="1"/>
      <w:marLeft w:val="0"/>
      <w:marRight w:val="0"/>
      <w:marTop w:val="0"/>
      <w:marBottom w:val="0"/>
      <w:divBdr>
        <w:top w:val="none" w:sz="0" w:space="0" w:color="auto"/>
        <w:left w:val="none" w:sz="0" w:space="0" w:color="auto"/>
        <w:bottom w:val="none" w:sz="0" w:space="0" w:color="auto"/>
        <w:right w:val="none" w:sz="0" w:space="0" w:color="auto"/>
      </w:divBdr>
    </w:div>
    <w:div w:id="2065908385">
      <w:bodyDiv w:val="1"/>
      <w:marLeft w:val="0"/>
      <w:marRight w:val="0"/>
      <w:marTop w:val="0"/>
      <w:marBottom w:val="0"/>
      <w:divBdr>
        <w:top w:val="none" w:sz="0" w:space="0" w:color="auto"/>
        <w:left w:val="none" w:sz="0" w:space="0" w:color="auto"/>
        <w:bottom w:val="none" w:sz="0" w:space="0" w:color="auto"/>
        <w:right w:val="none" w:sz="0" w:space="0" w:color="auto"/>
      </w:divBdr>
    </w:div>
    <w:div w:id="2066643153">
      <w:bodyDiv w:val="1"/>
      <w:marLeft w:val="0"/>
      <w:marRight w:val="0"/>
      <w:marTop w:val="0"/>
      <w:marBottom w:val="0"/>
      <w:divBdr>
        <w:top w:val="none" w:sz="0" w:space="0" w:color="auto"/>
        <w:left w:val="none" w:sz="0" w:space="0" w:color="auto"/>
        <w:bottom w:val="none" w:sz="0" w:space="0" w:color="auto"/>
        <w:right w:val="none" w:sz="0" w:space="0" w:color="auto"/>
      </w:divBdr>
      <w:divsChild>
        <w:div w:id="383985517">
          <w:marLeft w:val="1080"/>
          <w:marRight w:val="0"/>
          <w:marTop w:val="100"/>
          <w:marBottom w:val="0"/>
          <w:divBdr>
            <w:top w:val="none" w:sz="0" w:space="0" w:color="auto"/>
            <w:left w:val="none" w:sz="0" w:space="0" w:color="auto"/>
            <w:bottom w:val="none" w:sz="0" w:space="0" w:color="auto"/>
            <w:right w:val="none" w:sz="0" w:space="0" w:color="auto"/>
          </w:divBdr>
        </w:div>
        <w:div w:id="1301351485">
          <w:marLeft w:val="1080"/>
          <w:marRight w:val="0"/>
          <w:marTop w:val="100"/>
          <w:marBottom w:val="0"/>
          <w:divBdr>
            <w:top w:val="none" w:sz="0" w:space="0" w:color="auto"/>
            <w:left w:val="none" w:sz="0" w:space="0" w:color="auto"/>
            <w:bottom w:val="none" w:sz="0" w:space="0" w:color="auto"/>
            <w:right w:val="none" w:sz="0" w:space="0" w:color="auto"/>
          </w:divBdr>
        </w:div>
      </w:divsChild>
    </w:div>
    <w:div w:id="2067138574">
      <w:bodyDiv w:val="1"/>
      <w:marLeft w:val="0"/>
      <w:marRight w:val="0"/>
      <w:marTop w:val="0"/>
      <w:marBottom w:val="0"/>
      <w:divBdr>
        <w:top w:val="none" w:sz="0" w:space="0" w:color="auto"/>
        <w:left w:val="none" w:sz="0" w:space="0" w:color="auto"/>
        <w:bottom w:val="none" w:sz="0" w:space="0" w:color="auto"/>
        <w:right w:val="none" w:sz="0" w:space="0" w:color="auto"/>
      </w:divBdr>
    </w:div>
    <w:div w:id="2073312413">
      <w:bodyDiv w:val="1"/>
      <w:marLeft w:val="0"/>
      <w:marRight w:val="0"/>
      <w:marTop w:val="0"/>
      <w:marBottom w:val="0"/>
      <w:divBdr>
        <w:top w:val="none" w:sz="0" w:space="0" w:color="auto"/>
        <w:left w:val="none" w:sz="0" w:space="0" w:color="auto"/>
        <w:bottom w:val="none" w:sz="0" w:space="0" w:color="auto"/>
        <w:right w:val="none" w:sz="0" w:space="0" w:color="auto"/>
      </w:divBdr>
    </w:div>
    <w:div w:id="2075397088">
      <w:bodyDiv w:val="1"/>
      <w:marLeft w:val="0"/>
      <w:marRight w:val="0"/>
      <w:marTop w:val="0"/>
      <w:marBottom w:val="0"/>
      <w:divBdr>
        <w:top w:val="none" w:sz="0" w:space="0" w:color="auto"/>
        <w:left w:val="none" w:sz="0" w:space="0" w:color="auto"/>
        <w:bottom w:val="none" w:sz="0" w:space="0" w:color="auto"/>
        <w:right w:val="none" w:sz="0" w:space="0" w:color="auto"/>
      </w:divBdr>
    </w:div>
    <w:div w:id="2077974525">
      <w:bodyDiv w:val="1"/>
      <w:marLeft w:val="0"/>
      <w:marRight w:val="0"/>
      <w:marTop w:val="0"/>
      <w:marBottom w:val="0"/>
      <w:divBdr>
        <w:top w:val="none" w:sz="0" w:space="0" w:color="auto"/>
        <w:left w:val="none" w:sz="0" w:space="0" w:color="auto"/>
        <w:bottom w:val="none" w:sz="0" w:space="0" w:color="auto"/>
        <w:right w:val="none" w:sz="0" w:space="0" w:color="auto"/>
      </w:divBdr>
    </w:div>
    <w:div w:id="2078087314">
      <w:bodyDiv w:val="1"/>
      <w:marLeft w:val="0"/>
      <w:marRight w:val="0"/>
      <w:marTop w:val="0"/>
      <w:marBottom w:val="0"/>
      <w:divBdr>
        <w:top w:val="none" w:sz="0" w:space="0" w:color="auto"/>
        <w:left w:val="none" w:sz="0" w:space="0" w:color="auto"/>
        <w:bottom w:val="none" w:sz="0" w:space="0" w:color="auto"/>
        <w:right w:val="none" w:sz="0" w:space="0" w:color="auto"/>
      </w:divBdr>
    </w:div>
    <w:div w:id="2080327715">
      <w:bodyDiv w:val="1"/>
      <w:marLeft w:val="0"/>
      <w:marRight w:val="0"/>
      <w:marTop w:val="0"/>
      <w:marBottom w:val="0"/>
      <w:divBdr>
        <w:top w:val="none" w:sz="0" w:space="0" w:color="auto"/>
        <w:left w:val="none" w:sz="0" w:space="0" w:color="auto"/>
        <w:bottom w:val="none" w:sz="0" w:space="0" w:color="auto"/>
        <w:right w:val="none" w:sz="0" w:space="0" w:color="auto"/>
      </w:divBdr>
    </w:div>
    <w:div w:id="2083330888">
      <w:bodyDiv w:val="1"/>
      <w:marLeft w:val="0"/>
      <w:marRight w:val="0"/>
      <w:marTop w:val="0"/>
      <w:marBottom w:val="0"/>
      <w:divBdr>
        <w:top w:val="none" w:sz="0" w:space="0" w:color="auto"/>
        <w:left w:val="none" w:sz="0" w:space="0" w:color="auto"/>
        <w:bottom w:val="none" w:sz="0" w:space="0" w:color="auto"/>
        <w:right w:val="none" w:sz="0" w:space="0" w:color="auto"/>
      </w:divBdr>
    </w:div>
    <w:div w:id="2086099191">
      <w:bodyDiv w:val="1"/>
      <w:marLeft w:val="0"/>
      <w:marRight w:val="0"/>
      <w:marTop w:val="0"/>
      <w:marBottom w:val="0"/>
      <w:divBdr>
        <w:top w:val="none" w:sz="0" w:space="0" w:color="auto"/>
        <w:left w:val="none" w:sz="0" w:space="0" w:color="auto"/>
        <w:bottom w:val="none" w:sz="0" w:space="0" w:color="auto"/>
        <w:right w:val="none" w:sz="0" w:space="0" w:color="auto"/>
      </w:divBdr>
    </w:div>
    <w:div w:id="2090885209">
      <w:bodyDiv w:val="1"/>
      <w:marLeft w:val="0"/>
      <w:marRight w:val="0"/>
      <w:marTop w:val="0"/>
      <w:marBottom w:val="0"/>
      <w:divBdr>
        <w:top w:val="none" w:sz="0" w:space="0" w:color="auto"/>
        <w:left w:val="none" w:sz="0" w:space="0" w:color="auto"/>
        <w:bottom w:val="none" w:sz="0" w:space="0" w:color="auto"/>
        <w:right w:val="none" w:sz="0" w:space="0" w:color="auto"/>
      </w:divBdr>
    </w:div>
    <w:div w:id="2091386508">
      <w:bodyDiv w:val="1"/>
      <w:marLeft w:val="0"/>
      <w:marRight w:val="0"/>
      <w:marTop w:val="0"/>
      <w:marBottom w:val="0"/>
      <w:divBdr>
        <w:top w:val="none" w:sz="0" w:space="0" w:color="auto"/>
        <w:left w:val="none" w:sz="0" w:space="0" w:color="auto"/>
        <w:bottom w:val="none" w:sz="0" w:space="0" w:color="auto"/>
        <w:right w:val="none" w:sz="0" w:space="0" w:color="auto"/>
      </w:divBdr>
    </w:div>
    <w:div w:id="2094859676">
      <w:bodyDiv w:val="1"/>
      <w:marLeft w:val="0"/>
      <w:marRight w:val="0"/>
      <w:marTop w:val="0"/>
      <w:marBottom w:val="0"/>
      <w:divBdr>
        <w:top w:val="none" w:sz="0" w:space="0" w:color="auto"/>
        <w:left w:val="none" w:sz="0" w:space="0" w:color="auto"/>
        <w:bottom w:val="none" w:sz="0" w:space="0" w:color="auto"/>
        <w:right w:val="none" w:sz="0" w:space="0" w:color="auto"/>
      </w:divBdr>
    </w:div>
    <w:div w:id="2101565142">
      <w:bodyDiv w:val="1"/>
      <w:marLeft w:val="0"/>
      <w:marRight w:val="0"/>
      <w:marTop w:val="0"/>
      <w:marBottom w:val="0"/>
      <w:divBdr>
        <w:top w:val="none" w:sz="0" w:space="0" w:color="auto"/>
        <w:left w:val="none" w:sz="0" w:space="0" w:color="auto"/>
        <w:bottom w:val="none" w:sz="0" w:space="0" w:color="auto"/>
        <w:right w:val="none" w:sz="0" w:space="0" w:color="auto"/>
      </w:divBdr>
    </w:div>
    <w:div w:id="2104497241">
      <w:bodyDiv w:val="1"/>
      <w:marLeft w:val="0"/>
      <w:marRight w:val="0"/>
      <w:marTop w:val="0"/>
      <w:marBottom w:val="0"/>
      <w:divBdr>
        <w:top w:val="none" w:sz="0" w:space="0" w:color="auto"/>
        <w:left w:val="none" w:sz="0" w:space="0" w:color="auto"/>
        <w:bottom w:val="none" w:sz="0" w:space="0" w:color="auto"/>
        <w:right w:val="none" w:sz="0" w:space="0" w:color="auto"/>
      </w:divBdr>
    </w:div>
    <w:div w:id="2109108374">
      <w:bodyDiv w:val="1"/>
      <w:marLeft w:val="0"/>
      <w:marRight w:val="0"/>
      <w:marTop w:val="0"/>
      <w:marBottom w:val="0"/>
      <w:divBdr>
        <w:top w:val="none" w:sz="0" w:space="0" w:color="auto"/>
        <w:left w:val="none" w:sz="0" w:space="0" w:color="auto"/>
        <w:bottom w:val="none" w:sz="0" w:space="0" w:color="auto"/>
        <w:right w:val="none" w:sz="0" w:space="0" w:color="auto"/>
      </w:divBdr>
    </w:div>
    <w:div w:id="2113353554">
      <w:bodyDiv w:val="1"/>
      <w:marLeft w:val="0"/>
      <w:marRight w:val="0"/>
      <w:marTop w:val="0"/>
      <w:marBottom w:val="0"/>
      <w:divBdr>
        <w:top w:val="none" w:sz="0" w:space="0" w:color="auto"/>
        <w:left w:val="none" w:sz="0" w:space="0" w:color="auto"/>
        <w:bottom w:val="none" w:sz="0" w:space="0" w:color="auto"/>
        <w:right w:val="none" w:sz="0" w:space="0" w:color="auto"/>
      </w:divBdr>
    </w:div>
    <w:div w:id="2115048940">
      <w:bodyDiv w:val="1"/>
      <w:marLeft w:val="0"/>
      <w:marRight w:val="0"/>
      <w:marTop w:val="0"/>
      <w:marBottom w:val="0"/>
      <w:divBdr>
        <w:top w:val="none" w:sz="0" w:space="0" w:color="auto"/>
        <w:left w:val="none" w:sz="0" w:space="0" w:color="auto"/>
        <w:bottom w:val="none" w:sz="0" w:space="0" w:color="auto"/>
        <w:right w:val="none" w:sz="0" w:space="0" w:color="auto"/>
      </w:divBdr>
    </w:div>
    <w:div w:id="2117747622">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 w:id="2128620379">
      <w:bodyDiv w:val="1"/>
      <w:marLeft w:val="0"/>
      <w:marRight w:val="0"/>
      <w:marTop w:val="0"/>
      <w:marBottom w:val="0"/>
      <w:divBdr>
        <w:top w:val="none" w:sz="0" w:space="0" w:color="auto"/>
        <w:left w:val="none" w:sz="0" w:space="0" w:color="auto"/>
        <w:bottom w:val="none" w:sz="0" w:space="0" w:color="auto"/>
        <w:right w:val="none" w:sz="0" w:space="0" w:color="auto"/>
      </w:divBdr>
    </w:div>
    <w:div w:id="2133355646">
      <w:bodyDiv w:val="1"/>
      <w:marLeft w:val="0"/>
      <w:marRight w:val="0"/>
      <w:marTop w:val="0"/>
      <w:marBottom w:val="0"/>
      <w:divBdr>
        <w:top w:val="none" w:sz="0" w:space="0" w:color="auto"/>
        <w:left w:val="none" w:sz="0" w:space="0" w:color="auto"/>
        <w:bottom w:val="none" w:sz="0" w:space="0" w:color="auto"/>
        <w:right w:val="none" w:sz="0" w:space="0" w:color="auto"/>
      </w:divBdr>
    </w:div>
    <w:div w:id="2143183404">
      <w:bodyDiv w:val="1"/>
      <w:marLeft w:val="0"/>
      <w:marRight w:val="0"/>
      <w:marTop w:val="0"/>
      <w:marBottom w:val="0"/>
      <w:divBdr>
        <w:top w:val="none" w:sz="0" w:space="0" w:color="auto"/>
        <w:left w:val="none" w:sz="0" w:space="0" w:color="auto"/>
        <w:bottom w:val="none" w:sz="0" w:space="0" w:color="auto"/>
        <w:right w:val="none" w:sz="0" w:space="0" w:color="auto"/>
      </w:divBdr>
    </w:div>
    <w:div w:id="2145124438">
      <w:bodyDiv w:val="1"/>
      <w:marLeft w:val="0"/>
      <w:marRight w:val="0"/>
      <w:marTop w:val="0"/>
      <w:marBottom w:val="0"/>
      <w:divBdr>
        <w:top w:val="none" w:sz="0" w:space="0" w:color="auto"/>
        <w:left w:val="none" w:sz="0" w:space="0" w:color="auto"/>
        <w:bottom w:val="none" w:sz="0" w:space="0" w:color="auto"/>
        <w:right w:val="none" w:sz="0" w:space="0" w:color="auto"/>
      </w:divBdr>
    </w:div>
    <w:div w:id="21467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diagramColors" Target="diagrams/colors2.xml"/><Relationship Id="rId39"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chart" Target="charts/chart9.xml"/><Relationship Id="rId34" Type="http://schemas.openxmlformats.org/officeDocument/2006/relationships/chart" Target="charts/chart16.xml"/><Relationship Id="rId42" Type="http://schemas.openxmlformats.org/officeDocument/2006/relationships/chart" Target="charts/chart19.xm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chart" Target="charts/chart5.xml"/><Relationship Id="rId25" Type="http://schemas.openxmlformats.org/officeDocument/2006/relationships/diagramQuickStyle" Target="diagrams/quickStyle2.xml"/><Relationship Id="rId33" Type="http://schemas.openxmlformats.org/officeDocument/2006/relationships/chart" Target="charts/chart15.xml"/><Relationship Id="rId38" Type="http://schemas.openxmlformats.org/officeDocument/2006/relationships/diagramLayout" Target="diagrams/layout3.xml"/><Relationship Id="rId46" Type="http://schemas.openxmlformats.org/officeDocument/2006/relationships/chart" Target="charts/chart23.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1.xml"/><Relationship Id="rId41" Type="http://schemas.microsoft.com/office/2007/relationships/diagramDrawing" Target="diagrams/drawing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Layout" Target="diagrams/layout2.xml"/><Relationship Id="rId32" Type="http://schemas.openxmlformats.org/officeDocument/2006/relationships/chart" Target="charts/chart14.xml"/><Relationship Id="rId37" Type="http://schemas.openxmlformats.org/officeDocument/2006/relationships/diagramData" Target="diagrams/data3.xml"/><Relationship Id="rId40" Type="http://schemas.openxmlformats.org/officeDocument/2006/relationships/diagramColors" Target="diagrams/colors3.xml"/><Relationship Id="rId45" Type="http://schemas.openxmlformats.org/officeDocument/2006/relationships/chart" Target="charts/chart22.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diagramData" Target="diagrams/data2.xml"/><Relationship Id="rId28" Type="http://schemas.openxmlformats.org/officeDocument/2006/relationships/chart" Target="charts/chart10.xml"/><Relationship Id="rId36" Type="http://schemas.openxmlformats.org/officeDocument/2006/relationships/chart" Target="charts/chart18.xml"/><Relationship Id="rId49" Type="http://schemas.openxmlformats.org/officeDocument/2006/relationships/fontTable" Target="fontTable.xml"/><Relationship Id="rId10" Type="http://schemas.openxmlformats.org/officeDocument/2006/relationships/diagramQuickStyle" Target="diagrams/quickStyle1.xml"/><Relationship Id="rId19" Type="http://schemas.openxmlformats.org/officeDocument/2006/relationships/chart" Target="charts/chart7.xml"/><Relationship Id="rId31" Type="http://schemas.openxmlformats.org/officeDocument/2006/relationships/chart" Target="charts/chart13.xml"/><Relationship Id="rId44" Type="http://schemas.openxmlformats.org/officeDocument/2006/relationships/chart" Target="charts/chart2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chart" Target="charts/chart2.xml"/><Relationship Id="rId22" Type="http://schemas.openxmlformats.org/officeDocument/2006/relationships/image" Target="media/image1.png"/><Relationship Id="rId27" Type="http://schemas.microsoft.com/office/2007/relationships/diagramDrawing" Target="diagrams/drawing2.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chart" Target="charts/chart20.xml"/><Relationship Id="rId48" Type="http://schemas.openxmlformats.org/officeDocument/2006/relationships/footer" Target="footer1.xml"/><Relationship Id="rId8" Type="http://schemas.openxmlformats.org/officeDocument/2006/relationships/diagramData" Target="diagrams/data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juank\Desktop\Austeridad\Tercer%20Trimestre%202019\Papeles%20de%20trabajo\Planta%20de%20Personal%20III%20Trim2019.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mbustibles%20I%20Trime%202020.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mbustibles%20I%20Trime%202020.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mbustibles%20I%20Trime%202020.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mbustibles%20I%20Trime%202020.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nsumo%20Papel%20I%20Trime%202020_2019.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nsumo%20Papel%20I%20Trime%202020_2019.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nsumo%20Papel%20I%20Trime%202020_2019.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nsumo%20Papel%20I%20Trime%202020_2019.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Consumo%20Papel%20I%20Trime%202020_2019.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Telefonia%20Movil%20ITrim2020.xlsx" TargetMode="External"/><Relationship Id="rId2" Type="http://schemas.microsoft.com/office/2011/relationships/chartColorStyle" Target="colors19.xml"/><Relationship Id="rId1" Type="http://schemas.microsoft.com/office/2011/relationships/chartStyle" Target="style19.xml"/></Relationships>
</file>

<file path=word/charts/_rels/chart2.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Horas%20Extras_I%20Trim2020.xlsx"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Energ&#237;a%20I%20Trime%202020.xlsx" TargetMode="External"/><Relationship Id="rId2" Type="http://schemas.microsoft.com/office/2011/relationships/chartColorStyle" Target="colors20.xml"/><Relationship Id="rId1" Type="http://schemas.microsoft.com/office/2011/relationships/chartStyle" Target="style20.xml"/></Relationships>
</file>

<file path=word/charts/_rels/chart21.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Energ&#237;a%20I%20Trime%202020.xlsx" TargetMode="External"/><Relationship Id="rId2" Type="http://schemas.microsoft.com/office/2011/relationships/chartColorStyle" Target="colors21.xml"/><Relationship Id="rId1" Type="http://schemas.microsoft.com/office/2011/relationships/chartStyle" Target="style21.xml"/></Relationships>
</file>

<file path=word/charts/_rels/chart22.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Acueducto%20I%20Trim%202020.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E:\EdilceSinucoCorrea\OCI\Austeridad%202020\I%20Trimestre%202020\Papeles%20de%20Trabajo\Acueducto%20I%20Trim%202020.xlsx" TargetMode="External"/><Relationship Id="rId2" Type="http://schemas.microsoft.com/office/2011/relationships/chartColorStyle" Target="colors23.xml"/><Relationship Id="rId1" Type="http://schemas.microsoft.com/office/2011/relationships/chartStyle" Target="style23.xml"/></Relationships>
</file>

<file path=word/charts/_rels/chart3.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Horas%20Extras_I%20Trim2020.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Servicios%20Profesionales_I%20Trim2020.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Pasajes%20y%20Viaticos%20I%20Trim%202020.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Pasajes%20y%20Viaticos%20I%20Trim%202020.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Pasajes%20y%20Viaticos%20I%20Trim%202020.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Pasajes%20y%20Viaticos%20I%20Trim%202020.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E:\EdilceSinucoCorrea\OCI\Austeridad%202020\I%20Trimestre\Papeles%20de%20Trabajo\Pasajes%20y%20Viaticos%20I%20Trim%202020.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1" i="0" u="none" strike="noStrike" kern="1200" baseline="0">
                <a:solidFill>
                  <a:schemeClr val="accent1">
                    <a:lumMod val="75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Distribución Planta de Personal  - MHCP</a:t>
            </a:r>
          </a:p>
          <a:p>
            <a:pPr>
              <a:defRPr sz="1100">
                <a:solidFill>
                  <a:schemeClr val="accent1">
                    <a:lumMod val="75000"/>
                  </a:schemeClr>
                </a:solidFill>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a 31 de marzo de 2020</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accent1">
                  <a:lumMod val="7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2941871845751877E-2"/>
          <c:y val="0.14415137385954921"/>
          <c:w val="0.90609013289397222"/>
          <c:h val="0.59611199631244083"/>
        </c:manualLayout>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4"/>
              <c:tx>
                <c:rich>
                  <a:bodyPr/>
                  <a:lstStyle/>
                  <a:p>
                    <a:r>
                      <a:rPr lang="en-US"/>
                      <a:t>8%</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0490-43B5-9B68-9142188B947A}"/>
                </c:ext>
              </c:extLst>
            </c:dLbl>
            <c:dLbl>
              <c:idx val="5"/>
              <c:tx>
                <c:rich>
                  <a:bodyPr/>
                  <a:lstStyle/>
                  <a:p>
                    <a:r>
                      <a:rPr lang="en-US"/>
                      <a:t>3%</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0490-43B5-9B68-9142188B94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'Variación Planta II Trime2019'!$A$22:$A$33</c:f>
              <c:strCache>
                <c:ptCount val="12"/>
                <c:pt idx="0">
                  <c:v>Asesores</c:v>
                </c:pt>
                <c:pt idx="1">
                  <c:v>Profesionales</c:v>
                </c:pt>
                <c:pt idx="2">
                  <c:v>Secretarios</c:v>
                </c:pt>
                <c:pt idx="3">
                  <c:v>Auxiliares</c:v>
                </c:pt>
                <c:pt idx="4">
                  <c:v>Técnicos</c:v>
                </c:pt>
                <c:pt idx="5">
                  <c:v>Subdirectores</c:v>
                </c:pt>
                <c:pt idx="6">
                  <c:v>Conductores</c:v>
                </c:pt>
                <c:pt idx="7">
                  <c:v>Directores</c:v>
                </c:pt>
                <c:pt idx="8">
                  <c:v>Jefes de Oficina</c:v>
                </c:pt>
                <c:pt idx="9">
                  <c:v>Viceministros</c:v>
                </c:pt>
                <c:pt idx="10">
                  <c:v>Ministro</c:v>
                </c:pt>
                <c:pt idx="11">
                  <c:v>Secretario General</c:v>
                </c:pt>
              </c:strCache>
            </c:strRef>
          </c:cat>
          <c:val>
            <c:numRef>
              <c:f>'Variación Planta II Trime2019'!$C$22:$C$33</c:f>
              <c:numCache>
                <c:formatCode>0%</c:formatCode>
                <c:ptCount val="12"/>
                <c:pt idx="0">
                  <c:v>0.43024963289280471</c:v>
                </c:pt>
                <c:pt idx="1">
                  <c:v>0.23054331864904551</c:v>
                </c:pt>
                <c:pt idx="2">
                  <c:v>0.10279001468428781</c:v>
                </c:pt>
                <c:pt idx="3">
                  <c:v>7.7826725403817909E-2</c:v>
                </c:pt>
                <c:pt idx="4">
                  <c:v>7.0484581497797363E-2</c:v>
                </c:pt>
                <c:pt idx="5">
                  <c:v>3.5242290748898682E-2</c:v>
                </c:pt>
                <c:pt idx="6">
                  <c:v>2.9368575624082231E-2</c:v>
                </c:pt>
                <c:pt idx="7">
                  <c:v>1.1747430249632892E-2</c:v>
                </c:pt>
                <c:pt idx="8">
                  <c:v>5.8737151248164461E-3</c:v>
                </c:pt>
                <c:pt idx="9" formatCode="0.0%">
                  <c:v>2.936857562408223E-3</c:v>
                </c:pt>
                <c:pt idx="10" formatCode="0.0%">
                  <c:v>1.4684287812041115E-3</c:v>
                </c:pt>
                <c:pt idx="11" formatCode="0.0%">
                  <c:v>1.4684287812041115E-3</c:v>
                </c:pt>
              </c:numCache>
            </c:numRef>
          </c:val>
          <c:extLst>
            <c:ext xmlns:c16="http://schemas.microsoft.com/office/drawing/2014/chart" uri="{C3380CC4-5D6E-409C-BE32-E72D297353CC}">
              <c16:uniqueId val="{00000002-0490-43B5-9B68-9142188B947A}"/>
            </c:ext>
          </c:extLst>
        </c:ser>
        <c:dLbls>
          <c:showLegendKey val="0"/>
          <c:showVal val="0"/>
          <c:showCatName val="0"/>
          <c:showSerName val="0"/>
          <c:showPercent val="0"/>
          <c:showBubbleSize val="0"/>
        </c:dLbls>
        <c:gapWidth val="100"/>
        <c:overlap val="-24"/>
        <c:axId val="1675740655"/>
        <c:axId val="1675776847"/>
      </c:barChart>
      <c:catAx>
        <c:axId val="16757406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675776847"/>
        <c:crosses val="autoZero"/>
        <c:auto val="1"/>
        <c:lblAlgn val="ctr"/>
        <c:lblOffset val="100"/>
        <c:noMultiLvlLbl val="0"/>
      </c:catAx>
      <c:valAx>
        <c:axId val="167577684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6757406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sz="1100">
                <a:solidFill>
                  <a:schemeClr val="accent1">
                    <a:lumMod val="50000"/>
                  </a:schemeClr>
                </a:solidFill>
                <a:latin typeface="Arial" panose="020B0604020202020204" pitchFamily="34" charset="0"/>
                <a:cs typeface="Arial" panose="020B0604020202020204" pitchFamily="34" charset="0"/>
              </a:rPr>
              <a:t>Variaciones de Gasto de Combustible </a:t>
            </a:r>
          </a:p>
          <a:p>
            <a:pPr>
              <a:defRPr/>
            </a:pPr>
            <a:r>
              <a:rPr lang="en-US" sz="1100">
                <a:solidFill>
                  <a:schemeClr val="accent1">
                    <a:lumMod val="50000"/>
                  </a:schemeClr>
                </a:solidFill>
                <a:latin typeface="Arial" panose="020B0604020202020204" pitchFamily="34" charset="0"/>
                <a:cs typeface="Arial" panose="020B0604020202020204" pitchFamily="34" charset="0"/>
              </a:rPr>
              <a:t>I Trimestre de 2020 -2019</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4.7774158523344191E-2"/>
          <c:y val="0.27016317016317015"/>
          <c:w val="0.95222584147665579"/>
          <c:h val="0.57191087128094997"/>
        </c:manualLayout>
      </c:layout>
      <c:lineChart>
        <c:grouping val="standard"/>
        <c:varyColors val="0"/>
        <c:ser>
          <c:idx val="0"/>
          <c:order val="0"/>
          <c:tx>
            <c:strRef>
              <c:f>'Resumen I Trime2020'!$A$47</c:f>
              <c:strCache>
                <c:ptCount val="1"/>
                <c:pt idx="0">
                  <c:v>Gasolina Corriente</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0.14968734771345765"/>
                  <c:y val="9.415891195418746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51F-4502-9177-8C2BA523D07F}"/>
                </c:ext>
              </c:extLst>
            </c:dLbl>
            <c:dLbl>
              <c:idx val="1"/>
              <c:layout>
                <c:manualLayout>
                  <c:x val="-9.0128668769823964E-2"/>
                  <c:y val="-5.62971936200283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51F-4502-9177-8C2BA523D07F}"/>
                </c:ext>
              </c:extLst>
            </c:dLbl>
            <c:dLbl>
              <c:idx val="2"/>
              <c:layout>
                <c:manualLayout>
                  <c:x val="2.011494252873542E-2"/>
                  <c:y val="1.58102766798418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51F-4502-9177-8C2BA523D0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Trime2020'!$B$46:$D$46</c:f>
              <c:strCache>
                <c:ptCount val="3"/>
                <c:pt idx="0">
                  <c:v>Enero </c:v>
                </c:pt>
                <c:pt idx="1">
                  <c:v>Febrero </c:v>
                </c:pt>
                <c:pt idx="2">
                  <c:v>Marzo</c:v>
                </c:pt>
              </c:strCache>
            </c:strRef>
          </c:cat>
          <c:val>
            <c:numRef>
              <c:f>'Resumen I Trime2020'!$B$47:$D$47</c:f>
              <c:numCache>
                <c:formatCode>0%</c:formatCode>
                <c:ptCount val="3"/>
                <c:pt idx="0">
                  <c:v>-9.5160729175906664E-2</c:v>
                </c:pt>
                <c:pt idx="1">
                  <c:v>0.17105543582106617</c:v>
                </c:pt>
                <c:pt idx="2">
                  <c:v>-0.31195382859994752</c:v>
                </c:pt>
              </c:numCache>
            </c:numRef>
          </c:val>
          <c:smooth val="0"/>
          <c:extLst>
            <c:ext xmlns:c16="http://schemas.microsoft.com/office/drawing/2014/chart" uri="{C3380CC4-5D6E-409C-BE32-E72D297353CC}">
              <c16:uniqueId val="{00000003-A51F-4502-9177-8C2BA523D07F}"/>
            </c:ext>
          </c:extLst>
        </c:ser>
        <c:ser>
          <c:idx val="1"/>
          <c:order val="1"/>
          <c:tx>
            <c:strRef>
              <c:f>'Resumen I Trime2020'!$A$48</c:f>
              <c:strCache>
                <c:ptCount val="1"/>
                <c:pt idx="0">
                  <c:v>ACPM</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dLbl>
              <c:idx val="0"/>
              <c:layout>
                <c:manualLayout>
                  <c:x val="-0.12950695495310646"/>
                  <c:y val="-0.1738204577574656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51F-4502-9177-8C2BA523D07F}"/>
                </c:ext>
              </c:extLst>
            </c:dLbl>
            <c:dLbl>
              <c:idx val="1"/>
              <c:layout>
                <c:manualLayout>
                  <c:x val="-1.1494252873563218E-2"/>
                  <c:y val="-8.779149519890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51F-4502-9177-8C2BA523D07F}"/>
                </c:ext>
              </c:extLst>
            </c:dLbl>
            <c:dLbl>
              <c:idx val="2"/>
              <c:layout>
                <c:manualLayout>
                  <c:x val="-0.18381458018073482"/>
                  <c:y val="2.63506047758016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51F-4502-9177-8C2BA523D07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Trime2020'!$B$46:$D$46</c:f>
              <c:strCache>
                <c:ptCount val="3"/>
                <c:pt idx="0">
                  <c:v>Enero </c:v>
                </c:pt>
                <c:pt idx="1">
                  <c:v>Febrero </c:v>
                </c:pt>
                <c:pt idx="2">
                  <c:v>Marzo</c:v>
                </c:pt>
              </c:strCache>
            </c:strRef>
          </c:cat>
          <c:val>
            <c:numRef>
              <c:f>'Resumen I Trime2020'!$B$48:$D$48</c:f>
              <c:numCache>
                <c:formatCode>0%</c:formatCode>
                <c:ptCount val="3"/>
                <c:pt idx="0">
                  <c:v>0.18017275983375305</c:v>
                </c:pt>
                <c:pt idx="1">
                  <c:v>0.63095762380362086</c:v>
                </c:pt>
                <c:pt idx="2">
                  <c:v>-0.50221181152396777</c:v>
                </c:pt>
              </c:numCache>
            </c:numRef>
          </c:val>
          <c:smooth val="0"/>
          <c:extLst>
            <c:ext xmlns:c16="http://schemas.microsoft.com/office/drawing/2014/chart" uri="{C3380CC4-5D6E-409C-BE32-E72D297353CC}">
              <c16:uniqueId val="{00000007-A51F-4502-9177-8C2BA523D07F}"/>
            </c:ext>
          </c:extLst>
        </c:ser>
        <c:dLbls>
          <c:showLegendKey val="0"/>
          <c:showVal val="0"/>
          <c:showCatName val="0"/>
          <c:showSerName val="0"/>
          <c:showPercent val="0"/>
          <c:showBubbleSize val="0"/>
        </c:dLbls>
        <c:smooth val="0"/>
        <c:axId val="221040000"/>
        <c:axId val="221043328"/>
      </c:lineChart>
      <c:catAx>
        <c:axId val="221040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crossAx val="221043328"/>
        <c:crosses val="autoZero"/>
        <c:auto val="1"/>
        <c:lblAlgn val="ctr"/>
        <c:lblOffset val="100"/>
        <c:noMultiLvlLbl val="0"/>
      </c:catAx>
      <c:valAx>
        <c:axId val="221043328"/>
        <c:scaling>
          <c:orientation val="minMax"/>
          <c:min val="-0.60000000000000009"/>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221040000"/>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accent1">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Consumo en  Galones - ACPM</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 Trime2020'!$H$14</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 Trime2020'!$G$15:$G$17</c:f>
              <c:strCache>
                <c:ptCount val="3"/>
                <c:pt idx="0">
                  <c:v>Enero </c:v>
                </c:pt>
                <c:pt idx="1">
                  <c:v>Febrero </c:v>
                </c:pt>
                <c:pt idx="2">
                  <c:v>Marzo</c:v>
                </c:pt>
              </c:strCache>
            </c:strRef>
          </c:cat>
          <c:val>
            <c:numRef>
              <c:f>'Resumen I Trime2020'!$H$15:$H$17</c:f>
              <c:numCache>
                <c:formatCode>_(* #,##0_);_(* \(#,##0\);_(* "-"_);_(@_)</c:formatCode>
                <c:ptCount val="3"/>
                <c:pt idx="0">
                  <c:v>356.226</c:v>
                </c:pt>
                <c:pt idx="1">
                  <c:v>427.52499999999998</c:v>
                </c:pt>
                <c:pt idx="2">
                  <c:v>240.12699999999998</c:v>
                </c:pt>
              </c:numCache>
            </c:numRef>
          </c:val>
          <c:extLst>
            <c:ext xmlns:c16="http://schemas.microsoft.com/office/drawing/2014/chart" uri="{C3380CC4-5D6E-409C-BE32-E72D297353CC}">
              <c16:uniqueId val="{00000000-9A04-43FB-87FF-B713C1289A79}"/>
            </c:ext>
          </c:extLst>
        </c:ser>
        <c:ser>
          <c:idx val="1"/>
          <c:order val="1"/>
          <c:tx>
            <c:strRef>
              <c:f>'Resumen I Trime2020'!$I$14</c:f>
              <c:strCache>
                <c:ptCount val="1"/>
                <c:pt idx="0">
                  <c:v>2019</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 Trime2020'!$G$15:$G$17</c:f>
              <c:strCache>
                <c:ptCount val="3"/>
                <c:pt idx="0">
                  <c:v>Enero </c:v>
                </c:pt>
                <c:pt idx="1">
                  <c:v>Febrero </c:v>
                </c:pt>
                <c:pt idx="2">
                  <c:v>Marzo</c:v>
                </c:pt>
              </c:strCache>
            </c:strRef>
          </c:cat>
          <c:val>
            <c:numRef>
              <c:f>'Resumen I Trime2020'!$I$15:$I$17</c:f>
              <c:numCache>
                <c:formatCode>_(* #,##0_);_(* \(#,##0\);_(* "-"_);_(@_)</c:formatCode>
                <c:ptCount val="3"/>
                <c:pt idx="0">
                  <c:v>320.25099999999998</c:v>
                </c:pt>
                <c:pt idx="1">
                  <c:v>274.91300000000001</c:v>
                </c:pt>
                <c:pt idx="2">
                  <c:v>485.06100000000004</c:v>
                </c:pt>
              </c:numCache>
            </c:numRef>
          </c:val>
          <c:extLst>
            <c:ext xmlns:c16="http://schemas.microsoft.com/office/drawing/2014/chart" uri="{C3380CC4-5D6E-409C-BE32-E72D297353CC}">
              <c16:uniqueId val="{00000001-9A04-43FB-87FF-B713C1289A79}"/>
            </c:ext>
          </c:extLst>
        </c:ser>
        <c:dLbls>
          <c:showLegendKey val="0"/>
          <c:showVal val="0"/>
          <c:showCatName val="0"/>
          <c:showSerName val="0"/>
          <c:showPercent val="0"/>
          <c:showBubbleSize val="0"/>
        </c:dLbls>
        <c:gapWidth val="150"/>
        <c:axId val="265311872"/>
        <c:axId val="265314368"/>
      </c:barChart>
      <c:catAx>
        <c:axId val="26531187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65314368"/>
        <c:crosses val="autoZero"/>
        <c:auto val="1"/>
        <c:lblAlgn val="ctr"/>
        <c:lblOffset val="100"/>
        <c:noMultiLvlLbl val="0"/>
      </c:catAx>
      <c:valAx>
        <c:axId val="265314368"/>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265311872"/>
        <c:crosses val="autoZero"/>
        <c:crossBetween val="between"/>
        <c:majorUnit val="2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Consumo en Galones-  Gasolina </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 Trime2020'!$B$14</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 Trime2020'!$A$15:$A$17</c:f>
              <c:strCache>
                <c:ptCount val="3"/>
                <c:pt idx="0">
                  <c:v>Enero </c:v>
                </c:pt>
                <c:pt idx="1">
                  <c:v>Febrero </c:v>
                </c:pt>
                <c:pt idx="2">
                  <c:v>Marzo</c:v>
                </c:pt>
              </c:strCache>
            </c:strRef>
          </c:cat>
          <c:val>
            <c:numRef>
              <c:f>'Resumen I Trime2020'!$B$15:$B$17</c:f>
              <c:numCache>
                <c:formatCode>_(* #,##0_);_(* \(#,##0\);_(* "-"_);_(@_)</c:formatCode>
                <c:ptCount val="3"/>
                <c:pt idx="0">
                  <c:v>719.77499999999998</c:v>
                </c:pt>
                <c:pt idx="1">
                  <c:v>858.43200000000002</c:v>
                </c:pt>
                <c:pt idx="2">
                  <c:v>627.66499999999996</c:v>
                </c:pt>
              </c:numCache>
            </c:numRef>
          </c:val>
          <c:extLst>
            <c:ext xmlns:c16="http://schemas.microsoft.com/office/drawing/2014/chart" uri="{C3380CC4-5D6E-409C-BE32-E72D297353CC}">
              <c16:uniqueId val="{00000000-3CA6-4F40-AE8A-07A4A132DCE3}"/>
            </c:ext>
          </c:extLst>
        </c:ser>
        <c:ser>
          <c:idx val="1"/>
          <c:order val="1"/>
          <c:tx>
            <c:strRef>
              <c:f>'Resumen I Trime2020'!$C$14</c:f>
              <c:strCache>
                <c:ptCount val="1"/>
                <c:pt idx="0">
                  <c:v>2019</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'Resumen I Trime2020'!$A$15:$A$17</c:f>
              <c:strCache>
                <c:ptCount val="3"/>
                <c:pt idx="0">
                  <c:v>Enero </c:v>
                </c:pt>
                <c:pt idx="1">
                  <c:v>Febrero </c:v>
                </c:pt>
                <c:pt idx="2">
                  <c:v>Marzo</c:v>
                </c:pt>
              </c:strCache>
            </c:strRef>
          </c:cat>
          <c:val>
            <c:numRef>
              <c:f>'Resumen I Trime2020'!$C$15:$C$17</c:f>
              <c:numCache>
                <c:formatCode>_(* #,##0_);_(* \(#,##0\);_(* "-"_);_(@_)</c:formatCode>
                <c:ptCount val="3"/>
                <c:pt idx="0">
                  <c:v>808.02000000000021</c:v>
                </c:pt>
                <c:pt idx="1">
                  <c:v>744.03199999999993</c:v>
                </c:pt>
                <c:pt idx="2">
                  <c:v>908.60500000000013</c:v>
                </c:pt>
              </c:numCache>
            </c:numRef>
          </c:val>
          <c:extLst>
            <c:ext xmlns:c16="http://schemas.microsoft.com/office/drawing/2014/chart" uri="{C3380CC4-5D6E-409C-BE32-E72D297353CC}">
              <c16:uniqueId val="{00000001-3CA6-4F40-AE8A-07A4A132DCE3}"/>
            </c:ext>
          </c:extLst>
        </c:ser>
        <c:dLbls>
          <c:showLegendKey val="0"/>
          <c:showVal val="0"/>
          <c:showCatName val="0"/>
          <c:showSerName val="0"/>
          <c:showPercent val="0"/>
          <c:showBubbleSize val="0"/>
        </c:dLbls>
        <c:gapWidth val="150"/>
        <c:axId val="265316032"/>
        <c:axId val="278365056"/>
      </c:barChart>
      <c:catAx>
        <c:axId val="26531603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278365056"/>
        <c:crosses val="autoZero"/>
        <c:auto val="1"/>
        <c:lblAlgn val="ctr"/>
        <c:lblOffset val="100"/>
        <c:noMultiLvlLbl val="0"/>
      </c:catAx>
      <c:valAx>
        <c:axId val="278365056"/>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crossAx val="265316032"/>
        <c:crosses val="autoZero"/>
        <c:crossBetween val="between"/>
        <c:majorUnit val="5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1756609692081174E-2"/>
          <c:y val="0.11324046032707449"/>
          <c:w val="0.88566885389326333"/>
          <c:h val="0.7245281681561957"/>
        </c:manualLayout>
      </c:layout>
      <c:lineChart>
        <c:grouping val="stacked"/>
        <c:varyColors val="0"/>
        <c:ser>
          <c:idx val="0"/>
          <c:order val="0"/>
          <c:tx>
            <c:strRef>
              <c:f>'Resumen I Trime2020'!$A$62</c:f>
              <c:strCache>
                <c:ptCount val="1"/>
                <c:pt idx="0">
                  <c:v>Gasolina Corriente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multiLvlStrRef>
              <c:f>'Resumen I Trime2020'!$B$60:$G$61</c:f>
              <c:multiLvlStrCache>
                <c:ptCount val="6"/>
                <c:lvl>
                  <c:pt idx="0">
                    <c:v>Gasto </c:v>
                  </c:pt>
                  <c:pt idx="1">
                    <c:v>Cantidad</c:v>
                  </c:pt>
                  <c:pt idx="2">
                    <c:v>Gasto </c:v>
                  </c:pt>
                  <c:pt idx="3">
                    <c:v>Cantidad</c:v>
                  </c:pt>
                  <c:pt idx="4">
                    <c:v>Gasto </c:v>
                  </c:pt>
                  <c:pt idx="5">
                    <c:v>Cantidad</c:v>
                  </c:pt>
                </c:lvl>
                <c:lvl>
                  <c:pt idx="0">
                    <c:v>Enero </c:v>
                  </c:pt>
                  <c:pt idx="2">
                    <c:v>Febrero </c:v>
                  </c:pt>
                  <c:pt idx="4">
                    <c:v>Marzo</c:v>
                  </c:pt>
                </c:lvl>
              </c:multiLvlStrCache>
            </c:multiLvlStrRef>
          </c:cat>
          <c:val>
            <c:numRef>
              <c:f>'Resumen I Trime2020'!$B$62:$G$62</c:f>
              <c:numCache>
                <c:formatCode>0%</c:formatCode>
                <c:ptCount val="6"/>
                <c:pt idx="0">
                  <c:v>-9.5160729175906664E-2</c:v>
                </c:pt>
                <c:pt idx="1">
                  <c:v>-0.10921140565827604</c:v>
                </c:pt>
                <c:pt idx="2">
                  <c:v>0.17105543582106617</c:v>
                </c:pt>
                <c:pt idx="3">
                  <c:v>0.15375682766332643</c:v>
                </c:pt>
                <c:pt idx="4">
                  <c:v>-0.31195382859994752</c:v>
                </c:pt>
                <c:pt idx="5">
                  <c:v>-0.30919926700821604</c:v>
                </c:pt>
              </c:numCache>
            </c:numRef>
          </c:val>
          <c:smooth val="0"/>
          <c:extLst>
            <c:ext xmlns:c16="http://schemas.microsoft.com/office/drawing/2014/chart" uri="{C3380CC4-5D6E-409C-BE32-E72D297353CC}">
              <c16:uniqueId val="{00000000-6691-4D52-81F7-57F69FB65DCF}"/>
            </c:ext>
          </c:extLst>
        </c:ser>
        <c:ser>
          <c:idx val="1"/>
          <c:order val="1"/>
          <c:tx>
            <c:strRef>
              <c:f>'Resumen I Trime2020'!$A$63</c:f>
              <c:strCache>
                <c:ptCount val="1"/>
                <c:pt idx="0">
                  <c:v>ACPM</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multiLvlStrRef>
              <c:f>'Resumen I Trime2020'!$B$60:$G$61</c:f>
              <c:multiLvlStrCache>
                <c:ptCount val="6"/>
                <c:lvl>
                  <c:pt idx="0">
                    <c:v>Gasto </c:v>
                  </c:pt>
                  <c:pt idx="1">
                    <c:v>Cantidad</c:v>
                  </c:pt>
                  <c:pt idx="2">
                    <c:v>Gasto </c:v>
                  </c:pt>
                  <c:pt idx="3">
                    <c:v>Cantidad</c:v>
                  </c:pt>
                  <c:pt idx="4">
                    <c:v>Gasto </c:v>
                  </c:pt>
                  <c:pt idx="5">
                    <c:v>Cantidad</c:v>
                  </c:pt>
                </c:lvl>
                <c:lvl>
                  <c:pt idx="0">
                    <c:v>Enero </c:v>
                  </c:pt>
                  <c:pt idx="2">
                    <c:v>Febrero </c:v>
                  </c:pt>
                  <c:pt idx="4">
                    <c:v>Marzo</c:v>
                  </c:pt>
                </c:lvl>
              </c:multiLvlStrCache>
            </c:multiLvlStrRef>
          </c:cat>
          <c:val>
            <c:numRef>
              <c:f>'Resumen I Trime2020'!$B$63:$G$63</c:f>
              <c:numCache>
                <c:formatCode>0%</c:formatCode>
                <c:ptCount val="6"/>
                <c:pt idx="0">
                  <c:v>0.18017275983375305</c:v>
                </c:pt>
                <c:pt idx="1">
                  <c:v>0.11233376320448656</c:v>
                </c:pt>
                <c:pt idx="2">
                  <c:v>0.63095762380362086</c:v>
                </c:pt>
                <c:pt idx="3">
                  <c:v>0.55512834969608549</c:v>
                </c:pt>
                <c:pt idx="4">
                  <c:v>-0.50221181152396777</c:v>
                </c:pt>
                <c:pt idx="5">
                  <c:v>-0.50495504689100967</c:v>
                </c:pt>
              </c:numCache>
            </c:numRef>
          </c:val>
          <c:smooth val="0"/>
          <c:extLst>
            <c:ext xmlns:c16="http://schemas.microsoft.com/office/drawing/2014/chart" uri="{C3380CC4-5D6E-409C-BE32-E72D297353CC}">
              <c16:uniqueId val="{00000001-6691-4D52-81F7-57F69FB65DCF}"/>
            </c:ext>
          </c:extLst>
        </c:ser>
        <c:dLbls>
          <c:showLegendKey val="0"/>
          <c:showVal val="0"/>
          <c:showCatName val="0"/>
          <c:showSerName val="0"/>
          <c:showPercent val="0"/>
          <c:showBubbleSize val="0"/>
        </c:dLbls>
        <c:marker val="1"/>
        <c:smooth val="0"/>
        <c:axId val="669948415"/>
        <c:axId val="669939263"/>
      </c:lineChart>
      <c:catAx>
        <c:axId val="6699484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69939263"/>
        <c:crosses val="autoZero"/>
        <c:auto val="1"/>
        <c:lblAlgn val="ctr"/>
        <c:lblOffset val="100"/>
        <c:noMultiLvlLbl val="0"/>
      </c:catAx>
      <c:valAx>
        <c:axId val="669939263"/>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69948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6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100">
                <a:solidFill>
                  <a:schemeClr val="tx2">
                    <a:lumMod val="50000"/>
                  </a:schemeClr>
                </a:solidFill>
              </a:rPr>
              <a:t>Consumo de Papel por Mes  </a:t>
            </a:r>
          </a:p>
          <a:p>
            <a:pPr>
              <a:defRPr>
                <a:solidFill>
                  <a:schemeClr val="tx2">
                    <a:lumMod val="50000"/>
                  </a:schemeClr>
                </a:solidFill>
              </a:defRPr>
            </a:pPr>
            <a:r>
              <a:rPr lang="en-US" sz="1100">
                <a:solidFill>
                  <a:schemeClr val="tx2">
                    <a:lumMod val="50000"/>
                  </a:schemeClr>
                </a:solidFill>
              </a:rPr>
              <a:t>I Trimestre 2020-2019</a:t>
            </a:r>
          </a:p>
        </c:rich>
      </c:tx>
      <c:overlay val="0"/>
      <c:spPr>
        <a:noFill/>
        <a:ln>
          <a:noFill/>
        </a:ln>
        <a:effectLst/>
      </c:spPr>
      <c:txPr>
        <a:bodyPr rot="0" spcFirstLastPara="1" vertOverflow="ellipsis" vert="horz" wrap="square" anchor="ctr" anchorCtr="1"/>
        <a:lstStyle/>
        <a:p>
          <a:pPr>
            <a:defRPr sz="96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'graficas consumo'!$A$19</c:f>
              <c:strCache>
                <c:ptCount val="1"/>
                <c:pt idx="0">
                  <c:v>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consumo'!$B$18:$D$18</c:f>
              <c:strCache>
                <c:ptCount val="3"/>
                <c:pt idx="0">
                  <c:v>Enero</c:v>
                </c:pt>
                <c:pt idx="1">
                  <c:v>Febreo</c:v>
                </c:pt>
                <c:pt idx="2">
                  <c:v>Marzo </c:v>
                </c:pt>
              </c:strCache>
            </c:strRef>
          </c:cat>
          <c:val>
            <c:numRef>
              <c:f>'graficas consumo'!$B$19:$D$19</c:f>
              <c:numCache>
                <c:formatCode>#,##0</c:formatCode>
                <c:ptCount val="3"/>
                <c:pt idx="0">
                  <c:v>123991</c:v>
                </c:pt>
                <c:pt idx="1">
                  <c:v>167618</c:v>
                </c:pt>
                <c:pt idx="2">
                  <c:v>141918</c:v>
                </c:pt>
              </c:numCache>
            </c:numRef>
          </c:val>
          <c:extLst>
            <c:ext xmlns:c16="http://schemas.microsoft.com/office/drawing/2014/chart" uri="{C3380CC4-5D6E-409C-BE32-E72D297353CC}">
              <c16:uniqueId val="{00000000-1C2E-492A-9308-C5860329A814}"/>
            </c:ext>
          </c:extLst>
        </c:ser>
        <c:ser>
          <c:idx val="1"/>
          <c:order val="1"/>
          <c:tx>
            <c:strRef>
              <c:f>'graficas consumo'!$A$20</c:f>
              <c:strCache>
                <c:ptCount val="1"/>
                <c:pt idx="0">
                  <c:v>2019</c:v>
                </c:pt>
              </c:strCache>
            </c:strRef>
          </c:tx>
          <c:spPr>
            <a:solidFill>
              <a:schemeClr val="accent2"/>
            </a:soli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consumo'!$B$18:$D$18</c:f>
              <c:strCache>
                <c:ptCount val="3"/>
                <c:pt idx="0">
                  <c:v>Enero</c:v>
                </c:pt>
                <c:pt idx="1">
                  <c:v>Febreo</c:v>
                </c:pt>
                <c:pt idx="2">
                  <c:v>Marzo </c:v>
                </c:pt>
              </c:strCache>
            </c:strRef>
          </c:cat>
          <c:val>
            <c:numRef>
              <c:f>'graficas consumo'!$B$20:$D$20</c:f>
              <c:numCache>
                <c:formatCode>_(* #,##0_);_(* \(#,##0\);_(* "-"_);_(@_)</c:formatCode>
                <c:ptCount val="3"/>
                <c:pt idx="0">
                  <c:v>195675</c:v>
                </c:pt>
                <c:pt idx="1">
                  <c:v>249583</c:v>
                </c:pt>
                <c:pt idx="2">
                  <c:v>269668</c:v>
                </c:pt>
              </c:numCache>
            </c:numRef>
          </c:val>
          <c:extLst>
            <c:ext xmlns:c16="http://schemas.microsoft.com/office/drawing/2014/chart" uri="{C3380CC4-5D6E-409C-BE32-E72D297353CC}">
              <c16:uniqueId val="{00000001-1C2E-492A-9308-C5860329A814}"/>
            </c:ext>
          </c:extLst>
        </c:ser>
        <c:ser>
          <c:idx val="2"/>
          <c:order val="2"/>
          <c:tx>
            <c:strRef>
              <c:f>'graficas consumo'!$A$21</c:f>
              <c:strCache>
                <c:ptCount val="1"/>
                <c:pt idx="0">
                  <c:v>Variación </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cat>
            <c:strRef>
              <c:f>'graficas consumo'!$B$18:$D$18</c:f>
              <c:strCache>
                <c:ptCount val="3"/>
                <c:pt idx="0">
                  <c:v>Enero</c:v>
                </c:pt>
                <c:pt idx="1">
                  <c:v>Febreo</c:v>
                </c:pt>
                <c:pt idx="2">
                  <c:v>Marzo </c:v>
                </c:pt>
              </c:strCache>
            </c:strRef>
          </c:cat>
          <c:val>
            <c:numRef>
              <c:f>'graficas consumo'!$B$21:$D$21</c:f>
              <c:numCache>
                <c:formatCode>0%</c:formatCode>
                <c:ptCount val="3"/>
                <c:pt idx="0">
                  <c:v>-0.36634214897150885</c:v>
                </c:pt>
                <c:pt idx="1">
                  <c:v>-0.32840778418401895</c:v>
                </c:pt>
                <c:pt idx="2">
                  <c:v>-0.47373066140587683</c:v>
                </c:pt>
              </c:numCache>
            </c:numRef>
          </c:val>
          <c:extLst>
            <c:ext xmlns:c16="http://schemas.microsoft.com/office/drawing/2014/chart" uri="{C3380CC4-5D6E-409C-BE32-E72D297353CC}">
              <c16:uniqueId val="{00000002-1C2E-492A-9308-C5860329A814}"/>
            </c:ext>
          </c:extLst>
        </c:ser>
        <c:dLbls>
          <c:showLegendKey val="0"/>
          <c:showVal val="0"/>
          <c:showCatName val="0"/>
          <c:showSerName val="0"/>
          <c:showPercent val="0"/>
          <c:showBubbleSize val="0"/>
        </c:dLbls>
        <c:gapWidth val="150"/>
        <c:axId val="659572368"/>
        <c:axId val="659572784"/>
      </c:barChart>
      <c:catAx>
        <c:axId val="65957236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659572784"/>
        <c:crosses val="autoZero"/>
        <c:auto val="1"/>
        <c:lblAlgn val="ctr"/>
        <c:lblOffset val="100"/>
        <c:noMultiLvlLbl val="0"/>
      </c:catAx>
      <c:valAx>
        <c:axId val="6595727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957236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Servicios Digitales </a:t>
            </a:r>
          </a:p>
          <a:p>
            <a:pPr>
              <a:defRPr sz="1200">
                <a:solidFill>
                  <a:schemeClr val="tx2">
                    <a:lumMod val="50000"/>
                  </a:schemeClr>
                </a:solidFill>
                <a:latin typeface="Arial" panose="020B0604020202020204" pitchFamily="34" charset="0"/>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(Consumo de Papel)</a:t>
            </a:r>
          </a:p>
        </c:rich>
      </c:tx>
      <c:layout>
        <c:manualLayout>
          <c:xMode val="edge"/>
          <c:yMode val="edge"/>
          <c:x val="0.23673358137925066"/>
          <c:y val="2.585718164539777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'graficas consumo'!$B$29</c:f>
              <c:strCache>
                <c:ptCount val="1"/>
                <c:pt idx="0">
                  <c:v>Servicios Digitales (Consumo de Papel)</c:v>
                </c:pt>
              </c:strCache>
            </c:strRef>
          </c:tx>
          <c:spPr>
            <a:solidFill>
              <a:schemeClr val="tx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41BC-4198-96BC-8D7E0B6A3D33}"/>
              </c:ext>
            </c:extLst>
          </c:dPt>
          <c:dPt>
            <c:idx val="1"/>
            <c:invertIfNegative val="0"/>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41BC-4198-96BC-8D7E0B6A3D33}"/>
              </c:ext>
            </c:extLst>
          </c:dPt>
          <c:trendline>
            <c:spPr>
              <a:ln w="19050" cap="rnd">
                <a:solidFill>
                  <a:schemeClr val="accent1"/>
                </a:solidFill>
              </a:ln>
              <a:effectLst/>
            </c:spPr>
            <c:trendlineType val="linear"/>
            <c:dispRSqr val="0"/>
            <c:dispEq val="0"/>
          </c:trendline>
          <c:cat>
            <c:strRef>
              <c:f>'graficas consumo'!$A$30:$A$31</c:f>
              <c:strCache>
                <c:ptCount val="2"/>
                <c:pt idx="0">
                  <c:v>IV Trimestre de 2019</c:v>
                </c:pt>
                <c:pt idx="1">
                  <c:v>I Trimestre de 2020</c:v>
                </c:pt>
              </c:strCache>
            </c:strRef>
          </c:cat>
          <c:val>
            <c:numRef>
              <c:f>'graficas consumo'!$B$30:$B$31</c:f>
              <c:numCache>
                <c:formatCode>#,##0</c:formatCode>
                <c:ptCount val="2"/>
                <c:pt idx="0">
                  <c:v>669258</c:v>
                </c:pt>
                <c:pt idx="1">
                  <c:v>433527</c:v>
                </c:pt>
              </c:numCache>
            </c:numRef>
          </c:val>
          <c:extLst>
            <c:ext xmlns:c16="http://schemas.microsoft.com/office/drawing/2014/chart" uri="{C3380CC4-5D6E-409C-BE32-E72D297353CC}">
              <c16:uniqueId val="{00000001-08D6-420B-AFCD-7A553CBDD3DC}"/>
            </c:ext>
          </c:extLst>
        </c:ser>
        <c:dLbls>
          <c:showLegendKey val="0"/>
          <c:showVal val="0"/>
          <c:showCatName val="0"/>
          <c:showSerName val="0"/>
          <c:showPercent val="0"/>
          <c:showBubbleSize val="0"/>
        </c:dLbls>
        <c:gapWidth val="100"/>
        <c:overlap val="-24"/>
        <c:axId val="693424000"/>
        <c:axId val="693426080"/>
      </c:barChart>
      <c:catAx>
        <c:axId val="693424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93426080"/>
        <c:crosses val="autoZero"/>
        <c:auto val="1"/>
        <c:lblAlgn val="ctr"/>
        <c:lblOffset val="100"/>
        <c:noMultiLvlLbl val="0"/>
      </c:catAx>
      <c:valAx>
        <c:axId val="693426080"/>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93424000"/>
        <c:crosses val="autoZero"/>
        <c:crossBetween val="between"/>
        <c:majorUnit val="10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r>
              <a:rPr lang="en-US"/>
              <a:t>Consumo de Hojas  Mensual  - Primer Trimestre 2020</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0792630781728961"/>
          <c:y val="0.14588003933136676"/>
          <c:w val="0.86538276358295052"/>
          <c:h val="0.53868921252100133"/>
        </c:manualLayout>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0"/>
              <c:layout>
                <c:manualLayout>
                  <c:x val="-0.10212497947560478"/>
                  <c:y val="-0.1122990073168228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A8A-46E3-96AE-FF946637AB85}"/>
                </c:ext>
              </c:extLst>
            </c:dLbl>
            <c:dLbl>
              <c:idx val="1"/>
              <c:layout>
                <c:manualLayout>
                  <c:x val="-5.5353701702319964E-2"/>
                  <c:y val="-0.1420941656036012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A8A-46E3-96AE-FF946637AB85}"/>
                </c:ext>
              </c:extLst>
            </c:dLbl>
            <c:dLbl>
              <c:idx val="2"/>
              <c:layout>
                <c:manualLayout>
                  <c:x val="1.8253927409400621E-2"/>
                  <c:y val="-8.58071232716022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A8A-46E3-96AE-FF946637AB85}"/>
                </c:ext>
              </c:extLst>
            </c:dLbl>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'graficas consumo'!$H$2:$H$4</c:f>
              <c:strCache>
                <c:ptCount val="3"/>
                <c:pt idx="0">
                  <c:v>Enero</c:v>
                </c:pt>
                <c:pt idx="1">
                  <c:v>Febrero</c:v>
                </c:pt>
                <c:pt idx="2">
                  <c:v>Marzo</c:v>
                </c:pt>
              </c:strCache>
            </c:strRef>
          </c:cat>
          <c:val>
            <c:numRef>
              <c:f>'graficas consumo'!$I$2:$I$4</c:f>
              <c:numCache>
                <c:formatCode>#,##0</c:formatCode>
                <c:ptCount val="3"/>
                <c:pt idx="0">
                  <c:v>123991</c:v>
                </c:pt>
                <c:pt idx="1">
                  <c:v>167618</c:v>
                </c:pt>
                <c:pt idx="2">
                  <c:v>141918</c:v>
                </c:pt>
              </c:numCache>
            </c:numRef>
          </c:val>
          <c:smooth val="0"/>
          <c:extLst>
            <c:ext xmlns:c16="http://schemas.microsoft.com/office/drawing/2014/chart" uri="{C3380CC4-5D6E-409C-BE32-E72D297353CC}">
              <c16:uniqueId val="{00000003-DA8A-46E3-96AE-FF946637AB85}"/>
            </c:ext>
          </c:extLst>
        </c:ser>
        <c:dLbls>
          <c:showLegendKey val="0"/>
          <c:showVal val="0"/>
          <c:showCatName val="0"/>
          <c:showSerName val="0"/>
          <c:showPercent val="0"/>
          <c:showBubbleSize val="0"/>
        </c:dLbls>
        <c:marker val="1"/>
        <c:smooth val="0"/>
        <c:axId val="720938767"/>
        <c:axId val="720933775"/>
      </c:lineChart>
      <c:catAx>
        <c:axId val="7209387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720933775"/>
        <c:crosses val="autoZero"/>
        <c:auto val="1"/>
        <c:lblAlgn val="ctr"/>
        <c:lblOffset val="100"/>
        <c:noMultiLvlLbl val="0"/>
      </c:catAx>
      <c:valAx>
        <c:axId val="720933775"/>
        <c:scaling>
          <c:orientation val="minMax"/>
          <c:max val="250000"/>
          <c:min val="1000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720938767"/>
        <c:crosses val="autoZero"/>
        <c:crossBetween val="between"/>
        <c:minorUnit val="100000"/>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b="1">
          <a:solidFill>
            <a:schemeClr val="tx2">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3690123640205351"/>
          <c:y val="8.1478783123639792E-2"/>
          <c:w val="0.74627247065814906"/>
          <c:h val="0.84453610558466685"/>
        </c:manualLayout>
      </c:layout>
      <c:doughnutChart>
        <c:varyColors val="1"/>
        <c:ser>
          <c:idx val="0"/>
          <c:order val="0"/>
          <c:spPr>
            <a:solidFill>
              <a:schemeClr val="accent1">
                <a:lumMod val="40000"/>
                <a:lumOff val="60000"/>
              </a:schemeClr>
            </a:solidFill>
          </c:spPr>
          <c:dPt>
            <c:idx val="0"/>
            <c:bubble3D val="0"/>
            <c:spPr>
              <a:solidFill>
                <a:schemeClr val="accent1">
                  <a:lumMod val="40000"/>
                  <a:lumOff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0C52-4660-A7E7-F679B6FDB0FB}"/>
              </c:ext>
            </c:extLst>
          </c:dPt>
          <c:dPt>
            <c:idx val="1"/>
            <c:bubble3D val="0"/>
            <c:spPr>
              <a:solidFill>
                <a:schemeClr val="accent1">
                  <a:lumMod val="40000"/>
                  <a:lumOff val="60000"/>
                </a:schemeClr>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0C52-4660-A7E7-F679B6FDB0FB}"/>
              </c:ext>
            </c:extLst>
          </c:dPt>
          <c:dPt>
            <c:idx val="2"/>
            <c:bubble3D val="0"/>
            <c:spPr>
              <a:solidFill>
                <a:schemeClr val="accent1"/>
              </a:soli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0C52-4660-A7E7-F679B6FDB0FB}"/>
              </c:ext>
            </c:extLst>
          </c:dPt>
          <c:dLbls>
            <c:dLbl>
              <c:idx val="0"/>
              <c:layout>
                <c:manualLayout>
                  <c:x val="-6.8679905577840511E-2"/>
                  <c:y val="-0.13743118409131244"/>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C52-4660-A7E7-F679B6FDB0FB}"/>
                </c:ext>
              </c:extLst>
            </c:dLbl>
            <c:dLbl>
              <c:idx val="1"/>
              <c:layout>
                <c:manualLayout>
                  <c:x val="9.0978721999372639E-2"/>
                  <c:y val="-0.13773717787055978"/>
                </c:manualLayout>
              </c:layout>
              <c:spPr>
                <a:noFill/>
                <a:ln>
                  <a:noFill/>
                </a:ln>
                <a:effectLst/>
              </c:spPr>
              <c:txPr>
                <a:bodyPr rot="0" spcFirstLastPara="1" vertOverflow="ellipsis" vert="horz" wrap="square" lIns="38100" tIns="19050" rIns="38100" bIns="19050" anchor="ctr" anchorCtr="1">
                  <a:spAutoFit/>
                </a:bodyPr>
                <a:lstStyle/>
                <a:p>
                  <a:pPr>
                    <a:defRPr sz="1400" b="1"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52-4660-A7E7-F679B6FDB0FB}"/>
                </c:ext>
              </c:extLst>
            </c:dLbl>
            <c:dLbl>
              <c:idx val="2"/>
              <c:layout>
                <c:manualLayout>
                  <c:x val="1.9114874791594447E-2"/>
                  <c:y val="-0.33648443410765821"/>
                </c:manualLayout>
              </c:layout>
              <c:spPr>
                <a:noFill/>
                <a:ln>
                  <a:noFill/>
                </a:ln>
                <a:effectLst/>
              </c:spPr>
              <c:txPr>
                <a:bodyPr rot="0" spcFirstLastPara="1" vertOverflow="ellipsis" vert="horz" wrap="square" lIns="38100" tIns="19050" rIns="38100" bIns="19050" anchor="ctr" anchorCtr="1">
                  <a:noAutofit/>
                </a:bodyPr>
                <a:lstStyle/>
                <a:p>
                  <a:pPr>
                    <a:defRPr sz="2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5="http://schemas.microsoft.com/office/drawing/2012/chart" uri="{CE6537A1-D6FC-4f65-9D91-7224C49458BB}">
                  <c15:layout>
                    <c:manualLayout>
                      <c:w val="0.2749350424389399"/>
                      <c:h val="0.22677097954238704"/>
                    </c:manualLayout>
                  </c15:layout>
                </c:ext>
                <c:ext xmlns:c16="http://schemas.microsoft.com/office/drawing/2014/chart" uri="{C3380CC4-5D6E-409C-BE32-E72D297353CC}">
                  <c16:uniqueId val="{00000005-0C52-4660-A7E7-F679B6FDB0FB}"/>
                </c:ext>
              </c:extLst>
            </c:dLbl>
            <c:spPr>
              <a:noFill/>
              <a:ln>
                <a:noFill/>
              </a:ln>
              <a:effectLst/>
            </c:spPr>
            <c:txPr>
              <a:bodyPr rot="0" spcFirstLastPara="1" vertOverflow="ellipsis" vert="horz" wrap="square" lIns="38100" tIns="19050" rIns="38100" bIns="19050" anchor="ctr" anchorCtr="1">
                <a:spAutoFit/>
              </a:bodyPr>
              <a:lstStyle/>
              <a:p>
                <a:pPr>
                  <a:defRPr sz="2800" b="1"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extLst>
          </c:dLbls>
          <c:cat>
            <c:strRef>
              <c:f>'resumen I trim 2020'!$A$40:$A$42</c:f>
              <c:strCache>
                <c:ptCount val="3"/>
                <c:pt idx="0">
                  <c:v>Copias</c:v>
                </c:pt>
                <c:pt idx="1">
                  <c:v>Impresiones a Color </c:v>
                </c:pt>
                <c:pt idx="2">
                  <c:v>Impresiones a Blanco y Negro</c:v>
                </c:pt>
              </c:strCache>
            </c:strRef>
          </c:cat>
          <c:val>
            <c:numRef>
              <c:f>'resumen I trim 2020'!$B$40:$B$42</c:f>
              <c:numCache>
                <c:formatCode>0.0%</c:formatCode>
                <c:ptCount val="3"/>
                <c:pt idx="0">
                  <c:v>1.5121425606638892E-3</c:v>
                </c:pt>
                <c:pt idx="1">
                  <c:v>1.0025980342146711E-2</c:v>
                </c:pt>
                <c:pt idx="2">
                  <c:v>0.98846187709718936</c:v>
                </c:pt>
              </c:numCache>
            </c:numRef>
          </c:val>
          <c:extLst>
            <c:ext xmlns:c16="http://schemas.microsoft.com/office/drawing/2014/chart" uri="{C3380CC4-5D6E-409C-BE32-E72D297353CC}">
              <c16:uniqueId val="{00000006-0C52-4660-A7E7-F679B6FDB0FB}"/>
            </c:ext>
          </c:extLst>
        </c:ser>
        <c:dLbls>
          <c:showLegendKey val="0"/>
          <c:showVal val="0"/>
          <c:showCatName val="0"/>
          <c:showSerName val="0"/>
          <c:showPercent val="0"/>
          <c:showBubbleSize val="0"/>
          <c:showLeaderLines val="0"/>
        </c:dLbls>
        <c:firstSliceAng val="0"/>
        <c:holeSize val="50"/>
      </c:doughnut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lgn="just">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Consumo de Hojas por Dependencia </a:t>
            </a:r>
          </a:p>
          <a:p>
            <a:pPr>
              <a:defRPr sz="1200">
                <a:solidFill>
                  <a:schemeClr val="tx2">
                    <a:lumMod val="50000"/>
                  </a:schemeClr>
                </a:solidFill>
                <a:latin typeface="Arial" panose="020B0604020202020204" pitchFamily="34" charset="0"/>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Primer Trimestre 2020</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'total consumo I Trim 2020'!$G$63</c:f>
              <c:strCache>
                <c:ptCount val="1"/>
                <c:pt idx="0">
                  <c:v>Cantidad Funcionarios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1"/>
              <c:layout>
                <c:manualLayout>
                  <c:x val="2.1406727828746176E-2"/>
                  <c:y val="4.0160642570281121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F65-46D4-9C83-74BD1F30BF3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'total consumo I Trim 2020'!$F$64:$F$75</c:f>
              <c:strCache>
                <c:ptCount val="12"/>
                <c:pt idx="0">
                  <c:v>DA</c:v>
                </c:pt>
                <c:pt idx="1">
                  <c:v>SJ</c:v>
                </c:pt>
                <c:pt idx="2">
                  <c:v>OBP</c:v>
                </c:pt>
                <c:pt idx="3">
                  <c:v>DGCPTN</c:v>
                </c:pt>
                <c:pt idx="4">
                  <c:v>DGRESS</c:v>
                </c:pt>
                <c:pt idx="5">
                  <c:v>DAF</c:v>
                </c:pt>
                <c:pt idx="6">
                  <c:v>SACP</c:v>
                </c:pt>
                <c:pt idx="7">
                  <c:v>OAJ</c:v>
                </c:pt>
                <c:pt idx="8">
                  <c:v>DT</c:v>
                </c:pt>
                <c:pt idx="9">
                  <c:v>SCDS</c:v>
                </c:pt>
                <c:pt idx="10">
                  <c:v>DM</c:v>
                </c:pt>
                <c:pt idx="11">
                  <c:v>SG</c:v>
                </c:pt>
              </c:strCache>
            </c:strRef>
          </c:cat>
          <c:val>
            <c:numRef>
              <c:f>'total consumo I Trim 2020'!$G$64:$G$75</c:f>
              <c:numCache>
                <c:formatCode>0.0%</c:formatCode>
                <c:ptCount val="12"/>
                <c:pt idx="0">
                  <c:v>0.23410075958360149</c:v>
                </c:pt>
                <c:pt idx="1">
                  <c:v>0.22850941233187322</c:v>
                </c:pt>
                <c:pt idx="2">
                  <c:v>0.12708551024503664</c:v>
                </c:pt>
                <c:pt idx="3">
                  <c:v>9.1669030994609338E-2</c:v>
                </c:pt>
                <c:pt idx="4">
                  <c:v>4.4149499339141508E-2</c:v>
                </c:pt>
                <c:pt idx="5">
                  <c:v>3.32020842992478E-2</c:v>
                </c:pt>
                <c:pt idx="6">
                  <c:v>2.3901625504293849E-2</c:v>
                </c:pt>
                <c:pt idx="7">
                  <c:v>2.3435679899983162E-2</c:v>
                </c:pt>
                <c:pt idx="8">
                  <c:v>2.2088589638015625E-2</c:v>
                </c:pt>
                <c:pt idx="9">
                  <c:v>2.0134847425881203E-2</c:v>
                </c:pt>
                <c:pt idx="10">
                  <c:v>1.8333344866640372E-2</c:v>
                </c:pt>
                <c:pt idx="11">
                  <c:v>1.7196160792753393E-2</c:v>
                </c:pt>
              </c:numCache>
            </c:numRef>
          </c:val>
          <c:extLst>
            <c:ext xmlns:c16="http://schemas.microsoft.com/office/drawing/2014/chart" uri="{C3380CC4-5D6E-409C-BE32-E72D297353CC}">
              <c16:uniqueId val="{00000000-1F79-4835-BA5F-658627FA61D3}"/>
            </c:ext>
          </c:extLst>
        </c:ser>
        <c:dLbls>
          <c:showLegendKey val="0"/>
          <c:showVal val="0"/>
          <c:showCatName val="0"/>
          <c:showSerName val="0"/>
          <c:showPercent val="0"/>
          <c:showBubbleSize val="0"/>
        </c:dLbls>
        <c:gapWidth val="100"/>
        <c:overlap val="-24"/>
        <c:axId val="443363552"/>
        <c:axId val="443364864"/>
      </c:barChart>
      <c:catAx>
        <c:axId val="44336355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443364864"/>
        <c:crosses val="autoZero"/>
        <c:auto val="1"/>
        <c:lblAlgn val="ctr"/>
        <c:lblOffset val="100"/>
        <c:noMultiLvlLbl val="0"/>
      </c:catAx>
      <c:valAx>
        <c:axId val="443364864"/>
        <c:scaling>
          <c:orientation val="minMax"/>
        </c:scaling>
        <c:delete val="1"/>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44336355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050" b="1">
                <a:solidFill>
                  <a:schemeClr val="tx2">
                    <a:lumMod val="50000"/>
                  </a:schemeClr>
                </a:solidFill>
                <a:latin typeface="Arial" panose="020B0604020202020204" pitchFamily="34" charset="0"/>
                <a:cs typeface="Arial" panose="020B0604020202020204" pitchFamily="34" charset="0"/>
              </a:rPr>
              <a:t>Total Gastos por  Servicio de Telefonía Móvil</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Resumen!$F$8</c:f>
              <c:strCache>
                <c:ptCount val="1"/>
                <c:pt idx="0">
                  <c:v>Total  Servicio de Telefonía Movil</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solidFill>
                <a:schemeClr val="accent1">
                  <a:lumMod val="20000"/>
                  <a:lumOff val="8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1"/>
              </a:solidFill>
              <a:ln>
                <a:solidFill>
                  <a:schemeClr val="accent1">
                    <a:lumMod val="20000"/>
                    <a:lumOff val="8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529A-44EF-9971-10AB18960F26}"/>
              </c:ext>
            </c:extLst>
          </c:dPt>
          <c:dPt>
            <c:idx val="1"/>
            <c:invertIfNegative val="0"/>
            <c:bubble3D val="0"/>
            <c:spPr>
              <a:solidFill>
                <a:schemeClr val="accent2"/>
              </a:solidFill>
              <a:ln>
                <a:solidFill>
                  <a:schemeClr val="accent1">
                    <a:lumMod val="20000"/>
                    <a:lumOff val="8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529A-44EF-9971-10AB18960F26}"/>
              </c:ext>
            </c:extLst>
          </c:dPt>
          <c:trendline>
            <c:spPr>
              <a:ln w="19050" cap="rnd">
                <a:solidFill>
                  <a:schemeClr val="accent1"/>
                </a:solidFill>
              </a:ln>
              <a:effectLst/>
            </c:spPr>
            <c:trendlineType val="linear"/>
            <c:dispRSqr val="0"/>
            <c:dispEq val="0"/>
          </c:trendline>
          <c:cat>
            <c:strRef>
              <c:f>Resumen!$G$6:$H$7</c:f>
              <c:strCache>
                <c:ptCount val="2"/>
                <c:pt idx="0">
                  <c:v>I Trimestre de 2019</c:v>
                </c:pt>
                <c:pt idx="1">
                  <c:v>I Trimestre de 2020</c:v>
                </c:pt>
              </c:strCache>
            </c:strRef>
          </c:cat>
          <c:val>
            <c:numRef>
              <c:f>Resumen!$G$8:$H$8</c:f>
              <c:numCache>
                <c:formatCode>_(* #,##0_);_(* \(#,##0\);_(* "-"_);_(@_)</c:formatCode>
                <c:ptCount val="2"/>
                <c:pt idx="0">
                  <c:v>16348915.85</c:v>
                </c:pt>
                <c:pt idx="1">
                  <c:v>11138927.85</c:v>
                </c:pt>
              </c:numCache>
            </c:numRef>
          </c:val>
          <c:extLst>
            <c:ext xmlns:c16="http://schemas.microsoft.com/office/drawing/2014/chart" uri="{C3380CC4-5D6E-409C-BE32-E72D297353CC}">
              <c16:uniqueId val="{00000001-8938-41DA-B0B9-B48C46E883E5}"/>
            </c:ext>
          </c:extLst>
        </c:ser>
        <c:dLbls>
          <c:showLegendKey val="0"/>
          <c:showVal val="0"/>
          <c:showCatName val="0"/>
          <c:showSerName val="0"/>
          <c:showPercent val="0"/>
          <c:showBubbleSize val="0"/>
        </c:dLbls>
        <c:gapWidth val="150"/>
        <c:axId val="934798255"/>
        <c:axId val="934799503"/>
      </c:barChart>
      <c:catAx>
        <c:axId val="93479825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934799503"/>
        <c:crosses val="autoZero"/>
        <c:auto val="1"/>
        <c:lblAlgn val="ctr"/>
        <c:lblOffset val="100"/>
        <c:noMultiLvlLbl val="0"/>
      </c:catAx>
      <c:valAx>
        <c:axId val="934799503"/>
        <c:scaling>
          <c:orientation val="minMax"/>
        </c:scaling>
        <c:delete val="1"/>
        <c:axPos val="l"/>
        <c:majorGridlines>
          <c:spPr>
            <a:ln w="9525" cap="flat" cmpd="sng" algn="ctr">
              <a:solidFill>
                <a:schemeClr val="tx1">
                  <a:lumMod val="15000"/>
                  <a:lumOff val="85000"/>
                </a:schemeClr>
              </a:solidFill>
              <a:round/>
            </a:ln>
            <a:effectLst/>
          </c:spPr>
        </c:majorGridlines>
        <c:numFmt formatCode="_(* #,##0_);_(* \(#,##0\);_(* &quot;-&quot;_);_(@_)" sourceLinked="1"/>
        <c:majorTickMark val="out"/>
        <c:minorTickMark val="none"/>
        <c:tickLblPos val="nextTo"/>
        <c:crossAx val="934798255"/>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t>Horas Extras por Dependencias I Trimestre de 2020</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49824926836222155"/>
          <c:y val="8.8298391981399341E-2"/>
          <c:w val="0.44262987094664286"/>
          <c:h val="0.8542900891469799"/>
        </c:manualLayout>
      </c:layout>
      <c:barChart>
        <c:barDir val="bar"/>
        <c:grouping val="clustered"/>
        <c:varyColors val="0"/>
        <c:ser>
          <c:idx val="0"/>
          <c:order val="0"/>
          <c:tx>
            <c:strRef>
              <c:f>'Rankin por dependencia IV Trim'!$B$2</c:f>
              <c:strCache>
                <c:ptCount val="1"/>
                <c:pt idx="0">
                  <c:v>Porcentaje</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'Rankin por dependencia IV Trim'!$A$3:$A$24</c:f>
              <c:strCache>
                <c:ptCount val="22"/>
                <c:pt idx="0">
                  <c:v>Despacho del Ministro </c:v>
                </c:pt>
                <c:pt idx="1">
                  <c:v>Grupo de Logística y Servicios Especiales</c:v>
                </c:pt>
                <c:pt idx="2">
                  <c:v>Despacho del Viceministerio General</c:v>
                </c:pt>
                <c:pt idx="3">
                  <c:v>Despacho del Viceministro Técnico</c:v>
                </c:pt>
                <c:pt idx="4">
                  <c:v>Dirección General del Presupuesto Público Nacional</c:v>
                </c:pt>
                <c:pt idx="5">
                  <c:v>Secretaría General </c:v>
                </c:pt>
                <c:pt idx="6">
                  <c:v> Dirección General de Política de Macroeconómica </c:v>
                </c:pt>
                <c:pt idx="7">
                  <c:v> Dirección General de Regulación Económica de la Seguridad Social </c:v>
                </c:pt>
                <c:pt idx="8">
                  <c:v>Dirección General de Crédito Público y Tesoro Nacional</c:v>
                </c:pt>
                <c:pt idx="9">
                  <c:v>Dirección Administrativa</c:v>
                </c:pt>
                <c:pt idx="10">
                  <c:v>Dirección de Tecnología</c:v>
                </c:pt>
                <c:pt idx="11">
                  <c:v>Grupo de Bienes y Suministros </c:v>
                </c:pt>
                <c:pt idx="12">
                  <c:v>Dirección General de Participaciones Estatales</c:v>
                </c:pt>
                <c:pt idx="13">
                  <c:v>Dirección General de Apoyo Fiscal</c:v>
                </c:pt>
                <c:pt idx="14">
                  <c:v>Grupo de Pagaduría</c:v>
                </c:pt>
                <c:pt idx="15">
                  <c:v>Oficina Asesora de Jurídica</c:v>
                </c:pt>
                <c:pt idx="16">
                  <c:v>Subdirección de Administración de Recursos Tecnológicos</c:v>
                </c:pt>
                <c:pt idx="17">
                  <c:v>Subdirección Financiera</c:v>
                </c:pt>
                <c:pt idx="18">
                  <c:v>Grupo de Gestión de Información</c:v>
                </c:pt>
                <c:pt idx="19">
                  <c:v>Grupo de Infraestructura</c:v>
                </c:pt>
                <c:pt idx="20">
                  <c:v>Subdirección de Gestión de Talento Humano</c:v>
                </c:pt>
                <c:pt idx="21">
                  <c:v>Grupo de Asuntos jurídicos</c:v>
                </c:pt>
              </c:strCache>
            </c:strRef>
          </c:cat>
          <c:val>
            <c:numRef>
              <c:f>'Rankin por dependencia IV Trim'!$B$3:$B$24</c:f>
              <c:numCache>
                <c:formatCode>0%</c:formatCode>
                <c:ptCount val="22"/>
                <c:pt idx="0">
                  <c:v>0.20355301873852341</c:v>
                </c:pt>
                <c:pt idx="1">
                  <c:v>0.12610340479192936</c:v>
                </c:pt>
                <c:pt idx="2">
                  <c:v>9.3530379121405868E-2</c:v>
                </c:pt>
                <c:pt idx="3">
                  <c:v>7.048369136376037E-2</c:v>
                </c:pt>
                <c:pt idx="4">
                  <c:v>6.3915990059216971E-2</c:v>
                </c:pt>
                <c:pt idx="5">
                  <c:v>5.5840947471663599E-2</c:v>
                </c:pt>
                <c:pt idx="6">
                  <c:v>4.5650907428301718E-2</c:v>
                </c:pt>
                <c:pt idx="7">
                  <c:v>4.4246808698922578E-2</c:v>
                </c:pt>
                <c:pt idx="8">
                  <c:v>4.247693635096568E-2</c:v>
                </c:pt>
                <c:pt idx="9">
                  <c:v>3.7978510799908549E-2</c:v>
                </c:pt>
                <c:pt idx="10">
                  <c:v>3.7506544840453376E-2</c:v>
                </c:pt>
                <c:pt idx="11">
                  <c:v>3.1577472474797752E-2</c:v>
                </c:pt>
                <c:pt idx="12">
                  <c:v>3.126774481390529E-2</c:v>
                </c:pt>
                <c:pt idx="13">
                  <c:v>2.6819465646040274E-2</c:v>
                </c:pt>
                <c:pt idx="14">
                  <c:v>1.7698723479569033E-2</c:v>
                </c:pt>
                <c:pt idx="15">
                  <c:v>1.6650074113404564E-2</c:v>
                </c:pt>
                <c:pt idx="16">
                  <c:v>1.638606815483433E-2</c:v>
                </c:pt>
                <c:pt idx="17">
                  <c:v>1.4542451125712555E-2</c:v>
                </c:pt>
                <c:pt idx="18">
                  <c:v>9.539611955487708E-3</c:v>
                </c:pt>
                <c:pt idx="19">
                  <c:v>8.4363915252612387E-3</c:v>
                </c:pt>
                <c:pt idx="20" formatCode="0.0%">
                  <c:v>3.5397446959138067E-3</c:v>
                </c:pt>
                <c:pt idx="21" formatCode="0.0%">
                  <c:v>2.2551123500217539E-3</c:v>
                </c:pt>
              </c:numCache>
            </c:numRef>
          </c:val>
          <c:extLst>
            <c:ext xmlns:c16="http://schemas.microsoft.com/office/drawing/2014/chart" uri="{C3380CC4-5D6E-409C-BE32-E72D297353CC}">
              <c16:uniqueId val="{00000000-CB43-4102-BF70-13C6AADBE2F0}"/>
            </c:ext>
          </c:extLst>
        </c:ser>
        <c:dLbls>
          <c:showLegendKey val="0"/>
          <c:showVal val="0"/>
          <c:showCatName val="0"/>
          <c:showSerName val="0"/>
          <c:showPercent val="0"/>
          <c:showBubbleSize val="0"/>
        </c:dLbls>
        <c:gapWidth val="115"/>
        <c:overlap val="-20"/>
        <c:axId val="498798760"/>
        <c:axId val="498800072"/>
      </c:barChart>
      <c:catAx>
        <c:axId val="498798760"/>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498800072"/>
        <c:crosses val="autoZero"/>
        <c:auto val="1"/>
        <c:lblAlgn val="ctr"/>
        <c:lblOffset val="100"/>
        <c:noMultiLvlLbl val="0"/>
      </c:catAx>
      <c:valAx>
        <c:axId val="498800072"/>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9879876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chemeClr val="tx2">
              <a:lumMod val="50000"/>
            </a:schemeClr>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Comportamiento del</a:t>
            </a:r>
            <a:r>
              <a:rPr lang="es-CO" sz="1100" baseline="0">
                <a:solidFill>
                  <a:schemeClr val="tx2">
                    <a:lumMod val="50000"/>
                  </a:schemeClr>
                </a:solidFill>
                <a:latin typeface="Arial" panose="020B0604020202020204" pitchFamily="34" charset="0"/>
                <a:cs typeface="Arial" panose="020B0604020202020204" pitchFamily="34" charset="0"/>
              </a:rPr>
              <a:t> C</a:t>
            </a:r>
            <a:r>
              <a:rPr lang="es-CO" sz="1100">
                <a:solidFill>
                  <a:schemeClr val="tx2">
                    <a:lumMod val="50000"/>
                  </a:schemeClr>
                </a:solidFill>
                <a:latin typeface="Arial" panose="020B0604020202020204" pitchFamily="34" charset="0"/>
                <a:cs typeface="Arial" panose="020B0604020202020204" pitchFamily="34" charset="0"/>
              </a:rPr>
              <a:t>onsumo y Gasto de Energía </a:t>
            </a:r>
          </a:p>
          <a:p>
            <a:pPr>
              <a:defRPr sz="1100">
                <a:solidFill>
                  <a:schemeClr val="tx2">
                    <a:lumMod val="50000"/>
                  </a:schemeClr>
                </a:solidFill>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Sede: San Agustín  I Trimestre</a:t>
            </a:r>
            <a:r>
              <a:rPr lang="es-CO" sz="1100" baseline="0">
                <a:solidFill>
                  <a:schemeClr val="tx2">
                    <a:lumMod val="50000"/>
                  </a:schemeClr>
                </a:solidFill>
                <a:latin typeface="Arial" panose="020B0604020202020204" pitchFamily="34" charset="0"/>
                <a:cs typeface="Arial" panose="020B0604020202020204" pitchFamily="34" charset="0"/>
              </a:rPr>
              <a:t> </a:t>
            </a:r>
            <a:r>
              <a:rPr lang="es-CO" sz="1100">
                <a:solidFill>
                  <a:schemeClr val="tx2">
                    <a:lumMod val="50000"/>
                  </a:schemeClr>
                </a:solidFill>
                <a:latin typeface="Arial" panose="020B0604020202020204" pitchFamily="34" charset="0"/>
                <a:cs typeface="Arial" panose="020B0604020202020204" pitchFamily="34" charset="0"/>
              </a:rPr>
              <a:t>2020-2019</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8.8840731996888606E-2"/>
          <c:y val="0.28392156862745099"/>
          <c:w val="0.88574043495862842"/>
          <c:h val="0.61117266224074929"/>
        </c:manualLayout>
      </c:layout>
      <c:lineChart>
        <c:grouping val="standard"/>
        <c:varyColors val="0"/>
        <c:ser>
          <c:idx val="0"/>
          <c:order val="0"/>
          <c:tx>
            <c:v>Consumo en Kw/H</c:v>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0.11785095320623919"/>
                  <c:y val="-4.16666666666666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977-41C3-B498-08E65F17681B}"/>
                </c:ext>
              </c:extLst>
            </c:dLbl>
            <c:dLbl>
              <c:idx val="1"/>
              <c:layout>
                <c:manualLayout>
                  <c:x val="-7.8567302137492773E-2"/>
                  <c:y val="9.25925925925925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77-41C3-B498-08E65F17681B}"/>
                </c:ext>
              </c:extLst>
            </c:dLbl>
            <c:dLbl>
              <c:idx val="2"/>
              <c:layout>
                <c:manualLayout>
                  <c:x val="3.4662045060658578E-2"/>
                  <c:y val="5.092592592592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977-41C3-B498-08E65F17681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Gastos I Trim2020'!$D$28:$F$28</c:f>
              <c:strCache>
                <c:ptCount val="3"/>
                <c:pt idx="0">
                  <c:v>Enero</c:v>
                </c:pt>
                <c:pt idx="1">
                  <c:v>Febrero </c:v>
                </c:pt>
                <c:pt idx="2">
                  <c:v>Marzo</c:v>
                </c:pt>
              </c:strCache>
            </c:strRef>
          </c:cat>
          <c:val>
            <c:numRef>
              <c:f>'Consumo y Gastos I Trim2020'!$D$29:$F$29</c:f>
              <c:numCache>
                <c:formatCode>0%</c:formatCode>
                <c:ptCount val="3"/>
                <c:pt idx="0">
                  <c:v>-5.4054564487756446E-2</c:v>
                </c:pt>
                <c:pt idx="1">
                  <c:v>-0.12925009303551105</c:v>
                </c:pt>
                <c:pt idx="2">
                  <c:v>-0.21758744655070547</c:v>
                </c:pt>
              </c:numCache>
            </c:numRef>
          </c:val>
          <c:smooth val="0"/>
          <c:extLst>
            <c:ext xmlns:c16="http://schemas.microsoft.com/office/drawing/2014/chart" uri="{C3380CC4-5D6E-409C-BE32-E72D297353CC}">
              <c16:uniqueId val="{00000003-9977-41C3-B498-08E65F17681B}"/>
            </c:ext>
          </c:extLst>
        </c:ser>
        <c:ser>
          <c:idx val="1"/>
          <c:order val="1"/>
          <c:tx>
            <c:v>Valor Facturado ($)</c:v>
          </c:tx>
          <c:spPr>
            <a:ln w="34925"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9.0121317157712322E-2"/>
                  <c:y val="6.48148148148148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977-41C3-B498-08E65F17681B}"/>
                </c:ext>
              </c:extLst>
            </c:dLbl>
            <c:dLbl>
              <c:idx val="1"/>
              <c:layout>
                <c:manualLayout>
                  <c:x val="4.6216060080878106E-2"/>
                  <c:y val="-1.3888888888888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77-41C3-B498-08E65F17681B}"/>
                </c:ext>
              </c:extLst>
            </c:dLbl>
            <c:dLbl>
              <c:idx val="2"/>
              <c:layout>
                <c:manualLayout>
                  <c:x val="-4.6216060080878103E-3"/>
                  <c:y val="-8.33333333333333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977-41C3-B498-08E65F17681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Gastos I Trim2020'!$D$28:$F$28</c:f>
              <c:strCache>
                <c:ptCount val="3"/>
                <c:pt idx="0">
                  <c:v>Enero</c:v>
                </c:pt>
                <c:pt idx="1">
                  <c:v>Febrero </c:v>
                </c:pt>
                <c:pt idx="2">
                  <c:v>Marzo</c:v>
                </c:pt>
              </c:strCache>
            </c:strRef>
          </c:cat>
          <c:val>
            <c:numRef>
              <c:f>'Consumo y Gastos I Trim2020'!$D$30:$F$30</c:f>
              <c:numCache>
                <c:formatCode>0%</c:formatCode>
                <c:ptCount val="3"/>
                <c:pt idx="0">
                  <c:v>-9.6455800125480412E-2</c:v>
                </c:pt>
                <c:pt idx="1">
                  <c:v>-4.2296361564799295E-2</c:v>
                </c:pt>
                <c:pt idx="2">
                  <c:v>-0.16296997659327356</c:v>
                </c:pt>
              </c:numCache>
            </c:numRef>
          </c:val>
          <c:smooth val="0"/>
          <c:extLst>
            <c:ext xmlns:c16="http://schemas.microsoft.com/office/drawing/2014/chart" uri="{C3380CC4-5D6E-409C-BE32-E72D297353CC}">
              <c16:uniqueId val="{00000007-9977-41C3-B498-08E65F17681B}"/>
            </c:ext>
          </c:extLst>
        </c:ser>
        <c:dLbls>
          <c:showLegendKey val="0"/>
          <c:showVal val="0"/>
          <c:showCatName val="0"/>
          <c:showSerName val="0"/>
          <c:showPercent val="0"/>
          <c:showBubbleSize val="0"/>
        </c:dLbls>
        <c:smooth val="0"/>
        <c:axId val="561919648"/>
        <c:axId val="561920304"/>
      </c:lineChart>
      <c:catAx>
        <c:axId val="561919648"/>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61920304"/>
        <c:crosses val="autoZero"/>
        <c:auto val="1"/>
        <c:lblAlgn val="ctr"/>
        <c:lblOffset val="100"/>
        <c:noMultiLvlLbl val="0"/>
      </c:catAx>
      <c:valAx>
        <c:axId val="56192030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61919648"/>
        <c:crosses val="autoZero"/>
        <c:crossBetween val="between"/>
        <c:majorUnit val="5.000000000000001E-2"/>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accent5">
                    <a:lumMod val="50000"/>
                  </a:schemeClr>
                </a:solidFill>
                <a:latin typeface="Arial" panose="020B0604020202020204" pitchFamily="34" charset="0"/>
                <a:ea typeface="+mn-ea"/>
                <a:cs typeface="Arial" panose="020B0604020202020204" pitchFamily="34" charset="0"/>
              </a:defRPr>
            </a:pPr>
            <a:r>
              <a:rPr lang="es-CO" sz="1100" b="1" i="0" baseline="0">
                <a:solidFill>
                  <a:schemeClr val="tx2">
                    <a:lumMod val="50000"/>
                  </a:schemeClr>
                </a:solidFill>
                <a:effectLst/>
              </a:rPr>
              <a:t>Comportamiento del Consumo y Gasto de Energía </a:t>
            </a:r>
            <a:endParaRPr lang="es-CO" sz="1100">
              <a:solidFill>
                <a:schemeClr val="tx2">
                  <a:lumMod val="50000"/>
                </a:schemeClr>
              </a:solidFill>
              <a:effectLst/>
            </a:endParaRPr>
          </a:p>
          <a:p>
            <a:pPr>
              <a:defRPr sz="1000">
                <a:solidFill>
                  <a:schemeClr val="accent5">
                    <a:lumMod val="50000"/>
                  </a:schemeClr>
                </a:solidFill>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Sede: Casa Santa Barbara</a:t>
            </a:r>
            <a:r>
              <a:rPr lang="es-CO" sz="1100" baseline="0">
                <a:solidFill>
                  <a:schemeClr val="tx2">
                    <a:lumMod val="50000"/>
                  </a:schemeClr>
                </a:solidFill>
                <a:latin typeface="Arial" panose="020B0604020202020204" pitchFamily="34" charset="0"/>
                <a:cs typeface="Arial" panose="020B0604020202020204" pitchFamily="34" charset="0"/>
              </a:rPr>
              <a:t> I Trimestre </a:t>
            </a:r>
            <a:r>
              <a:rPr lang="es-CO" sz="1100">
                <a:solidFill>
                  <a:schemeClr val="tx2">
                    <a:lumMod val="50000"/>
                  </a:schemeClr>
                </a:solidFill>
                <a:latin typeface="Arial" panose="020B0604020202020204" pitchFamily="34" charset="0"/>
                <a:cs typeface="Arial" panose="020B0604020202020204" pitchFamily="34" charset="0"/>
              </a:rPr>
              <a:t>2020-2019</a:t>
            </a:r>
          </a:p>
        </c:rich>
      </c:tx>
      <c:layout>
        <c:manualLayout>
          <c:xMode val="edge"/>
          <c:yMode val="edge"/>
          <c:x val="0.25318234281747648"/>
          <c:y val="2.3382704171624854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accent5">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7.3306845818584598E-2"/>
          <c:y val="0.18666364546158348"/>
          <c:w val="0.95497570799248865"/>
          <c:h val="0.57726260088802572"/>
        </c:manualLayout>
      </c:layout>
      <c:lineChart>
        <c:grouping val="standard"/>
        <c:varyColors val="0"/>
        <c:ser>
          <c:idx val="0"/>
          <c:order val="0"/>
          <c:tx>
            <c:v>Consumo en Kw/H</c:v>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0.10791976690987021"/>
                  <c:y val="-1.88457008244994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D6-4923-9A9F-E8E82C067A1C}"/>
                </c:ext>
              </c:extLst>
            </c:dLbl>
            <c:dLbl>
              <c:idx val="1"/>
              <c:layout>
                <c:manualLayout>
                  <c:x val="-3.842693057863189E-2"/>
                  <c:y val="0.11379093514370765"/>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D6-4923-9A9F-E8E82C067A1C}"/>
                </c:ext>
              </c:extLst>
            </c:dLbl>
            <c:dLbl>
              <c:idx val="2"/>
              <c:layout>
                <c:manualLayout>
                  <c:x val="2.2222350646535976E-2"/>
                  <c:y val="9.592647208851544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D6-4923-9A9F-E8E82C067A1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Gastos I Trim2020'!$D$33:$F$33</c:f>
              <c:strCache>
                <c:ptCount val="3"/>
                <c:pt idx="0">
                  <c:v>Enero</c:v>
                </c:pt>
                <c:pt idx="1">
                  <c:v>Febrero </c:v>
                </c:pt>
                <c:pt idx="2">
                  <c:v>Marzo</c:v>
                </c:pt>
              </c:strCache>
            </c:strRef>
          </c:cat>
          <c:val>
            <c:numRef>
              <c:f>'Consumo y Gastos I Trim2020'!$D$34:$F$34</c:f>
              <c:numCache>
                <c:formatCode>0%</c:formatCode>
                <c:ptCount val="3"/>
                <c:pt idx="0">
                  <c:v>2.3809523809523808E-2</c:v>
                </c:pt>
                <c:pt idx="1">
                  <c:v>-6.9767441860465115E-2</c:v>
                </c:pt>
                <c:pt idx="2">
                  <c:v>-0.14219565217391306</c:v>
                </c:pt>
              </c:numCache>
            </c:numRef>
          </c:val>
          <c:smooth val="0"/>
          <c:extLst>
            <c:ext xmlns:c16="http://schemas.microsoft.com/office/drawing/2014/chart" uri="{C3380CC4-5D6E-409C-BE32-E72D297353CC}">
              <c16:uniqueId val="{00000003-A4D6-4923-9A9F-E8E82C067A1C}"/>
            </c:ext>
          </c:extLst>
        </c:ser>
        <c:ser>
          <c:idx val="1"/>
          <c:order val="1"/>
          <c:tx>
            <c:v>Valor Facturado ($)</c:v>
          </c:tx>
          <c:spPr>
            <a:ln w="34925" cap="rnd">
              <a:solidFill>
                <a:schemeClr val="accent2"/>
              </a:solidFill>
              <a:round/>
            </a:ln>
            <a:effectLst>
              <a:outerShdw blurRad="57150" dist="19050" dir="5400000" algn="ctr" rotWithShape="0">
                <a:srgbClr val="000000">
                  <a:alpha val="63000"/>
                </a:srgbClr>
              </a:outerShdw>
            </a:effectLst>
          </c:spPr>
          <c:marker>
            <c:symbol val="none"/>
          </c:marker>
          <c:dPt>
            <c:idx val="1"/>
            <c:marker>
              <c:symbol val="none"/>
            </c:marker>
            <c:bubble3D val="0"/>
            <c:extLst>
              <c:ext xmlns:c16="http://schemas.microsoft.com/office/drawing/2014/chart" uri="{C3380CC4-5D6E-409C-BE32-E72D297353CC}">
                <c16:uniqueId val="{00000005-A4D6-4923-9A9F-E8E82C067A1C}"/>
              </c:ext>
            </c:extLst>
          </c:dPt>
          <c:dLbls>
            <c:dLbl>
              <c:idx val="0"/>
              <c:layout>
                <c:manualLayout>
                  <c:x val="-9.9363917538476704E-2"/>
                  <c:y val="0.1063138972580196"/>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4D6-4923-9A9F-E8E82C067A1C}"/>
                </c:ext>
              </c:extLst>
            </c:dLbl>
            <c:dLbl>
              <c:idx val="1"/>
              <c:layout>
                <c:manualLayout>
                  <c:x val="-3.3533964217775533E-2"/>
                  <c:y val="-0.14783599046585608"/>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D6-4923-9A9F-E8E82C067A1C}"/>
                </c:ext>
              </c:extLst>
            </c:dLbl>
            <c:dLbl>
              <c:idx val="2"/>
              <c:layout>
                <c:manualLayout>
                  <c:x val="1.9907630812203519E-2"/>
                  <c:y val="-0.1044738135648238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D6-4923-9A9F-E8E82C067A1C}"/>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y Gastos I Trim2020'!$D$33:$F$33</c:f>
              <c:strCache>
                <c:ptCount val="3"/>
                <c:pt idx="0">
                  <c:v>Enero</c:v>
                </c:pt>
                <c:pt idx="1">
                  <c:v>Febrero </c:v>
                </c:pt>
                <c:pt idx="2">
                  <c:v>Marzo</c:v>
                </c:pt>
              </c:strCache>
            </c:strRef>
          </c:cat>
          <c:val>
            <c:numRef>
              <c:f>'Consumo y Gastos I Trim2020'!$D$35:$F$35</c:f>
              <c:numCache>
                <c:formatCode>0%</c:formatCode>
                <c:ptCount val="3"/>
                <c:pt idx="0">
                  <c:v>-2.2081811815316894E-2</c:v>
                </c:pt>
                <c:pt idx="1">
                  <c:v>-3.4090793297835126E-2</c:v>
                </c:pt>
                <c:pt idx="2">
                  <c:v>-0.12844804143199756</c:v>
                </c:pt>
              </c:numCache>
            </c:numRef>
          </c:val>
          <c:smooth val="0"/>
          <c:extLst>
            <c:ext xmlns:c16="http://schemas.microsoft.com/office/drawing/2014/chart" uri="{C3380CC4-5D6E-409C-BE32-E72D297353CC}">
              <c16:uniqueId val="{00000007-A4D6-4923-9A9F-E8E82C067A1C}"/>
            </c:ext>
          </c:extLst>
        </c:ser>
        <c:dLbls>
          <c:dLblPos val="ctr"/>
          <c:showLegendKey val="0"/>
          <c:showVal val="1"/>
          <c:showCatName val="0"/>
          <c:showSerName val="0"/>
          <c:showPercent val="0"/>
          <c:showBubbleSize val="0"/>
        </c:dLbls>
        <c:smooth val="0"/>
        <c:axId val="1192985615"/>
        <c:axId val="1192982287"/>
      </c:lineChart>
      <c:catAx>
        <c:axId val="119298561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2287"/>
        <c:crosses val="autoZero"/>
        <c:auto val="1"/>
        <c:lblAlgn val="ctr"/>
        <c:lblOffset val="100"/>
        <c:noMultiLvlLbl val="0"/>
      </c:catAx>
      <c:valAx>
        <c:axId val="119298228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192985615"/>
        <c:crosses val="autoZero"/>
        <c:crossBetween val="between"/>
        <c:majorUnit val="0.2"/>
      </c:valAx>
      <c:spPr>
        <a:noFill/>
        <a:ln>
          <a:noFill/>
        </a:ln>
        <a:effectLst/>
      </c:spPr>
    </c:plotArea>
    <c:legend>
      <c:legendPos val="b"/>
      <c:layout>
        <c:manualLayout>
          <c:xMode val="edge"/>
          <c:yMode val="edge"/>
          <c:x val="0.21657116804061463"/>
          <c:y val="0.86446903140322873"/>
          <c:w val="0.59498808157962291"/>
          <c:h val="8.1818754473872601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19050" cap="flat" cmpd="sng" algn="ctr">
      <a:noFill/>
      <a:round/>
    </a:ln>
    <a:effectLst/>
  </c:spPr>
  <c:txPr>
    <a:bodyPr/>
    <a:lstStyle/>
    <a:p>
      <a:pPr>
        <a:defRPr/>
      </a:pPr>
      <a:endParaRPr lang="es-CO"/>
    </a:p>
  </c:txPr>
  <c:externalData r:id="rId3">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050">
                <a:solidFill>
                  <a:schemeClr val="tx2">
                    <a:lumMod val="50000"/>
                  </a:schemeClr>
                </a:solidFill>
                <a:latin typeface="Arial" panose="020B0604020202020204" pitchFamily="34" charset="0"/>
                <a:cs typeface="Arial" panose="020B0604020202020204" pitchFamily="34" charset="0"/>
              </a:rPr>
              <a:t>Variaciones Valor Facturado Acueduto y Aseo  </a:t>
            </a:r>
          </a:p>
          <a:p>
            <a:pPr>
              <a:defRPr sz="1050">
                <a:solidFill>
                  <a:schemeClr val="tx2">
                    <a:lumMod val="50000"/>
                  </a:schemeClr>
                </a:solidFill>
                <a:latin typeface="Arial" panose="020B0604020202020204" pitchFamily="34" charset="0"/>
                <a:cs typeface="Arial" panose="020B0604020202020204" pitchFamily="34" charset="0"/>
              </a:defRPr>
            </a:pPr>
            <a:r>
              <a:rPr lang="en-US" sz="1050">
                <a:solidFill>
                  <a:schemeClr val="tx2">
                    <a:lumMod val="50000"/>
                  </a:schemeClr>
                </a:solidFill>
                <a:latin typeface="Arial" panose="020B0604020202020204" pitchFamily="34" charset="0"/>
                <a:cs typeface="Arial" panose="020B0604020202020204" pitchFamily="34" charset="0"/>
              </a:rPr>
              <a:t>I Trimestre de 2020 -2019</a:t>
            </a: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2.4567280848687884E-2"/>
          <c:y val="0.21233986928104576"/>
          <c:w val="0.95086543830262427"/>
          <c:h val="0.5638425196850394"/>
        </c:manualLayout>
      </c:layout>
      <c:barChart>
        <c:barDir val="col"/>
        <c:grouping val="clustered"/>
        <c:varyColors val="0"/>
        <c:ser>
          <c:idx val="0"/>
          <c:order val="0"/>
          <c:tx>
            <c:strRef>
              <c:f>'Resumen pago I trime2020'!$F$16</c:f>
              <c:strCache>
                <c:ptCount val="1"/>
                <c:pt idx="0">
                  <c:v>I Trimestre de 2020 -2019</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Pt>
            <c:idx val="0"/>
            <c:invertIfNegative val="0"/>
            <c:bubble3D val="0"/>
            <c:spPr>
              <a:solidFill>
                <a:schemeClr val="accent2"/>
              </a:solidFill>
              <a:ln>
                <a:solidFill>
                  <a:schemeClr val="accent1">
                    <a:lumMod val="40000"/>
                    <a:lumOff val="6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0C6E-46BF-A165-6406A84BF3C0}"/>
              </c:ext>
            </c:extLst>
          </c:dPt>
          <c:dPt>
            <c:idx val="1"/>
            <c:invertIfNegative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0C6E-46BF-A165-6406A84BF3C0}"/>
              </c:ext>
            </c:extLst>
          </c:dPt>
          <c:dPt>
            <c:idx val="3"/>
            <c:invertIfNegative val="0"/>
            <c:bubble3D val="0"/>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C6E-46BF-A165-6406A84BF3C0}"/>
              </c:ext>
            </c:extLst>
          </c:dPt>
          <c:dPt>
            <c:idx val="4"/>
            <c:invertIfNegative val="0"/>
            <c:bubble3D val="0"/>
            <c:spPr>
              <a:solidFill>
                <a:schemeClr val="accent1"/>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C6E-46BF-A165-6406A84BF3C0}"/>
              </c:ext>
            </c:extLst>
          </c:dPt>
          <c:dLbls>
            <c:dLbl>
              <c:idx val="0"/>
              <c:layout>
                <c:manualLayout>
                  <c:x val="-2.2333891680625553E-3"/>
                  <c:y val="-7.32026143790849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C6E-46BF-A165-6406A84BF3C0}"/>
                </c:ext>
              </c:extLst>
            </c:dLbl>
            <c:dLbl>
              <c:idx val="1"/>
              <c:layout>
                <c:manualLayout>
                  <c:x val="0"/>
                  <c:y val="-5.22875816993464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C6E-46BF-A165-6406A84BF3C0}"/>
                </c:ext>
              </c:extLst>
            </c:dLbl>
            <c:dLbl>
              <c:idx val="2"/>
              <c:delete val="1"/>
              <c:extLst>
                <c:ext xmlns:c15="http://schemas.microsoft.com/office/drawing/2012/chart" uri="{CE6537A1-D6FC-4f65-9D91-7224C49458BB}"/>
                <c:ext xmlns:c16="http://schemas.microsoft.com/office/drawing/2014/chart" uri="{C3380CC4-5D6E-409C-BE32-E72D297353CC}">
                  <c16:uniqueId val="{00000000-0C6E-46BF-A165-6406A84BF3C0}"/>
                </c:ext>
              </c:extLst>
            </c:dLbl>
            <c:dLbl>
              <c:idx val="3"/>
              <c:layout>
                <c:manualLayout>
                  <c:x val="-8.1889990162138649E-17"/>
                  <c:y val="-4.1830065359477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C6E-46BF-A165-6406A84BF3C0}"/>
                </c:ext>
              </c:extLst>
            </c:dLbl>
            <c:dLbl>
              <c:idx val="4"/>
              <c:layout>
                <c:manualLayout>
                  <c:x val="-1.637799803242773E-16"/>
                  <c:y val="-6.2745098039215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C6E-46BF-A165-6406A84BF3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'Resumen pago I trime2020'!$G$14:$K$15</c:f>
              <c:multiLvlStrCache>
                <c:ptCount val="5"/>
                <c:lvl>
                  <c:pt idx="0">
                    <c:v>San Agustín </c:v>
                  </c:pt>
                  <c:pt idx="1">
                    <c:v>Casas Santa Bárbara</c:v>
                  </c:pt>
                  <c:pt idx="3">
                    <c:v>San Agustín </c:v>
                  </c:pt>
                  <c:pt idx="4">
                    <c:v>Casas Santa Bárbara</c:v>
                  </c:pt>
                </c:lvl>
                <c:lvl>
                  <c:pt idx="0">
                    <c:v>Servicio de Acueducto</c:v>
                  </c:pt>
                  <c:pt idx="3">
                    <c:v>Servicio de Aseo</c:v>
                  </c:pt>
                </c:lvl>
              </c:multiLvlStrCache>
            </c:multiLvlStrRef>
          </c:cat>
          <c:val>
            <c:numRef>
              <c:f>'Resumen pago I trime2020'!$G$16:$K$16</c:f>
              <c:numCache>
                <c:formatCode>0%</c:formatCode>
                <c:ptCount val="5"/>
                <c:pt idx="0">
                  <c:v>8.6508631035351544E-2</c:v>
                </c:pt>
                <c:pt idx="1">
                  <c:v>0.13994931764307947</c:v>
                </c:pt>
                <c:pt idx="2" formatCode="General">
                  <c:v>0</c:v>
                </c:pt>
                <c:pt idx="3">
                  <c:v>3.6863743530624264E-2</c:v>
                </c:pt>
                <c:pt idx="4">
                  <c:v>0.82593778962943687</c:v>
                </c:pt>
              </c:numCache>
            </c:numRef>
          </c:val>
          <c:extLst>
            <c:ext xmlns:c16="http://schemas.microsoft.com/office/drawing/2014/chart" uri="{C3380CC4-5D6E-409C-BE32-E72D297353CC}">
              <c16:uniqueId val="{00000001-0C6E-46BF-A165-6406A84BF3C0}"/>
            </c:ext>
          </c:extLst>
        </c:ser>
        <c:dLbls>
          <c:showLegendKey val="0"/>
          <c:showVal val="0"/>
          <c:showCatName val="0"/>
          <c:showSerName val="0"/>
          <c:showPercent val="0"/>
          <c:showBubbleSize val="0"/>
        </c:dLbls>
        <c:gapWidth val="100"/>
        <c:overlap val="-24"/>
        <c:axId val="524734856"/>
        <c:axId val="524735184"/>
      </c:barChart>
      <c:catAx>
        <c:axId val="524734856"/>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24735184"/>
        <c:crosses val="autoZero"/>
        <c:auto val="1"/>
        <c:lblAlgn val="ctr"/>
        <c:lblOffset val="100"/>
        <c:noMultiLvlLbl val="0"/>
      </c:catAx>
      <c:valAx>
        <c:axId val="524735184"/>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473485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Variaciones de Consumo y Valor Facturado Servicio de Acueducto </a:t>
            </a:r>
          </a:p>
          <a:p>
            <a:pPr>
              <a:defRPr sz="1100">
                <a:latin typeface="Arial" panose="020B0604020202020204" pitchFamily="34" charset="0"/>
                <a:cs typeface="Arial" panose="020B0604020202020204" pitchFamily="34" charset="0"/>
              </a:defRPr>
            </a:pPr>
            <a:r>
              <a:rPr lang="es-CO" sz="1100">
                <a:solidFill>
                  <a:schemeClr val="tx2">
                    <a:lumMod val="50000"/>
                  </a:schemeClr>
                </a:solidFill>
                <a:latin typeface="Arial" panose="020B0604020202020204" pitchFamily="34" charset="0"/>
                <a:cs typeface="Arial" panose="020B0604020202020204" pitchFamily="34" charset="0"/>
              </a:rPr>
              <a:t>I Trimestre 2020-2019</a:t>
            </a: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436429451057955"/>
          <c:y val="0.23118821868065362"/>
          <c:w val="0.78608335095553816"/>
          <c:h val="0.58291956495149633"/>
        </c:manualLayout>
      </c:layout>
      <c:barChart>
        <c:barDir val="bar"/>
        <c:grouping val="clustered"/>
        <c:varyColors val="0"/>
        <c:ser>
          <c:idx val="0"/>
          <c:order val="0"/>
          <c:tx>
            <c:strRef>
              <c:f>'consumo agua I Trime2020'!$E$71:$E$72</c:f>
              <c:strCache>
                <c:ptCount val="2"/>
                <c:pt idx="0">
                  <c:v>Edificio San Agustín </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7.8254047459387598E-3"/>
                  <c:y val="1.88477560773236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354-445A-8880-63854B49E53D}"/>
                </c:ext>
              </c:extLst>
            </c:dLbl>
            <c:dLbl>
              <c:idx val="1"/>
              <c:layout>
                <c:manualLayout>
                  <c:x val="1.4094184685843048E-2"/>
                  <c:y val="1.348945716251579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354-445A-8880-63854B49E53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agua I Trime2020'!$D$73:$D$74</c:f>
              <c:strCache>
                <c:ptCount val="2"/>
                <c:pt idx="0">
                  <c:v>Valor Facturado </c:v>
                </c:pt>
                <c:pt idx="1">
                  <c:v>Consumo Metros cúbicos</c:v>
                </c:pt>
              </c:strCache>
            </c:strRef>
          </c:cat>
          <c:val>
            <c:numRef>
              <c:f>'consumo agua I Trime2020'!$E$73:$E$74</c:f>
              <c:numCache>
                <c:formatCode>0%</c:formatCode>
                <c:ptCount val="2"/>
                <c:pt idx="0">
                  <c:v>8.6508631035351544E-2</c:v>
                </c:pt>
                <c:pt idx="1">
                  <c:v>6.1695278969957079E-2</c:v>
                </c:pt>
              </c:numCache>
            </c:numRef>
          </c:val>
          <c:extLst>
            <c:ext xmlns:c16="http://schemas.microsoft.com/office/drawing/2014/chart" uri="{C3380CC4-5D6E-409C-BE32-E72D297353CC}">
              <c16:uniqueId val="{00000002-4354-445A-8880-63854B49E53D}"/>
            </c:ext>
          </c:extLst>
        </c:ser>
        <c:ser>
          <c:idx val="1"/>
          <c:order val="1"/>
          <c:tx>
            <c:strRef>
              <c:f>'consumo agua I Trime2020'!$F$71:$F$72</c:f>
              <c:strCache>
                <c:ptCount val="2"/>
                <c:pt idx="0">
                  <c:v>Casas de Santa Bárbara</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1.7098975070513816E-2"/>
                  <c:y val="2.7105978562990936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354-445A-8880-63854B49E53D}"/>
                </c:ext>
              </c:extLst>
            </c:dLbl>
            <c:dLbl>
              <c:idx val="1"/>
              <c:layout>
                <c:manualLayout>
                  <c:x val="1.8591259656904318E-3"/>
                  <c:y val="-1.53458656791234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354-445A-8880-63854B49E53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'consumo agua I Trime2020'!$D$73:$D$74</c:f>
              <c:strCache>
                <c:ptCount val="2"/>
                <c:pt idx="0">
                  <c:v>Valor Facturado </c:v>
                </c:pt>
                <c:pt idx="1">
                  <c:v>Consumo Metros cúbicos</c:v>
                </c:pt>
              </c:strCache>
            </c:strRef>
          </c:cat>
          <c:val>
            <c:numRef>
              <c:f>'consumo agua I Trime2020'!$F$73:$F$74</c:f>
              <c:numCache>
                <c:formatCode>0%</c:formatCode>
                <c:ptCount val="2"/>
                <c:pt idx="0">
                  <c:v>0.139949317643079</c:v>
                </c:pt>
                <c:pt idx="1">
                  <c:v>0.11444921316165951</c:v>
                </c:pt>
              </c:numCache>
            </c:numRef>
          </c:val>
          <c:extLst>
            <c:ext xmlns:c16="http://schemas.microsoft.com/office/drawing/2014/chart" uri="{C3380CC4-5D6E-409C-BE32-E72D297353CC}">
              <c16:uniqueId val="{00000005-4354-445A-8880-63854B49E53D}"/>
            </c:ext>
          </c:extLst>
        </c:ser>
        <c:dLbls>
          <c:showLegendKey val="0"/>
          <c:showVal val="0"/>
          <c:showCatName val="0"/>
          <c:showSerName val="0"/>
          <c:showPercent val="0"/>
          <c:showBubbleSize val="0"/>
        </c:dLbls>
        <c:gapWidth val="115"/>
        <c:overlap val="-20"/>
        <c:axId val="453447592"/>
        <c:axId val="453448576"/>
      </c:barChart>
      <c:catAx>
        <c:axId val="453447592"/>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453448576"/>
        <c:crosses val="autoZero"/>
        <c:auto val="1"/>
        <c:lblAlgn val="ctr"/>
        <c:lblOffset val="100"/>
        <c:noMultiLvlLbl val="0"/>
      </c:catAx>
      <c:valAx>
        <c:axId val="453448576"/>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45344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2"/>
                </a:solidFill>
                <a:latin typeface="Arial" panose="020B0604020202020204" pitchFamily="34" charset="0"/>
                <a:ea typeface="+mn-ea"/>
                <a:cs typeface="Arial" panose="020B0604020202020204" pitchFamily="34" charset="0"/>
              </a:defRPr>
            </a:pPr>
            <a:r>
              <a:rPr lang="en-US" sz="1100">
                <a:solidFill>
                  <a:schemeClr val="tx2">
                    <a:lumMod val="50000"/>
                  </a:schemeClr>
                </a:solidFill>
              </a:rPr>
              <a:t>Tendencia Cantidad Horas Extras</a:t>
            </a:r>
            <a:endParaRPr lang="es-CO" sz="1100">
              <a:solidFill>
                <a:schemeClr val="tx2">
                  <a:lumMod val="50000"/>
                </a:schemeClr>
              </a:solidFill>
            </a:endParaRPr>
          </a:p>
          <a:p>
            <a:pPr>
              <a:defRPr sz="1100"/>
            </a:pPr>
            <a:r>
              <a:rPr lang="en-US" sz="1100">
                <a:solidFill>
                  <a:schemeClr val="tx2">
                    <a:lumMod val="50000"/>
                  </a:schemeClr>
                </a:solidFill>
              </a:rPr>
              <a:t>Primer</a:t>
            </a:r>
            <a:r>
              <a:rPr lang="en-US" sz="1100" baseline="0">
                <a:solidFill>
                  <a:schemeClr val="tx2">
                    <a:lumMod val="50000"/>
                  </a:schemeClr>
                </a:solidFill>
              </a:rPr>
              <a:t> </a:t>
            </a:r>
            <a:r>
              <a:rPr lang="en-US" sz="1100">
                <a:solidFill>
                  <a:schemeClr val="tx2">
                    <a:lumMod val="50000"/>
                  </a:schemeClr>
                </a:solidFill>
              </a:rPr>
              <a:t>Trimestre de 2020 </a:t>
            </a:r>
            <a:endParaRPr lang="es-CO" sz="1100">
              <a:solidFill>
                <a:schemeClr val="tx2">
                  <a:lumMod val="50000"/>
                </a:schemeClr>
              </a:solidFill>
            </a:endParaRPr>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'tendencia '!$B$1</c:f>
              <c:strCache>
                <c:ptCount val="1"/>
                <c:pt idx="0">
                  <c:v>Cantidad Horas Extras </c:v>
                </c:pt>
              </c:strCache>
            </c:strRef>
          </c:tx>
          <c:spPr>
            <a:ln w="31750"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4.6216060080878106E-2"/>
                  <c:y val="-6.75105485232067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74-41C8-9DFB-B70E2C145BC6}"/>
                </c:ext>
              </c:extLst>
            </c:dLbl>
            <c:dLbl>
              <c:idx val="1"/>
              <c:layout>
                <c:manualLayout>
                  <c:x val="-3.4661954084162443E-2"/>
                  <c:y val="-9.0717465696534813E-2"/>
                </c:manualLayout>
              </c:layout>
              <c:showLegendKey val="0"/>
              <c:showVal val="1"/>
              <c:showCatName val="0"/>
              <c:showSerName val="0"/>
              <c:showPercent val="0"/>
              <c:showBubbleSize val="0"/>
              <c:extLst>
                <c:ext xmlns:c15="http://schemas.microsoft.com/office/drawing/2012/chart" uri="{CE6537A1-D6FC-4f65-9D91-7224C49458BB}">
                  <c15:layout>
                    <c:manualLayout>
                      <c:w val="8.9023776707287658E-2"/>
                      <c:h val="7.7405229409614931E-2"/>
                    </c:manualLayout>
                  </c15:layout>
                </c:ext>
                <c:ext xmlns:c16="http://schemas.microsoft.com/office/drawing/2014/chart" uri="{C3380CC4-5D6E-409C-BE32-E72D297353CC}">
                  <c16:uniqueId val="{00000002-FE74-41C8-9DFB-B70E2C145BC6}"/>
                </c:ext>
              </c:extLst>
            </c:dLbl>
            <c:dLbl>
              <c:idx val="2"/>
              <c:layout>
                <c:manualLayout>
                  <c:x val="-4.6216060080878103E-3"/>
                  <c:y val="-7.17299578059072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74-41C8-9DFB-B70E2C145BC6}"/>
                </c:ext>
              </c:extLst>
            </c:dLbl>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'tendencia '!$A$2:$A$4</c:f>
              <c:strCache>
                <c:ptCount val="3"/>
                <c:pt idx="0">
                  <c:v>Enero</c:v>
                </c:pt>
                <c:pt idx="1">
                  <c:v>Febrero</c:v>
                </c:pt>
                <c:pt idx="2">
                  <c:v>Marzo</c:v>
                </c:pt>
              </c:strCache>
            </c:strRef>
          </c:cat>
          <c:val>
            <c:numRef>
              <c:f>'tendencia '!$B$2:$B$4</c:f>
              <c:numCache>
                <c:formatCode>_-* #,##0.0_-;\-* #,##0.0_-;_-* "-"??_-;_-@_-</c:formatCode>
                <c:ptCount val="3"/>
                <c:pt idx="0">
                  <c:v>2306.3000000000006</c:v>
                </c:pt>
                <c:pt idx="1">
                  <c:v>2497.3800000000006</c:v>
                </c:pt>
                <c:pt idx="2">
                  <c:v>1976.0500000000002</c:v>
                </c:pt>
              </c:numCache>
            </c:numRef>
          </c:val>
          <c:smooth val="1"/>
          <c:extLst>
            <c:ext xmlns:c16="http://schemas.microsoft.com/office/drawing/2014/chart" uri="{C3380CC4-5D6E-409C-BE32-E72D297353CC}">
              <c16:uniqueId val="{00000000-FE74-41C8-9DFB-B70E2C145BC6}"/>
            </c:ext>
          </c:extLst>
        </c:ser>
        <c:dLbls>
          <c:showLegendKey val="0"/>
          <c:showVal val="0"/>
          <c:showCatName val="0"/>
          <c:showSerName val="0"/>
          <c:showPercent val="0"/>
          <c:showBubbleSize val="0"/>
        </c:dLbls>
        <c:smooth val="0"/>
        <c:axId val="1490705520"/>
        <c:axId val="1490700944"/>
      </c:lineChart>
      <c:catAx>
        <c:axId val="1490705520"/>
        <c:scaling>
          <c:orientation val="minMax"/>
        </c:scaling>
        <c:delete val="0"/>
        <c:axPos val="b"/>
        <c:numFmt formatCode="General" sourceLinked="1"/>
        <c:majorTickMark val="out"/>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490700944"/>
        <c:crosses val="autoZero"/>
        <c:auto val="1"/>
        <c:lblAlgn val="ctr"/>
        <c:lblOffset val="100"/>
        <c:tickMarkSkip val="1"/>
        <c:noMultiLvlLbl val="0"/>
      </c:catAx>
      <c:valAx>
        <c:axId val="1490700944"/>
        <c:scaling>
          <c:orientation val="minMax"/>
          <c:max val="3000"/>
          <c:min val="1500"/>
        </c:scaling>
        <c:delete val="0"/>
        <c:axPos val="l"/>
        <c:majorGridlines>
          <c:spPr>
            <a:ln w="9525" cap="flat" cmpd="sng" algn="ctr">
              <a:solidFill>
                <a:schemeClr val="tx2">
                  <a:lumMod val="15000"/>
                  <a:lumOff val="85000"/>
                </a:schemeClr>
              </a:solidFill>
              <a:round/>
            </a:ln>
            <a:effectLst/>
          </c:spPr>
        </c:majorGridlines>
        <c:numFmt formatCode="_-* #,##0.0_-;\-* #,##0.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490705520"/>
        <c:crosses val="autoZero"/>
        <c:crossBetween val="between"/>
        <c:majorUnit val="1000"/>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900">
          <a:latin typeface="Arial" panose="020B0604020202020204" pitchFamily="34" charset="0"/>
          <a:cs typeface="Arial" panose="020B0604020202020204" pitchFamily="34"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n-US" sz="1200">
                <a:solidFill>
                  <a:schemeClr val="tx2">
                    <a:lumMod val="50000"/>
                  </a:schemeClr>
                </a:solidFill>
                <a:latin typeface="Arial" panose="020B0604020202020204" pitchFamily="34" charset="0"/>
                <a:cs typeface="Arial" panose="020B0604020202020204" pitchFamily="34" charset="0"/>
              </a:rPr>
              <a:t>Contratos Vigentes por Dependencia</a:t>
            </a:r>
          </a:p>
        </c:rich>
      </c:tx>
      <c:layout>
        <c:manualLayout>
          <c:xMode val="edge"/>
          <c:yMode val="edge"/>
          <c:x val="0.19333342337353629"/>
          <c:y val="3.3003424240844063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5.7300780509657298E-2"/>
          <c:y val="0.13715049769722182"/>
          <c:w val="0.89342555153578773"/>
          <c:h val="0.73355568883127942"/>
        </c:manualLayout>
      </c:layout>
      <c:barChart>
        <c:barDir val="col"/>
        <c:grouping val="clustered"/>
        <c:varyColors val="0"/>
        <c:ser>
          <c:idx val="0"/>
          <c:order val="0"/>
          <c:tx>
            <c:strRef>
              <c:f>'resumen Contratos vigentes '!$B$62</c:f>
              <c:strCache>
                <c:ptCount val="1"/>
                <c:pt idx="0">
                  <c:v>Representatividad</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2"/>
              <c:layout>
                <c:manualLayout>
                  <c:x val="1.2759170653907467E-2"/>
                  <c:y val="-9.90099009900996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B4-40E5-8690-DB9E46391D0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Contratos vigentes '!$A$63:$A$81</c:f>
              <c:strCache>
                <c:ptCount val="19"/>
                <c:pt idx="0">
                  <c:v>SJ</c:v>
                </c:pt>
                <c:pt idx="1">
                  <c:v>SART</c:v>
                </c:pt>
                <c:pt idx="2">
                  <c:v>DGPPN</c:v>
                </c:pt>
                <c:pt idx="3">
                  <c:v>SIS</c:v>
                </c:pt>
                <c:pt idx="4">
                  <c:v>DM</c:v>
                </c:pt>
                <c:pt idx="5">
                  <c:v>OBP</c:v>
                </c:pt>
                <c:pt idx="6">
                  <c:v>DGPE</c:v>
                </c:pt>
                <c:pt idx="7">
                  <c:v>SIIF</c:v>
                </c:pt>
                <c:pt idx="8">
                  <c:v>OCDI</c:v>
                </c:pt>
                <c:pt idx="9">
                  <c:v>DGRESS</c:v>
                </c:pt>
                <c:pt idx="10">
                  <c:v>OAJ</c:v>
                </c:pt>
                <c:pt idx="11">
                  <c:v>SR</c:v>
                </c:pt>
                <c:pt idx="12">
                  <c:v>DGCPTN</c:v>
                </c:pt>
                <c:pt idx="13">
                  <c:v>SG</c:v>
                </c:pt>
                <c:pt idx="14">
                  <c:v>DT</c:v>
                </c:pt>
                <c:pt idx="15">
                  <c:v>SS</c:v>
                </c:pt>
                <c:pt idx="16">
                  <c:v>OCI</c:v>
                </c:pt>
                <c:pt idx="17">
                  <c:v>SAPP</c:v>
                </c:pt>
                <c:pt idx="18">
                  <c:v>SO</c:v>
                </c:pt>
              </c:strCache>
            </c:strRef>
          </c:cat>
          <c:val>
            <c:numRef>
              <c:f>'resumen Contratos vigentes '!$B$63:$B$81</c:f>
              <c:numCache>
                <c:formatCode>0%</c:formatCode>
                <c:ptCount val="19"/>
                <c:pt idx="0">
                  <c:v>0.2988505747126437</c:v>
                </c:pt>
                <c:pt idx="1">
                  <c:v>0.12643678160919541</c:v>
                </c:pt>
                <c:pt idx="2">
                  <c:v>0.12643678160919541</c:v>
                </c:pt>
                <c:pt idx="3">
                  <c:v>9.1954022988505746E-2</c:v>
                </c:pt>
                <c:pt idx="4">
                  <c:v>8.0459770114942528E-2</c:v>
                </c:pt>
                <c:pt idx="5">
                  <c:v>5.7471264367816091E-2</c:v>
                </c:pt>
                <c:pt idx="6">
                  <c:v>2.2988505747126436E-2</c:v>
                </c:pt>
                <c:pt idx="7">
                  <c:v>2.2988505747126436E-2</c:v>
                </c:pt>
                <c:pt idx="8">
                  <c:v>2.2988505747126436E-2</c:v>
                </c:pt>
                <c:pt idx="9">
                  <c:v>2.2988505747126436E-2</c:v>
                </c:pt>
                <c:pt idx="10">
                  <c:v>2.2988505747126436E-2</c:v>
                </c:pt>
                <c:pt idx="11">
                  <c:v>2.2988505747126436E-2</c:v>
                </c:pt>
                <c:pt idx="12">
                  <c:v>1.1494252873563218E-2</c:v>
                </c:pt>
                <c:pt idx="13">
                  <c:v>1.1494252873563218E-2</c:v>
                </c:pt>
                <c:pt idx="14">
                  <c:v>1.1494252873563218E-2</c:v>
                </c:pt>
                <c:pt idx="15">
                  <c:v>1.1494252873563218E-2</c:v>
                </c:pt>
                <c:pt idx="16">
                  <c:v>1.1494252873563218E-2</c:v>
                </c:pt>
                <c:pt idx="17">
                  <c:v>1.1494252873563218E-2</c:v>
                </c:pt>
                <c:pt idx="18">
                  <c:v>1.1494252873563218E-2</c:v>
                </c:pt>
              </c:numCache>
            </c:numRef>
          </c:val>
          <c:extLst>
            <c:ext xmlns:c16="http://schemas.microsoft.com/office/drawing/2014/chart" uri="{C3380CC4-5D6E-409C-BE32-E72D297353CC}">
              <c16:uniqueId val="{00000000-DCB9-48D7-A8D9-16BE79383355}"/>
            </c:ext>
          </c:extLst>
        </c:ser>
        <c:dLbls>
          <c:showLegendKey val="0"/>
          <c:showVal val="0"/>
          <c:showCatName val="0"/>
          <c:showSerName val="0"/>
          <c:showPercent val="0"/>
          <c:showBubbleSize val="0"/>
        </c:dLbls>
        <c:gapWidth val="100"/>
        <c:overlap val="-24"/>
        <c:axId val="1268906559"/>
        <c:axId val="1268911551"/>
      </c:barChart>
      <c:catAx>
        <c:axId val="1268906559"/>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1268911551"/>
        <c:crosses val="autoZero"/>
        <c:auto val="1"/>
        <c:lblAlgn val="ctr"/>
        <c:lblOffset val="100"/>
        <c:noMultiLvlLbl val="0"/>
      </c:catAx>
      <c:valAx>
        <c:axId val="1268911551"/>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268906559"/>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200">
                <a:solidFill>
                  <a:schemeClr val="tx2">
                    <a:lumMod val="50000"/>
                  </a:schemeClr>
                </a:solidFill>
                <a:latin typeface="Arial" panose="020B0604020202020204" pitchFamily="34" charset="0"/>
                <a:cs typeface="Arial" panose="020B0604020202020204" pitchFamily="34" charset="0"/>
              </a:rPr>
              <a:t>Comparación Viaticos I Trimestre 2020 -2019</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col"/>
        <c:grouping val="clustered"/>
        <c:varyColors val="0"/>
        <c:ser>
          <c:idx val="0"/>
          <c:order val="0"/>
          <c:tx>
            <c:strRef>
              <c:f>'resumen I Trime 2020'!$A$16</c:f>
              <c:strCache>
                <c:ptCount val="1"/>
                <c:pt idx="0">
                  <c:v>Viáticos 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2020'!$B$15:$D$15</c:f>
              <c:strCache>
                <c:ptCount val="3"/>
                <c:pt idx="0">
                  <c:v>Ene</c:v>
                </c:pt>
                <c:pt idx="1">
                  <c:v>Feb</c:v>
                </c:pt>
                <c:pt idx="2">
                  <c:v>Mar</c:v>
                </c:pt>
              </c:strCache>
            </c:strRef>
          </c:cat>
          <c:val>
            <c:numRef>
              <c:f>'resumen I Trime 2020'!$B$16:$D$16</c:f>
              <c:numCache>
                <c:formatCode>#,##0</c:formatCode>
                <c:ptCount val="3"/>
                <c:pt idx="0">
                  <c:v>38022202</c:v>
                </c:pt>
                <c:pt idx="1">
                  <c:v>42197048.850000001</c:v>
                </c:pt>
                <c:pt idx="2">
                  <c:v>20803973.899999999</c:v>
                </c:pt>
              </c:numCache>
            </c:numRef>
          </c:val>
          <c:extLst>
            <c:ext xmlns:c16="http://schemas.microsoft.com/office/drawing/2014/chart" uri="{C3380CC4-5D6E-409C-BE32-E72D297353CC}">
              <c16:uniqueId val="{00000000-E539-4629-9B82-738B409679F7}"/>
            </c:ext>
          </c:extLst>
        </c:ser>
        <c:ser>
          <c:idx val="1"/>
          <c:order val="1"/>
          <c:tx>
            <c:strRef>
              <c:f>'resumen I Trime 2020'!$A$17</c:f>
              <c:strCache>
                <c:ptCount val="1"/>
                <c:pt idx="0">
                  <c:v>Viáticos 2019</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2020'!$B$15:$D$15</c:f>
              <c:strCache>
                <c:ptCount val="3"/>
                <c:pt idx="0">
                  <c:v>Ene</c:v>
                </c:pt>
                <c:pt idx="1">
                  <c:v>Feb</c:v>
                </c:pt>
                <c:pt idx="2">
                  <c:v>Mar</c:v>
                </c:pt>
              </c:strCache>
            </c:strRef>
          </c:cat>
          <c:val>
            <c:numRef>
              <c:f>'resumen I Trime 2020'!$B$17:$D$17</c:f>
              <c:numCache>
                <c:formatCode>#,##0</c:formatCode>
                <c:ptCount val="3"/>
                <c:pt idx="0">
                  <c:v>40706384.5</c:v>
                </c:pt>
                <c:pt idx="1">
                  <c:v>35154101.5</c:v>
                </c:pt>
                <c:pt idx="2">
                  <c:v>55322306</c:v>
                </c:pt>
              </c:numCache>
            </c:numRef>
          </c:val>
          <c:extLst>
            <c:ext xmlns:c16="http://schemas.microsoft.com/office/drawing/2014/chart" uri="{C3380CC4-5D6E-409C-BE32-E72D297353CC}">
              <c16:uniqueId val="{00000001-E539-4629-9B82-738B409679F7}"/>
            </c:ext>
          </c:extLst>
        </c:ser>
        <c:ser>
          <c:idx val="2"/>
          <c:order val="2"/>
          <c:tx>
            <c:strRef>
              <c:f>'resumen I Trime 2020'!$A$18</c:f>
              <c:strCache>
                <c:ptCount val="1"/>
                <c:pt idx="0">
                  <c:v>Variación  Relativa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2020'!$B$15:$D$15</c:f>
              <c:strCache>
                <c:ptCount val="3"/>
                <c:pt idx="0">
                  <c:v>Ene</c:v>
                </c:pt>
                <c:pt idx="1">
                  <c:v>Feb</c:v>
                </c:pt>
                <c:pt idx="2">
                  <c:v>Mar</c:v>
                </c:pt>
              </c:strCache>
            </c:strRef>
          </c:cat>
          <c:val>
            <c:numRef>
              <c:f>'resumen I Trime 2020'!$B$18:$D$18</c:f>
              <c:numCache>
                <c:formatCode>0%</c:formatCode>
                <c:ptCount val="3"/>
                <c:pt idx="0">
                  <c:v>-6.5940086130714948E-2</c:v>
                </c:pt>
                <c:pt idx="1">
                  <c:v>0.20034496828200832</c:v>
                </c:pt>
                <c:pt idx="2">
                  <c:v>-0.62394962531026821</c:v>
                </c:pt>
              </c:numCache>
            </c:numRef>
          </c:val>
          <c:extLst>
            <c:ext xmlns:c16="http://schemas.microsoft.com/office/drawing/2014/chart" uri="{C3380CC4-5D6E-409C-BE32-E72D297353CC}">
              <c16:uniqueId val="{00000002-E539-4629-9B82-738B409679F7}"/>
            </c:ext>
          </c:extLst>
        </c:ser>
        <c:dLbls>
          <c:showLegendKey val="0"/>
          <c:showVal val="0"/>
          <c:showCatName val="0"/>
          <c:showSerName val="0"/>
          <c:showPercent val="0"/>
          <c:showBubbleSize val="0"/>
        </c:dLbls>
        <c:gapWidth val="100"/>
        <c:overlap val="-24"/>
        <c:axId val="656777471"/>
        <c:axId val="656779135"/>
      </c:barChart>
      <c:catAx>
        <c:axId val="656777471"/>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79135"/>
        <c:crosses val="autoZero"/>
        <c:auto val="1"/>
        <c:lblAlgn val="ctr"/>
        <c:lblOffset val="100"/>
        <c:noMultiLvlLbl val="0"/>
      </c:catAx>
      <c:valAx>
        <c:axId val="656779135"/>
        <c:scaling>
          <c:orientation val="minMax"/>
          <c:min val="100000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6777471"/>
        <c:crosses val="autoZero"/>
        <c:crossBetween val="between"/>
        <c:majorUnit val="10000000"/>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Entry>
      <c:legendEntry>
        <c:idx val="1"/>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Entry>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CO" sz="1200">
                <a:solidFill>
                  <a:schemeClr val="tx2">
                    <a:lumMod val="50000"/>
                  </a:schemeClr>
                </a:solidFill>
                <a:latin typeface="Arial" panose="020B0604020202020204" pitchFamily="34" charset="0"/>
                <a:cs typeface="Arial" panose="020B0604020202020204" pitchFamily="34" charset="0"/>
              </a:rPr>
              <a:t>Comparación Pasajes Aéreos I Trimestre 2020 -2019</a:t>
            </a:r>
          </a:p>
        </c:rich>
      </c:tx>
      <c:layout>
        <c:manualLayout>
          <c:xMode val="edge"/>
          <c:yMode val="edge"/>
          <c:x val="8.0407015928854408E-2"/>
          <c:y val="2.5806451612903226E-2"/>
        </c:manualLayout>
      </c:layout>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'resumen I Trime 2020'!$A$20</c:f>
              <c:strCache>
                <c:ptCount val="1"/>
                <c:pt idx="0">
                  <c:v>Pasajes 2020</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2020'!$B$19:$D$19</c:f>
              <c:strCache>
                <c:ptCount val="3"/>
                <c:pt idx="0">
                  <c:v>Ene</c:v>
                </c:pt>
                <c:pt idx="1">
                  <c:v>Feb</c:v>
                </c:pt>
                <c:pt idx="2">
                  <c:v>Mar</c:v>
                </c:pt>
              </c:strCache>
            </c:strRef>
          </c:cat>
          <c:val>
            <c:numRef>
              <c:f>'resumen I Trime 2020'!$B$20:$D$20</c:f>
              <c:numCache>
                <c:formatCode>#,##0</c:formatCode>
                <c:ptCount val="3"/>
                <c:pt idx="0">
                  <c:v>43972775</c:v>
                </c:pt>
                <c:pt idx="1">
                  <c:v>54312052</c:v>
                </c:pt>
                <c:pt idx="2">
                  <c:v>39729959</c:v>
                </c:pt>
              </c:numCache>
            </c:numRef>
          </c:val>
          <c:extLst>
            <c:ext xmlns:c16="http://schemas.microsoft.com/office/drawing/2014/chart" uri="{C3380CC4-5D6E-409C-BE32-E72D297353CC}">
              <c16:uniqueId val="{00000000-B814-4D40-A2E9-71DF883983A5}"/>
            </c:ext>
          </c:extLst>
        </c:ser>
        <c:ser>
          <c:idx val="1"/>
          <c:order val="1"/>
          <c:tx>
            <c:strRef>
              <c:f>'resumen I Trime 2020'!$A$21</c:f>
              <c:strCache>
                <c:ptCount val="1"/>
                <c:pt idx="0">
                  <c:v>Pasajes 2019</c:v>
                </c:pt>
              </c:strCache>
            </c:strRef>
          </c:tx>
          <c:spPr>
            <a:solidFill>
              <a:schemeClr val="accent2"/>
            </a:soli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2020'!$B$19:$D$19</c:f>
              <c:strCache>
                <c:ptCount val="3"/>
                <c:pt idx="0">
                  <c:v>Ene</c:v>
                </c:pt>
                <c:pt idx="1">
                  <c:v>Feb</c:v>
                </c:pt>
                <c:pt idx="2">
                  <c:v>Mar</c:v>
                </c:pt>
              </c:strCache>
            </c:strRef>
          </c:cat>
          <c:val>
            <c:numRef>
              <c:f>'resumen I Trime 2020'!$B$21:$D$21</c:f>
              <c:numCache>
                <c:formatCode>#,##0</c:formatCode>
                <c:ptCount val="3"/>
                <c:pt idx="0">
                  <c:v>43540672</c:v>
                </c:pt>
                <c:pt idx="1">
                  <c:v>49421224</c:v>
                </c:pt>
                <c:pt idx="2">
                  <c:v>70764625</c:v>
                </c:pt>
              </c:numCache>
            </c:numRef>
          </c:val>
          <c:extLst>
            <c:ext xmlns:c16="http://schemas.microsoft.com/office/drawing/2014/chart" uri="{C3380CC4-5D6E-409C-BE32-E72D297353CC}">
              <c16:uniqueId val="{00000002-B814-4D40-A2E9-71DF883983A5}"/>
            </c:ext>
          </c:extLst>
        </c:ser>
        <c:ser>
          <c:idx val="2"/>
          <c:order val="2"/>
          <c:tx>
            <c:strRef>
              <c:f>'resumen I Trime 2020'!$A$22</c:f>
              <c:strCache>
                <c:ptCount val="1"/>
                <c:pt idx="0">
                  <c:v>Variación  Relativa</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cat>
            <c:strRef>
              <c:f>'resumen I Trime 2020'!$B$19:$D$19</c:f>
              <c:strCache>
                <c:ptCount val="3"/>
                <c:pt idx="0">
                  <c:v>Ene</c:v>
                </c:pt>
                <c:pt idx="1">
                  <c:v>Feb</c:v>
                </c:pt>
                <c:pt idx="2">
                  <c:v>Mar</c:v>
                </c:pt>
              </c:strCache>
            </c:strRef>
          </c:cat>
          <c:val>
            <c:numRef>
              <c:f>'resumen I Trime 2020'!$B$22:$D$22</c:f>
              <c:numCache>
                <c:formatCode>0%</c:formatCode>
                <c:ptCount val="3"/>
                <c:pt idx="0">
                  <c:v>9.9241233575816188E-3</c:v>
                </c:pt>
                <c:pt idx="1">
                  <c:v>9.8962097741650434E-2</c:v>
                </c:pt>
                <c:pt idx="2" formatCode="0.0%">
                  <c:v>-0.43856186618667165</c:v>
                </c:pt>
              </c:numCache>
            </c:numRef>
          </c:val>
          <c:extLst>
            <c:ext xmlns:c16="http://schemas.microsoft.com/office/drawing/2014/chart" uri="{C3380CC4-5D6E-409C-BE32-E72D297353CC}">
              <c16:uniqueId val="{00000003-B814-4D40-A2E9-71DF883983A5}"/>
            </c:ext>
          </c:extLst>
        </c:ser>
        <c:dLbls>
          <c:showLegendKey val="0"/>
          <c:showVal val="0"/>
          <c:showCatName val="0"/>
          <c:showSerName val="0"/>
          <c:showPercent val="0"/>
          <c:showBubbleSize val="0"/>
        </c:dLbls>
        <c:gapWidth val="75"/>
        <c:overlap val="-25"/>
        <c:axId val="522387583"/>
        <c:axId val="522398815"/>
      </c:barChart>
      <c:catAx>
        <c:axId val="522387583"/>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522398815"/>
        <c:crosses val="autoZero"/>
        <c:auto val="1"/>
        <c:lblAlgn val="ctr"/>
        <c:lblOffset val="100"/>
        <c:noMultiLvlLbl val="0"/>
      </c:catAx>
      <c:valAx>
        <c:axId val="522398815"/>
        <c:scaling>
          <c:orientation val="minMax"/>
          <c:min val="1000000"/>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522387583"/>
        <c:crosses val="autoZero"/>
        <c:crossBetween val="between"/>
        <c:majorUnit val="20000000"/>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050">
                <a:solidFill>
                  <a:schemeClr val="tx2">
                    <a:lumMod val="50000"/>
                  </a:schemeClr>
                </a:solidFill>
                <a:latin typeface="Arial" panose="020B0604020202020204" pitchFamily="34" charset="0"/>
                <a:cs typeface="Arial" panose="020B0604020202020204" pitchFamily="34" charset="0"/>
              </a:rPr>
              <a:t>Total Gasto: Viáticos y Pasajes Áereros Vigencia 2020</a:t>
            </a:r>
          </a:p>
          <a:p>
            <a:pPr>
              <a:defRPr sz="1050">
                <a:latin typeface="Arial" panose="020B0604020202020204" pitchFamily="34" charset="0"/>
                <a:cs typeface="Arial" panose="020B0604020202020204" pitchFamily="34" charset="0"/>
              </a:defRPr>
            </a:pPr>
            <a:r>
              <a:rPr lang="es-CO" sz="1050">
                <a:solidFill>
                  <a:schemeClr val="tx2">
                    <a:lumMod val="50000"/>
                  </a:schemeClr>
                </a:solidFill>
                <a:latin typeface="Arial" panose="020B0604020202020204" pitchFamily="34" charset="0"/>
                <a:cs typeface="Arial" panose="020B0604020202020204" pitchFamily="34" charset="0"/>
              </a:rPr>
              <a:t>Valores en Miles Pesos  </a:t>
            </a:r>
          </a:p>
          <a:p>
            <a:pPr>
              <a:defRPr sz="1050">
                <a:latin typeface="Arial" panose="020B0604020202020204" pitchFamily="34" charset="0"/>
                <a:cs typeface="Arial" panose="020B0604020202020204" pitchFamily="34" charset="0"/>
              </a:defRPr>
            </a:pPr>
            <a:endParaRPr lang="es-CO" sz="1050">
              <a:solidFill>
                <a:schemeClr val="tx2">
                  <a:lumMod val="50000"/>
                </a:schemeClr>
              </a:solidFill>
              <a:latin typeface="Arial" panose="020B0604020202020204" pitchFamily="34" charset="0"/>
              <a:cs typeface="Arial" panose="020B0604020202020204" pitchFamily="34" charset="0"/>
            </a:endParaRPr>
          </a:p>
        </c:rich>
      </c:tx>
      <c:layout>
        <c:manualLayout>
          <c:xMode val="edge"/>
          <c:yMode val="edge"/>
          <c:x val="0.18717709305944599"/>
          <c:y val="1.224994762978571E-2"/>
        </c:manualLayout>
      </c:layout>
      <c:overlay val="0"/>
      <c:spPr>
        <a:noFill/>
        <a:ln>
          <a:noFill/>
        </a:ln>
        <a:effectLst/>
      </c:spPr>
      <c:txPr>
        <a:bodyPr rot="0" spcFirstLastPara="1" vertOverflow="ellipsis" vert="horz" wrap="square" anchor="ctr" anchorCtr="1"/>
        <a:lstStyle/>
        <a:p>
          <a:pPr>
            <a:defRPr sz="105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9276953125957294"/>
          <c:y val="0.30733629450164879"/>
          <c:w val="0.78440652434785518"/>
          <c:h val="0.43240359378154652"/>
        </c:manualLayout>
      </c:layout>
      <c:lineChart>
        <c:grouping val="standard"/>
        <c:varyColors val="0"/>
        <c:ser>
          <c:idx val="0"/>
          <c:order val="0"/>
          <c:tx>
            <c:strRef>
              <c:f>'resumen I Trime 2020'!$A$38</c:f>
              <c:strCache>
                <c:ptCount val="1"/>
                <c:pt idx="0">
                  <c:v>Viáticos 2019</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cat>
            <c:strRef>
              <c:f>'resumen I Trime 2020'!$B$37:$D$37</c:f>
              <c:strCache>
                <c:ptCount val="3"/>
                <c:pt idx="0">
                  <c:v>Enero</c:v>
                </c:pt>
                <c:pt idx="1">
                  <c:v>Febrero</c:v>
                </c:pt>
                <c:pt idx="2">
                  <c:v>Marzo</c:v>
                </c:pt>
              </c:strCache>
            </c:strRef>
          </c:cat>
          <c:val>
            <c:numRef>
              <c:f>'resumen I Trime 2020'!$B$38:$D$38</c:f>
              <c:numCache>
                <c:formatCode>\ #,###,</c:formatCode>
                <c:ptCount val="3"/>
                <c:pt idx="0">
                  <c:v>38022202</c:v>
                </c:pt>
                <c:pt idx="1">
                  <c:v>42197048.850000001</c:v>
                </c:pt>
                <c:pt idx="2">
                  <c:v>20803973.899999999</c:v>
                </c:pt>
              </c:numCache>
            </c:numRef>
          </c:val>
          <c:smooth val="0"/>
          <c:extLst>
            <c:ext xmlns:c16="http://schemas.microsoft.com/office/drawing/2014/chart" uri="{C3380CC4-5D6E-409C-BE32-E72D297353CC}">
              <c16:uniqueId val="{00000000-C69A-482F-95C3-5ED841828347}"/>
            </c:ext>
          </c:extLst>
        </c:ser>
        <c:ser>
          <c:idx val="1"/>
          <c:order val="1"/>
          <c:tx>
            <c:strRef>
              <c:f>'resumen I Trime 2020'!$A$39</c:f>
              <c:strCache>
                <c:ptCount val="1"/>
                <c:pt idx="0">
                  <c:v>Pasajes 2019</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cat>
            <c:strRef>
              <c:f>'resumen I Trime 2020'!$B$37:$D$37</c:f>
              <c:strCache>
                <c:ptCount val="3"/>
                <c:pt idx="0">
                  <c:v>Enero</c:v>
                </c:pt>
                <c:pt idx="1">
                  <c:v>Febrero</c:v>
                </c:pt>
                <c:pt idx="2">
                  <c:v>Marzo</c:v>
                </c:pt>
              </c:strCache>
            </c:strRef>
          </c:cat>
          <c:val>
            <c:numRef>
              <c:f>'resumen I Trime 2020'!$B$39:$D$39</c:f>
              <c:numCache>
                <c:formatCode>\ #,###,</c:formatCode>
                <c:ptCount val="3"/>
                <c:pt idx="0">
                  <c:v>43972775</c:v>
                </c:pt>
                <c:pt idx="1">
                  <c:v>54312052</c:v>
                </c:pt>
                <c:pt idx="2">
                  <c:v>39729959</c:v>
                </c:pt>
              </c:numCache>
            </c:numRef>
          </c:val>
          <c:smooth val="0"/>
          <c:extLst>
            <c:ext xmlns:c16="http://schemas.microsoft.com/office/drawing/2014/chart" uri="{C3380CC4-5D6E-409C-BE32-E72D297353CC}">
              <c16:uniqueId val="{00000001-C69A-482F-95C3-5ED841828347}"/>
            </c:ext>
          </c:extLst>
        </c:ser>
        <c:dLbls>
          <c:showLegendKey val="0"/>
          <c:showVal val="0"/>
          <c:showCatName val="0"/>
          <c:showSerName val="0"/>
          <c:showPercent val="0"/>
          <c:showBubbleSize val="0"/>
        </c:dLbls>
        <c:smooth val="0"/>
        <c:axId val="181406000"/>
        <c:axId val="181404336"/>
      </c:lineChart>
      <c:catAx>
        <c:axId val="18140600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81404336"/>
        <c:crosses val="autoZero"/>
        <c:auto val="1"/>
        <c:lblAlgn val="ctr"/>
        <c:lblOffset val="100"/>
        <c:noMultiLvlLbl val="0"/>
      </c:catAx>
      <c:valAx>
        <c:axId val="181404336"/>
        <c:scaling>
          <c:orientation val="minMax"/>
          <c:min val="2"/>
        </c:scaling>
        <c:delete val="1"/>
        <c:axPos val="l"/>
        <c:majorGridlines>
          <c:spPr>
            <a:ln w="9525" cap="flat" cmpd="sng" algn="ctr">
              <a:solidFill>
                <a:schemeClr val="tx1">
                  <a:lumMod val="15000"/>
                  <a:lumOff val="85000"/>
                </a:schemeClr>
              </a:solidFill>
              <a:round/>
            </a:ln>
            <a:effectLst/>
          </c:spPr>
        </c:majorGridlines>
        <c:numFmt formatCode="\ #,###," sourceLinked="1"/>
        <c:majorTickMark val="none"/>
        <c:minorTickMark val="none"/>
        <c:tickLblPos val="nextTo"/>
        <c:crossAx val="181406000"/>
        <c:crosses val="autoZero"/>
        <c:crossBetween val="between"/>
        <c:majorUnit val="20000000"/>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dTable>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00">
                <a:solidFill>
                  <a:schemeClr val="tx2">
                    <a:lumMod val="50000"/>
                  </a:schemeClr>
                </a:solidFill>
              </a:rPr>
              <a:t>Variación de Pasajes Aéreos </a:t>
            </a:r>
          </a:p>
          <a:p>
            <a:pPr>
              <a:defRPr sz="1000">
                <a:solidFill>
                  <a:schemeClr val="tx2">
                    <a:lumMod val="50000"/>
                  </a:schemeClr>
                </a:solidFill>
              </a:defRPr>
            </a:pPr>
            <a:r>
              <a:rPr lang="es-CO" sz="1000">
                <a:solidFill>
                  <a:schemeClr val="tx2">
                    <a:lumMod val="50000"/>
                  </a:schemeClr>
                </a:solidFill>
              </a:rPr>
              <a:t>I Trimestre 2020- 2019</a:t>
            </a:r>
          </a:p>
        </c:rich>
      </c:tx>
      <c:layout>
        <c:manualLayout>
          <c:xMode val="edge"/>
          <c:yMode val="edge"/>
          <c:x val="0.18212274313168481"/>
          <c:y val="2.7491408934707903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5.4828443474268677E-2"/>
          <c:y val="0.28187134502923977"/>
          <c:w val="0.90059198045788813"/>
          <c:h val="0.43762367423370324"/>
        </c:manualLayout>
      </c:layout>
      <c:lineChart>
        <c:grouping val="standard"/>
        <c:varyColors val="0"/>
        <c:ser>
          <c:idx val="0"/>
          <c:order val="0"/>
          <c:tx>
            <c:strRef>
              <c:f>'resumen I Trime 2020'!$B$114</c:f>
              <c:strCache>
                <c:ptCount val="1"/>
                <c:pt idx="0">
                  <c:v>Valor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0.17316017316017318"/>
                  <c:y val="-5.45808966861599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DAD-4AD7-9038-66480DF94A26}"/>
                </c:ext>
              </c:extLst>
            </c:dLbl>
            <c:dLbl>
              <c:idx val="1"/>
              <c:layout>
                <c:manualLayout>
                  <c:x val="-6.0606060606060684E-2"/>
                  <c:y val="-5.06822612085769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DAD-4AD7-9038-66480DF94A26}"/>
                </c:ext>
              </c:extLst>
            </c:dLbl>
            <c:dLbl>
              <c:idx val="2"/>
              <c:layout>
                <c:manualLayout>
                  <c:x val="-0.24628188803132281"/>
                  <c:y val="3.89863547758284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DAD-4AD7-9038-66480DF94A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 2020'!$A$115:$A$117</c:f>
              <c:strCache>
                <c:ptCount val="3"/>
                <c:pt idx="0">
                  <c:v>Ene</c:v>
                </c:pt>
                <c:pt idx="1">
                  <c:v>Feb</c:v>
                </c:pt>
                <c:pt idx="2">
                  <c:v>Mar</c:v>
                </c:pt>
              </c:strCache>
            </c:strRef>
          </c:cat>
          <c:val>
            <c:numRef>
              <c:f>'resumen I Trime 2020'!$B$115:$B$117</c:f>
              <c:numCache>
                <c:formatCode>0%</c:formatCode>
                <c:ptCount val="3"/>
                <c:pt idx="0">
                  <c:v>9.9241233575816188E-3</c:v>
                </c:pt>
                <c:pt idx="1">
                  <c:v>9.8962097741650434E-2</c:v>
                </c:pt>
                <c:pt idx="2">
                  <c:v>-0.43856186618667165</c:v>
                </c:pt>
              </c:numCache>
            </c:numRef>
          </c:val>
          <c:smooth val="0"/>
          <c:extLst>
            <c:ext xmlns:c16="http://schemas.microsoft.com/office/drawing/2014/chart" uri="{C3380CC4-5D6E-409C-BE32-E72D297353CC}">
              <c16:uniqueId val="{00000000-EDD4-4D24-A10A-CF70AF4AFB23}"/>
            </c:ext>
          </c:extLst>
        </c:ser>
        <c:ser>
          <c:idx val="1"/>
          <c:order val="1"/>
          <c:tx>
            <c:strRef>
              <c:f>'resumen I Trime 2020'!$C$114</c:f>
              <c:strCache>
                <c:ptCount val="1"/>
                <c:pt idx="0">
                  <c:v>Cantidad (#)</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0.10822510822510822"/>
                  <c:y val="-6.62768031189084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DAD-4AD7-9038-66480DF94A26}"/>
                </c:ext>
              </c:extLst>
            </c:dLbl>
            <c:dLbl>
              <c:idx val="1"/>
              <c:layout>
                <c:manualLayout>
                  <c:x val="-7.7922077922078004E-2"/>
                  <c:y val="9.74658869395711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DAD-4AD7-9038-66480DF94A26}"/>
                </c:ext>
              </c:extLst>
            </c:dLbl>
            <c:dLbl>
              <c:idx val="2"/>
              <c:layout>
                <c:manualLayout>
                  <c:x val="3.5489375709224467E-2"/>
                  <c:y val="2.33918128654970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DAD-4AD7-9038-66480DF94A26}"/>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 2020'!$A$115:$A$117</c:f>
              <c:strCache>
                <c:ptCount val="3"/>
                <c:pt idx="0">
                  <c:v>Ene</c:v>
                </c:pt>
                <c:pt idx="1">
                  <c:v>Feb</c:v>
                </c:pt>
                <c:pt idx="2">
                  <c:v>Mar</c:v>
                </c:pt>
              </c:strCache>
            </c:strRef>
          </c:cat>
          <c:val>
            <c:numRef>
              <c:f>'resumen I Trime 2020'!$C$115:$C$117</c:f>
              <c:numCache>
                <c:formatCode>0%</c:formatCode>
                <c:ptCount val="3"/>
                <c:pt idx="0">
                  <c:v>0.24390243902439024</c:v>
                </c:pt>
                <c:pt idx="1">
                  <c:v>-1.1764705882352941E-2</c:v>
                </c:pt>
                <c:pt idx="2">
                  <c:v>-0.40229885057471265</c:v>
                </c:pt>
              </c:numCache>
            </c:numRef>
          </c:val>
          <c:smooth val="0"/>
          <c:extLst>
            <c:ext xmlns:c16="http://schemas.microsoft.com/office/drawing/2014/chart" uri="{C3380CC4-5D6E-409C-BE32-E72D297353CC}">
              <c16:uniqueId val="{00000001-EDD4-4D24-A10A-CF70AF4AFB23}"/>
            </c:ext>
          </c:extLst>
        </c:ser>
        <c:dLbls>
          <c:showLegendKey val="0"/>
          <c:showVal val="0"/>
          <c:showCatName val="0"/>
          <c:showSerName val="0"/>
          <c:showPercent val="0"/>
          <c:showBubbleSize val="0"/>
        </c:dLbls>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6752095"/>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Variación de Viáticos </a:t>
            </a:r>
          </a:p>
          <a:p>
            <a:pPr>
              <a:defRPr sz="1000">
                <a:solidFill>
                  <a:schemeClr val="tx2">
                    <a:lumMod val="50000"/>
                  </a:schemeClr>
                </a:solidFill>
                <a:latin typeface="Arial" panose="020B0604020202020204" pitchFamily="34" charset="0"/>
                <a:cs typeface="Arial" panose="020B0604020202020204" pitchFamily="34" charset="0"/>
              </a:defRPr>
            </a:pPr>
            <a:r>
              <a:rPr lang="es-CO" sz="1000">
                <a:solidFill>
                  <a:schemeClr val="tx2">
                    <a:lumMod val="50000"/>
                  </a:schemeClr>
                </a:solidFill>
                <a:latin typeface="Arial" panose="020B0604020202020204" pitchFamily="34" charset="0"/>
                <a:cs typeface="Arial" panose="020B0604020202020204" pitchFamily="34" charset="0"/>
              </a:rPr>
              <a:t>I Trimestre 2020- 2019</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4.7976344729060774E-2"/>
          <c:y val="0.29345132743362828"/>
          <c:w val="0.90531446227449419"/>
          <c:h val="0.573313203106249"/>
        </c:manualLayout>
      </c:layout>
      <c:lineChart>
        <c:grouping val="standard"/>
        <c:varyColors val="0"/>
        <c:ser>
          <c:idx val="0"/>
          <c:order val="0"/>
          <c:tx>
            <c:strRef>
              <c:f>'resumen I Trime 2020'!$B$109</c:f>
              <c:strCache>
                <c:ptCount val="1"/>
                <c:pt idx="0">
                  <c:v>Valor ($)</c:v>
                </c:pt>
              </c:strCache>
            </c:strRef>
          </c:tx>
          <c:spPr>
            <a:ln w="34925" cap="rnd">
              <a:solidFill>
                <a:schemeClr val="accent1"/>
              </a:solidFill>
              <a:round/>
            </a:ln>
            <a:effectLst>
              <a:outerShdw blurRad="40000" dist="23000" dir="5400000" rotWithShape="0">
                <a:srgbClr val="000000">
                  <a:alpha val="35000"/>
                </a:srgbClr>
              </a:outerShdw>
            </a:effectLst>
          </c:spPr>
          <c:marker>
            <c:symbol val="none"/>
          </c:marker>
          <c:dLbls>
            <c:dLbl>
              <c:idx val="0"/>
              <c:layout>
                <c:manualLayout>
                  <c:x val="-0.10126582278481015"/>
                  <c:y val="0.1077844311377245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9EB-411E-9C8A-204404BBB183}"/>
                </c:ext>
              </c:extLst>
            </c:dLbl>
            <c:dLbl>
              <c:idx val="1"/>
              <c:layout>
                <c:manualLayout>
                  <c:x val="-8.0168776371308023E-2"/>
                  <c:y val="-0.1077844311377245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9EB-411E-9C8A-204404BBB183}"/>
                </c:ext>
              </c:extLst>
            </c:dLbl>
            <c:dLbl>
              <c:idx val="2"/>
              <c:layout>
                <c:manualLayout>
                  <c:x val="-0.21940928270042201"/>
                  <c:y val="3.9920159680638719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9EB-411E-9C8A-204404BBB1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 2020'!$A$110:$A$112</c:f>
              <c:strCache>
                <c:ptCount val="3"/>
                <c:pt idx="0">
                  <c:v>Ene</c:v>
                </c:pt>
                <c:pt idx="1">
                  <c:v>Feb</c:v>
                </c:pt>
                <c:pt idx="2">
                  <c:v>Mar</c:v>
                </c:pt>
              </c:strCache>
            </c:strRef>
          </c:cat>
          <c:val>
            <c:numRef>
              <c:f>'resumen I Trime 2020'!$B$110:$B$112</c:f>
              <c:numCache>
                <c:formatCode>0%</c:formatCode>
                <c:ptCount val="3"/>
                <c:pt idx="0">
                  <c:v>-6.5940083674097816E-2</c:v>
                </c:pt>
                <c:pt idx="1">
                  <c:v>0.20034499388357352</c:v>
                </c:pt>
                <c:pt idx="2">
                  <c:v>-0.6239496253102681</c:v>
                </c:pt>
              </c:numCache>
            </c:numRef>
          </c:val>
          <c:smooth val="0"/>
          <c:extLst>
            <c:ext xmlns:c16="http://schemas.microsoft.com/office/drawing/2014/chart" uri="{C3380CC4-5D6E-409C-BE32-E72D297353CC}">
              <c16:uniqueId val="{00000000-FC81-4D0C-9B1A-AA45E52320F2}"/>
            </c:ext>
          </c:extLst>
        </c:ser>
        <c:ser>
          <c:idx val="1"/>
          <c:order val="1"/>
          <c:tx>
            <c:strRef>
              <c:f>'resumen I Trime 2020'!$C$109</c:f>
              <c:strCache>
                <c:ptCount val="1"/>
                <c:pt idx="0">
                  <c:v>Cantidad (#)</c:v>
                </c:pt>
              </c:strCache>
            </c:strRef>
          </c:tx>
          <c:spPr>
            <a:ln w="34925" cap="rnd">
              <a:solidFill>
                <a:schemeClr val="accent2"/>
              </a:solidFill>
              <a:round/>
            </a:ln>
            <a:effectLst>
              <a:outerShdw blurRad="40000" dist="23000" dir="5400000" rotWithShape="0">
                <a:srgbClr val="000000">
                  <a:alpha val="35000"/>
                </a:srgbClr>
              </a:outerShdw>
            </a:effectLst>
          </c:spPr>
          <c:marker>
            <c:symbol val="none"/>
          </c:marker>
          <c:dLbls>
            <c:dLbl>
              <c:idx val="0"/>
              <c:layout>
                <c:manualLayout>
                  <c:x val="-0.16033755274261605"/>
                  <c:y val="-2.79441117764471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EB-411E-9C8A-204404BBB183}"/>
                </c:ext>
              </c:extLst>
            </c:dLbl>
            <c:dLbl>
              <c:idx val="1"/>
              <c:layout>
                <c:manualLayout>
                  <c:x val="5.907172995780590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9EB-411E-9C8A-204404BBB183}"/>
                </c:ext>
              </c:extLst>
            </c:dLbl>
            <c:dLbl>
              <c:idx val="2"/>
              <c:layout>
                <c:manualLayout>
                  <c:x val="2.1097046413502109E-2"/>
                  <c:y val="1.59680638722554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9EB-411E-9C8A-204404BBB183}"/>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'resumen I Trime 2020'!$A$110:$A$112</c:f>
              <c:strCache>
                <c:ptCount val="3"/>
                <c:pt idx="0">
                  <c:v>Ene</c:v>
                </c:pt>
                <c:pt idx="1">
                  <c:v>Feb</c:v>
                </c:pt>
                <c:pt idx="2">
                  <c:v>Mar</c:v>
                </c:pt>
              </c:strCache>
            </c:strRef>
          </c:cat>
          <c:val>
            <c:numRef>
              <c:f>'resumen I Trime 2020'!$C$110:$C$112</c:f>
              <c:numCache>
                <c:formatCode>0%</c:formatCode>
                <c:ptCount val="3"/>
                <c:pt idx="0">
                  <c:v>0.38333333333333336</c:v>
                </c:pt>
                <c:pt idx="1">
                  <c:v>0.15841584158415842</c:v>
                </c:pt>
                <c:pt idx="2">
                  <c:v>-0.60169491525423724</c:v>
                </c:pt>
              </c:numCache>
            </c:numRef>
          </c:val>
          <c:smooth val="0"/>
          <c:extLst>
            <c:ext xmlns:c16="http://schemas.microsoft.com/office/drawing/2014/chart" uri="{C3380CC4-5D6E-409C-BE32-E72D297353CC}">
              <c16:uniqueId val="{00000001-FC81-4D0C-9B1A-AA45E52320F2}"/>
            </c:ext>
          </c:extLst>
        </c:ser>
        <c:dLbls>
          <c:showLegendKey val="0"/>
          <c:showVal val="0"/>
          <c:showCatName val="0"/>
          <c:showSerName val="0"/>
          <c:showPercent val="0"/>
          <c:showBubbleSize val="0"/>
        </c:dLbls>
        <c:smooth val="0"/>
        <c:axId val="656752095"/>
        <c:axId val="656757087"/>
      </c:lineChart>
      <c:catAx>
        <c:axId val="656752095"/>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crossAx val="656757087"/>
        <c:crosses val="autoZero"/>
        <c:auto val="1"/>
        <c:lblAlgn val="ctr"/>
        <c:lblOffset val="100"/>
        <c:noMultiLvlLbl val="0"/>
      </c:catAx>
      <c:valAx>
        <c:axId val="656757087"/>
        <c:scaling>
          <c:orientation val="minMax"/>
          <c:min val="-0.70000000000000007"/>
        </c:scaling>
        <c:delete val="1"/>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656752095"/>
        <c:crosses val="autoZero"/>
        <c:crossBetween val="between"/>
        <c:majorUnit val="0.30000000000000004"/>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2">
                  <a:lumMod val="50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withinLinearReversed" id="25">
  <a:schemeClr val="accent5"/>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withinLinearReversed" id="21">
  <a:schemeClr val="accent1"/>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0.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1.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2.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3.xml><?xml version="1.0" encoding="utf-8"?>
<cs:chartStyle xmlns:cs="http://schemas.microsoft.com/office/drawing/2012/chartStyle" xmlns:a="http://schemas.openxmlformats.org/drawingml/2006/main" id="341">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231">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4.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5.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84745F0-BB22-43A5-A0B0-61D13F2A8A5B}"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es-ES"/>
        </a:p>
      </dgm:t>
    </dgm:pt>
    <dgm:pt modelId="{F96ED639-8441-4891-9482-15BF7BD85A19}">
      <dgm:prSet phldrT="[Texto]" custT="1"/>
      <dgm:spPr/>
      <dgm:t>
        <a:bodyPr/>
        <a:lstStyle/>
        <a:p>
          <a:pPr>
            <a:lnSpc>
              <a:spcPct val="100000"/>
            </a:lnSpc>
          </a:pPr>
          <a:r>
            <a:rPr lang="es-ES" sz="1100" b="1">
              <a:latin typeface="Arial" panose="020B0604020202020204" pitchFamily="34" charset="0"/>
              <a:cs typeface="Arial" panose="020B0604020202020204" pitchFamily="34" charset="0"/>
            </a:rPr>
            <a:t>Objetivo</a:t>
          </a:r>
        </a:p>
      </dgm:t>
    </dgm:pt>
    <dgm:pt modelId="{EEE9255B-9009-4FBA-9950-7EDDCCFB10A3}" type="par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A38F5C0-F4EF-464A-9FFC-B038651DCDA8}" type="sibTrans" cxnId="{3B2B4884-97B1-4167-B823-E5C7F105B3A1}">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BB1881BB-9F6B-4CD5-8C49-877D0C96DE54}">
      <dgm:prSet phldrT="[Texto]" custT="1"/>
      <dgm:spPr/>
      <dgm:t>
        <a:bodyPr/>
        <a:lstStyle/>
        <a:p>
          <a:pPr algn="just">
            <a:lnSpc>
              <a:spcPct val="100000"/>
            </a:lnSpc>
          </a:pPr>
          <a:r>
            <a:rPr lang="es-CO" sz="10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a:latin typeface="Arial" panose="020B0604020202020204" pitchFamily="34" charset="0"/>
            <a:cs typeface="Arial" panose="020B0604020202020204" pitchFamily="34" charset="0"/>
          </a:endParaRPr>
        </a:p>
      </dgm:t>
    </dgm:pt>
    <dgm:pt modelId="{936F958B-928B-47E8-807D-43C51B18EB86}" type="par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685241F2-5614-4CA3-8CDB-F1CD4FACF30B}" type="sibTrans" cxnId="{529EE746-F3ED-420E-A585-9213425C7FD8}">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51805B3-082D-4A39-ABBF-21C92207C470}">
      <dgm:prSet phldrT="[Texto]" custT="1"/>
      <dgm:spPr/>
      <dgm:t>
        <a:bodyPr/>
        <a:lstStyle/>
        <a:p>
          <a:pPr>
            <a:lnSpc>
              <a:spcPct val="100000"/>
            </a:lnSpc>
          </a:pPr>
          <a:r>
            <a:rPr lang="es-MX" sz="1100" b="1" i="0">
              <a:latin typeface="Arial" panose="020B0604020202020204" pitchFamily="34" charset="0"/>
              <a:cs typeface="Arial" panose="020B0604020202020204" pitchFamily="34" charset="0"/>
            </a:rPr>
            <a:t>Fuente Normativa </a:t>
          </a:r>
          <a:endParaRPr lang="es-ES" sz="1100" b="1">
            <a:latin typeface="Arial" panose="020B0604020202020204" pitchFamily="34" charset="0"/>
            <a:cs typeface="Arial" panose="020B0604020202020204" pitchFamily="34" charset="0"/>
          </a:endParaRPr>
        </a:p>
      </dgm:t>
    </dgm:pt>
    <dgm:pt modelId="{32C080C9-02D3-44D2-9962-E0A99AB869AF}" type="par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0A180B88-2F30-4C34-951F-68D8EED40031}" type="sibTrans" cxnId="{3A2904D4-BBE8-47E6-B48C-95B361124589}">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63EA96D-5602-451D-80C1-BCEEBD7B4A66}">
      <dgm:prSet phldrT="[Texto]" custT="1"/>
      <dgm:spPr/>
      <dgm:t>
        <a:bodyPr/>
        <a:lstStyle/>
        <a:p>
          <a:pPr>
            <a:lnSpc>
              <a:spcPct val="100000"/>
            </a:lnSpc>
          </a:pPr>
          <a:r>
            <a:rPr lang="es-ES" sz="1100" b="1">
              <a:latin typeface="Arial" panose="020B0604020202020204" pitchFamily="34" charset="0"/>
              <a:cs typeface="Arial" panose="020B0604020202020204" pitchFamily="34" charset="0"/>
            </a:rPr>
            <a:t>Alcance </a:t>
          </a:r>
        </a:p>
      </dgm:t>
    </dgm:pt>
    <dgm:pt modelId="{844BBB42-457E-4B14-B24B-1BEEC94912AC}" type="par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7DA7FE73-E872-4EDD-9D4F-8122B503DEC7}" type="sibTrans" cxnId="{918136BC-BEBE-4EC9-BD73-2E44ED3321EE}">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A2C93772-D5E3-4FD2-84D0-54D8350C64A8}">
      <dgm:prSet phldrT="[Texto]" custT="1"/>
      <dgm:spPr/>
      <dgm:t>
        <a:bodyPr/>
        <a:lstStyle/>
        <a:p>
          <a:pPr algn="just">
            <a:lnSpc>
              <a:spcPct val="100000"/>
            </a:lnSpc>
            <a:spcAft>
              <a:spcPts val="600"/>
            </a:spcAft>
          </a:pPr>
          <a:r>
            <a:rPr lang="es-ES_tradnl" sz="1000">
              <a:latin typeface="Arial" panose="020B0604020202020204" pitchFamily="34" charset="0"/>
              <a:cs typeface="Arial" panose="020B0604020202020204" pitchFamily="34" charset="0"/>
            </a:rPr>
            <a:t>El presente informe tendrá como alcance el análisis y comparación de las medidas de austeridad del gasto señaladas en la Directiva 09 de 2018, correspondiente al primer trimestre de 2020 comparado con el primer trimestre de 2019. </a:t>
          </a:r>
          <a:endParaRPr lang="es-ES" sz="1000">
            <a:latin typeface="Arial" panose="020B0604020202020204" pitchFamily="34" charset="0"/>
            <a:cs typeface="Arial" panose="020B0604020202020204" pitchFamily="34" charset="0"/>
          </a:endParaRPr>
        </a:p>
      </dgm:t>
    </dgm:pt>
    <dgm:pt modelId="{82385681-50C5-4E56-B3E6-36875DD56012}" type="par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24203CC4-5304-4A47-AFF9-7D8991A198EC}" type="sibTrans" cxnId="{1745B8FF-DA8B-4561-B138-87ABBF218503}">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C9FC0487-575B-4C4C-91C1-F5C874A36FA1}">
      <dgm:prSet phldrT="[Texto]" custT="1"/>
      <dgm:spPr/>
      <dgm:t>
        <a:bodyPr/>
        <a:lstStyle/>
        <a:p>
          <a:pPr algn="just">
            <a:lnSpc>
              <a:spcPct val="100000"/>
            </a:lnSpc>
            <a:spcAft>
              <a:spcPts val="600"/>
            </a:spcAft>
          </a:pPr>
          <a:r>
            <a:rPr lang="es-CO" sz="1000">
              <a:latin typeface="Arial" panose="020B0604020202020204" pitchFamily="34" charset="0"/>
              <a:cs typeface="Arial" panose="020B0604020202020204" pitchFamily="34" charset="0"/>
            </a:rPr>
            <a:t>Decreto 1068 de 2015, </a:t>
          </a:r>
          <a:r>
            <a:rPr lang="es-CO" sz="1000" i="1">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a:latin typeface="Arial" panose="020B0604020202020204" pitchFamily="34" charset="0"/>
              <a:cs typeface="Arial" panose="020B0604020202020204" pitchFamily="34" charset="0"/>
            </a:rPr>
            <a:t> </a:t>
          </a:r>
          <a:endParaRPr lang="es-ES" sz="1000" b="0">
            <a:latin typeface="Arial" panose="020B0604020202020204" pitchFamily="34" charset="0"/>
            <a:cs typeface="Arial" panose="020B0604020202020204" pitchFamily="34" charset="0"/>
          </a:endParaRPr>
        </a:p>
      </dgm:t>
    </dgm:pt>
    <dgm:pt modelId="{461A4580-2AA9-4DEE-8726-08F73647B127}" type="par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D20B4D97-A21B-4062-8552-331D93684BE1}" type="sibTrans" cxnId="{736FADD6-3835-4252-ADDB-6EF04D087800}">
      <dgm:prSet/>
      <dgm:spPr/>
      <dgm:t>
        <a:bodyPr/>
        <a:lstStyle/>
        <a:p>
          <a:pPr>
            <a:lnSpc>
              <a:spcPct val="100000"/>
            </a:lnSpc>
          </a:pPr>
          <a:endParaRPr lang="es-ES" sz="1000">
            <a:solidFill>
              <a:schemeClr val="tx1"/>
            </a:solidFill>
            <a:latin typeface="Arial" panose="020B0604020202020204" pitchFamily="34" charset="0"/>
            <a:cs typeface="Arial" panose="020B0604020202020204" pitchFamily="34" charset="0"/>
          </a:endParaRPr>
        </a:p>
      </dgm:t>
    </dgm:pt>
    <dgm:pt modelId="{3C61B7B3-FFBC-49DF-A582-2DC43285288B}">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1016 de 2019, </a:t>
          </a:r>
          <a:r>
            <a:rPr lang="es-CO" sz="1000" i="1">
              <a:latin typeface="Arial" panose="020B0604020202020204" pitchFamily="34" charset="0"/>
              <a:cs typeface="Arial" panose="020B0604020202020204" pitchFamily="34" charset="0"/>
            </a:rPr>
            <a:t>«Por la cual se modifica la Resolución 2509 de 30 de julio de 2013».</a:t>
          </a:r>
          <a:endParaRPr lang="es-CO" sz="1000">
            <a:latin typeface="Arial" panose="020B0604020202020204" pitchFamily="34" charset="0"/>
            <a:cs typeface="Arial" panose="020B0604020202020204" pitchFamily="34" charset="0"/>
          </a:endParaRPr>
        </a:p>
      </dgm:t>
    </dgm:pt>
    <dgm:pt modelId="{4AF3EFE9-2757-42C1-AC01-84939D7601EE}" type="par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6DD3EFFD-09BE-4E44-A262-8E54B522B1A0}" type="sibTrans" cxnId="{7AFF8FD6-2669-4280-9E76-BA3EC3656AFD}">
      <dgm:prSet/>
      <dgm:spPr/>
      <dgm:t>
        <a:bodyPr/>
        <a:lstStyle/>
        <a:p>
          <a:endParaRPr lang="es-ES" sz="1000">
            <a:latin typeface="Arial" panose="020B0604020202020204" pitchFamily="34" charset="0"/>
            <a:cs typeface="Arial" panose="020B0604020202020204" pitchFamily="34" charset="0"/>
          </a:endParaRPr>
        </a:p>
      </dgm:t>
    </dgm:pt>
    <dgm:pt modelId="{1FBCFD2B-9AA4-4F78-B6DC-448A3D117566}">
      <dgm:prSet custT="1"/>
      <dgm:spPr/>
      <dgm:t>
        <a:bodyPr/>
        <a:lstStyle/>
        <a:p>
          <a:pPr algn="just">
            <a:spcAft>
              <a:spcPts val="600"/>
            </a:spcAft>
          </a:pPr>
          <a:r>
            <a:rPr lang="es-CO" sz="1000">
              <a:latin typeface="Arial" panose="020B0604020202020204" pitchFamily="34" charset="0"/>
              <a:cs typeface="Arial" panose="020B0604020202020204" pitchFamily="34" charset="0"/>
            </a:rPr>
            <a:t>Resolución Interna 4264 de 2014</a:t>
          </a:r>
          <a:r>
            <a:rPr lang="es-CO" sz="1000" i="1">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a:latin typeface="Arial" panose="020B0604020202020204" pitchFamily="34" charset="0"/>
            <a:cs typeface="Arial" panose="020B0604020202020204" pitchFamily="34" charset="0"/>
          </a:endParaRPr>
        </a:p>
      </dgm:t>
    </dgm:pt>
    <dgm:pt modelId="{F2E4585C-83AD-4463-BD91-485DB57C5552}" type="par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2F1A0662-C1A4-4EDD-8F71-A3C46D0375C7}" type="sibTrans" cxnId="{8B8C7283-073D-4A23-8066-3F186B8416DB}">
      <dgm:prSet/>
      <dgm:spPr/>
      <dgm:t>
        <a:bodyPr/>
        <a:lstStyle/>
        <a:p>
          <a:endParaRPr lang="es-ES" sz="1000">
            <a:latin typeface="Arial" panose="020B0604020202020204" pitchFamily="34" charset="0"/>
            <a:cs typeface="Arial" panose="020B0604020202020204" pitchFamily="34" charset="0"/>
          </a:endParaRPr>
        </a:p>
      </dgm:t>
    </dgm:pt>
    <dgm:pt modelId="{0FDE14D4-8956-4949-A5FB-723D433AADE7}">
      <dgm:prSet custT="1"/>
      <dgm:spPr/>
      <dgm:t>
        <a:bodyPr/>
        <a:lstStyle/>
        <a:p>
          <a:pPr algn="just">
            <a:spcAft>
              <a:spcPts val="600"/>
            </a:spcAft>
          </a:pPr>
          <a:r>
            <a:rPr lang="es-CO" sz="1000">
              <a:latin typeface="Arial" panose="020B0604020202020204" pitchFamily="34" charset="0"/>
              <a:cs typeface="Arial" panose="020B0604020202020204" pitchFamily="34" charset="0"/>
            </a:rPr>
            <a:t>Directiva Presidencial No. 09 de 2018. </a:t>
          </a:r>
          <a:r>
            <a:rPr lang="es-CO" sz="1000" i="1">
              <a:latin typeface="Arial" panose="020B0604020202020204" pitchFamily="34" charset="0"/>
              <a:cs typeface="Arial" panose="020B0604020202020204" pitchFamily="34" charset="0"/>
            </a:rPr>
            <a:t>«Por la cual se imparten instrucciones </a:t>
          </a:r>
          <a:r>
            <a:rPr lang="es-CO" sz="10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a:latin typeface="Arial" panose="020B0604020202020204" pitchFamily="34" charset="0"/>
              <a:cs typeface="Arial" panose="020B0604020202020204" pitchFamily="34" charset="0"/>
            </a:rPr>
            <a:t>»</a:t>
          </a:r>
          <a:r>
            <a:rPr lang="es-CO" sz="1000">
              <a:latin typeface="Arial" panose="020B0604020202020204" pitchFamily="34" charset="0"/>
              <a:cs typeface="Arial" panose="020B0604020202020204" pitchFamily="34" charset="0"/>
            </a:rPr>
            <a:t>. </a:t>
          </a:r>
        </a:p>
      </dgm:t>
    </dgm:pt>
    <dgm:pt modelId="{5360D7F8-FBD3-468F-B6FC-A82976DAAC9E}" type="par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A351AF50-C63A-48D1-B88E-8E4185F3C425}" type="sibTrans" cxnId="{C61B237B-08E8-4AE0-824E-816C9EADE6A8}">
      <dgm:prSet/>
      <dgm:spPr/>
      <dgm:t>
        <a:bodyPr/>
        <a:lstStyle/>
        <a:p>
          <a:endParaRPr lang="es-ES" sz="1000">
            <a:latin typeface="Arial" panose="020B0604020202020204" pitchFamily="34" charset="0"/>
            <a:cs typeface="Arial" panose="020B0604020202020204" pitchFamily="34" charset="0"/>
          </a:endParaRPr>
        </a:p>
      </dgm:t>
    </dgm:pt>
    <dgm:pt modelId="{D7B6DA0C-F74F-4D7D-8DDD-01694DC0AC16}">
      <dgm:prSet custT="1"/>
      <dgm:spPr/>
      <dgm:t>
        <a:bodyPr/>
        <a:lstStyle/>
        <a:p>
          <a:pPr algn="just">
            <a:spcAft>
              <a:spcPct val="15000"/>
            </a:spcAft>
          </a:pPr>
          <a:r>
            <a:rPr lang="es-CO" sz="1000">
              <a:latin typeface="Arial" panose="020B0604020202020204" pitchFamily="34" charset="0"/>
              <a:cs typeface="Arial" panose="020B0604020202020204" pitchFamily="34" charset="0"/>
            </a:rPr>
            <a:t>Circular Interna 005 de 2019, </a:t>
          </a:r>
          <a:r>
            <a:rPr lang="es-CO" sz="1000" i="1">
              <a:latin typeface="Arial" panose="020B0604020202020204" pitchFamily="34" charset="0"/>
              <a:cs typeface="Arial" panose="020B0604020202020204" pitchFamily="34" charset="0"/>
            </a:rPr>
            <a:t>«Medida de austeridad para las comisiones de servicio, tiquetes aéreos y viáticos».</a:t>
          </a:r>
          <a:endParaRPr lang="es-CO" sz="1000">
            <a:latin typeface="Arial" panose="020B0604020202020204" pitchFamily="34" charset="0"/>
            <a:cs typeface="Arial" panose="020B0604020202020204" pitchFamily="34" charset="0"/>
          </a:endParaRPr>
        </a:p>
      </dgm:t>
    </dgm:pt>
    <dgm:pt modelId="{358B5B47-127A-44CF-A151-D96AAB3E323B}" type="par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643D252F-5441-4B71-B59D-60C90201ADC9}" type="sibTrans" cxnId="{2DCB8F4C-97CF-4AB2-9393-090E62316EB6}">
      <dgm:prSet/>
      <dgm:spPr/>
      <dgm:t>
        <a:bodyPr/>
        <a:lstStyle/>
        <a:p>
          <a:endParaRPr lang="es-ES" sz="1000">
            <a:latin typeface="Arial" panose="020B0604020202020204" pitchFamily="34" charset="0"/>
            <a:cs typeface="Arial" panose="020B0604020202020204" pitchFamily="34" charset="0"/>
          </a:endParaRPr>
        </a:p>
      </dgm:t>
    </dgm:pt>
    <dgm:pt modelId="{0CF14C2B-803A-4A0C-A82D-02761F74421C}" type="pres">
      <dgm:prSet presAssocID="{B84745F0-BB22-43A5-A0B0-61D13F2A8A5B}" presName="linear" presStyleCnt="0">
        <dgm:presLayoutVars>
          <dgm:dir/>
          <dgm:animLvl val="lvl"/>
          <dgm:resizeHandles val="exact"/>
        </dgm:presLayoutVars>
      </dgm:prSet>
      <dgm:spPr/>
    </dgm:pt>
    <dgm:pt modelId="{1DBF0429-F09A-43CE-BAC5-5BEF6C3D8A92}" type="pres">
      <dgm:prSet presAssocID="{F96ED639-8441-4891-9482-15BF7BD85A19}" presName="parentLin" presStyleCnt="0"/>
      <dgm:spPr/>
    </dgm:pt>
    <dgm:pt modelId="{B2ECB2E7-7A85-4747-AC1F-4B4E74E47506}" type="pres">
      <dgm:prSet presAssocID="{F96ED639-8441-4891-9482-15BF7BD85A19}" presName="parentLeftMargin" presStyleLbl="node1" presStyleIdx="0" presStyleCnt="3"/>
      <dgm:spPr/>
    </dgm:pt>
    <dgm:pt modelId="{7BDE95F1-2793-42D8-8480-0CF47F35DC0B}" type="pres">
      <dgm:prSet presAssocID="{F96ED639-8441-4891-9482-15BF7BD85A19}" presName="parentText" presStyleLbl="node1" presStyleIdx="0" presStyleCnt="3" custScaleY="149157">
        <dgm:presLayoutVars>
          <dgm:chMax val="0"/>
          <dgm:bulletEnabled val="1"/>
        </dgm:presLayoutVars>
      </dgm:prSet>
      <dgm:spPr/>
    </dgm:pt>
    <dgm:pt modelId="{2C2AA395-DFC4-461F-9C12-04FBDEE7792B}" type="pres">
      <dgm:prSet presAssocID="{F96ED639-8441-4891-9482-15BF7BD85A19}" presName="negativeSpace" presStyleCnt="0"/>
      <dgm:spPr/>
    </dgm:pt>
    <dgm:pt modelId="{6CFAA8A2-2A72-4BFD-88EF-D896DD6EFA8C}" type="pres">
      <dgm:prSet presAssocID="{F96ED639-8441-4891-9482-15BF7BD85A19}" presName="childText" presStyleLbl="conFgAcc1" presStyleIdx="0" presStyleCnt="3" custScaleY="110211">
        <dgm:presLayoutVars>
          <dgm:bulletEnabled val="1"/>
        </dgm:presLayoutVars>
      </dgm:prSet>
      <dgm:spPr/>
    </dgm:pt>
    <dgm:pt modelId="{5E29709C-7E8D-466C-A537-3F9539555770}" type="pres">
      <dgm:prSet presAssocID="{7A38F5C0-F4EF-464A-9FFC-B038651DCDA8}" presName="spaceBetweenRectangles" presStyleCnt="0"/>
      <dgm:spPr/>
    </dgm:pt>
    <dgm:pt modelId="{7CC527C0-0321-4100-8997-F51C8F723F4C}" type="pres">
      <dgm:prSet presAssocID="{A63EA96D-5602-451D-80C1-BCEEBD7B4A66}" presName="parentLin" presStyleCnt="0"/>
      <dgm:spPr/>
    </dgm:pt>
    <dgm:pt modelId="{861851E9-23E2-4A34-8DFE-83C6DE1647DF}" type="pres">
      <dgm:prSet presAssocID="{A63EA96D-5602-451D-80C1-BCEEBD7B4A66}" presName="parentLeftMargin" presStyleLbl="node1" presStyleIdx="0" presStyleCnt="3"/>
      <dgm:spPr/>
    </dgm:pt>
    <dgm:pt modelId="{609FE20C-90A0-4B87-A9D3-6A4812801F4A}" type="pres">
      <dgm:prSet presAssocID="{A63EA96D-5602-451D-80C1-BCEEBD7B4A66}" presName="parentText" presStyleLbl="node1" presStyleIdx="1" presStyleCnt="3">
        <dgm:presLayoutVars>
          <dgm:chMax val="0"/>
          <dgm:bulletEnabled val="1"/>
        </dgm:presLayoutVars>
      </dgm:prSet>
      <dgm:spPr/>
    </dgm:pt>
    <dgm:pt modelId="{7BD565FB-B074-4DCE-B22D-674838879412}" type="pres">
      <dgm:prSet presAssocID="{A63EA96D-5602-451D-80C1-BCEEBD7B4A66}" presName="negativeSpace" presStyleCnt="0"/>
      <dgm:spPr/>
    </dgm:pt>
    <dgm:pt modelId="{19E00E56-1286-4DC6-968E-BFFB17A991FB}" type="pres">
      <dgm:prSet presAssocID="{A63EA96D-5602-451D-80C1-BCEEBD7B4A66}" presName="childText" presStyleLbl="conFgAcc1" presStyleIdx="1" presStyleCnt="3" custScaleY="101807">
        <dgm:presLayoutVars>
          <dgm:bulletEnabled val="1"/>
        </dgm:presLayoutVars>
      </dgm:prSet>
      <dgm:spPr/>
    </dgm:pt>
    <dgm:pt modelId="{D9B470D8-5AB0-4C81-B368-D79B17FFE621}" type="pres">
      <dgm:prSet presAssocID="{7DA7FE73-E872-4EDD-9D4F-8122B503DEC7}" presName="spaceBetweenRectangles" presStyleCnt="0"/>
      <dgm:spPr/>
    </dgm:pt>
    <dgm:pt modelId="{E3E44A13-742F-457E-893E-5C5D9B4701E2}" type="pres">
      <dgm:prSet presAssocID="{751805B3-082D-4A39-ABBF-21C92207C470}" presName="parentLin" presStyleCnt="0"/>
      <dgm:spPr/>
    </dgm:pt>
    <dgm:pt modelId="{705FE4AC-CA8D-4386-B68F-426F04C3FBB7}" type="pres">
      <dgm:prSet presAssocID="{751805B3-082D-4A39-ABBF-21C92207C470}" presName="parentLeftMargin" presStyleLbl="node1" presStyleIdx="1" presStyleCnt="3"/>
      <dgm:spPr/>
    </dgm:pt>
    <dgm:pt modelId="{6C58514C-B343-4914-A3B9-51F653E11B2F}" type="pres">
      <dgm:prSet presAssocID="{751805B3-082D-4A39-ABBF-21C92207C470}" presName="parentText" presStyleLbl="node1" presStyleIdx="2" presStyleCnt="3" custScaleY="94760">
        <dgm:presLayoutVars>
          <dgm:chMax val="0"/>
          <dgm:bulletEnabled val="1"/>
        </dgm:presLayoutVars>
      </dgm:prSet>
      <dgm:spPr/>
    </dgm:pt>
    <dgm:pt modelId="{F7F601FA-69AC-4D39-9C0E-3F3EE49A8337}" type="pres">
      <dgm:prSet presAssocID="{751805B3-082D-4A39-ABBF-21C92207C470}" presName="negativeSpace" presStyleCnt="0"/>
      <dgm:spPr/>
    </dgm:pt>
    <dgm:pt modelId="{FED6C63D-9A41-4ACF-AD95-9ED1A8C07B5A}" type="pres">
      <dgm:prSet presAssocID="{751805B3-082D-4A39-ABBF-21C92207C470}" presName="childText" presStyleLbl="conFgAcc1" presStyleIdx="2" presStyleCnt="3">
        <dgm:presLayoutVars>
          <dgm:bulletEnabled val="1"/>
        </dgm:presLayoutVars>
      </dgm:prSet>
      <dgm:spPr/>
    </dgm:pt>
  </dgm:ptLst>
  <dgm:cxnLst>
    <dgm:cxn modelId="{9D43F711-5AA3-45C7-B6D4-1DC69B7AE432}" type="presOf" srcId="{1FBCFD2B-9AA4-4F78-B6DC-448A3D117566}" destId="{FED6C63D-9A41-4ACF-AD95-9ED1A8C07B5A}" srcOrd="0" destOrd="2" presId="urn:microsoft.com/office/officeart/2005/8/layout/list1"/>
    <dgm:cxn modelId="{6CF2F12C-4D3A-44FE-94A1-270501A10415}" type="presOf" srcId="{A63EA96D-5602-451D-80C1-BCEEBD7B4A66}" destId="{861851E9-23E2-4A34-8DFE-83C6DE1647DF}" srcOrd="0" destOrd="0" presId="urn:microsoft.com/office/officeart/2005/8/layout/list1"/>
    <dgm:cxn modelId="{B6D89130-8F13-4728-8922-25E2E978BCA4}" type="presOf" srcId="{A2C93772-D5E3-4FD2-84D0-54D8350C64A8}" destId="{19E00E56-1286-4DC6-968E-BFFB17A991FB}" srcOrd="0" destOrd="0" presId="urn:microsoft.com/office/officeart/2005/8/layout/list1"/>
    <dgm:cxn modelId="{DB257233-AA8A-4C31-ABAC-AD7A329E7C86}" type="presOf" srcId="{B84745F0-BB22-43A5-A0B0-61D13F2A8A5B}" destId="{0CF14C2B-803A-4A0C-A82D-02761F74421C}" srcOrd="0" destOrd="0" presId="urn:microsoft.com/office/officeart/2005/8/layout/list1"/>
    <dgm:cxn modelId="{D683DE3F-ACDE-4610-8C51-C59A01B36737}" type="presOf" srcId="{F96ED639-8441-4891-9482-15BF7BD85A19}" destId="{B2ECB2E7-7A85-4747-AC1F-4B4E74E47506}" srcOrd="0" destOrd="0" presId="urn:microsoft.com/office/officeart/2005/8/layout/list1"/>
    <dgm:cxn modelId="{529EE746-F3ED-420E-A585-9213425C7FD8}" srcId="{F96ED639-8441-4891-9482-15BF7BD85A19}" destId="{BB1881BB-9F6B-4CD5-8C49-877D0C96DE54}" srcOrd="0" destOrd="0" parTransId="{936F958B-928B-47E8-807D-43C51B18EB86}" sibTransId="{685241F2-5614-4CA3-8CDB-F1CD4FACF30B}"/>
    <dgm:cxn modelId="{AF4A7E48-E3A7-4815-8055-EA436B59999B}" type="presOf" srcId="{BB1881BB-9F6B-4CD5-8C49-877D0C96DE54}" destId="{6CFAA8A2-2A72-4BFD-88EF-D896DD6EFA8C}" srcOrd="0" destOrd="0" presId="urn:microsoft.com/office/officeart/2005/8/layout/list1"/>
    <dgm:cxn modelId="{2DCB8F4C-97CF-4AB2-9393-090E62316EB6}" srcId="{751805B3-082D-4A39-ABBF-21C92207C470}" destId="{D7B6DA0C-F74F-4D7D-8DDD-01694DC0AC16}" srcOrd="4" destOrd="0" parTransId="{358B5B47-127A-44CF-A151-D96AAB3E323B}" sibTransId="{643D252F-5441-4B71-B59D-60C90201ADC9}"/>
    <dgm:cxn modelId="{C61B237B-08E8-4AE0-824E-816C9EADE6A8}" srcId="{751805B3-082D-4A39-ABBF-21C92207C470}" destId="{0FDE14D4-8956-4949-A5FB-723D433AADE7}" srcOrd="3" destOrd="0" parTransId="{5360D7F8-FBD3-468F-B6FC-A82976DAAC9E}" sibTransId="{A351AF50-C63A-48D1-B88E-8E4185F3C425}"/>
    <dgm:cxn modelId="{DB7F9A7F-6CC5-4AC5-951B-F7E2211E7988}" type="presOf" srcId="{C9FC0487-575B-4C4C-91C1-F5C874A36FA1}" destId="{FED6C63D-9A41-4ACF-AD95-9ED1A8C07B5A}" srcOrd="0" destOrd="0" presId="urn:microsoft.com/office/officeart/2005/8/layout/list1"/>
    <dgm:cxn modelId="{8B8C7283-073D-4A23-8066-3F186B8416DB}" srcId="{751805B3-082D-4A39-ABBF-21C92207C470}" destId="{1FBCFD2B-9AA4-4F78-B6DC-448A3D117566}" srcOrd="2" destOrd="0" parTransId="{F2E4585C-83AD-4463-BD91-485DB57C5552}" sibTransId="{2F1A0662-C1A4-4EDD-8F71-A3C46D0375C7}"/>
    <dgm:cxn modelId="{3B2B4884-97B1-4167-B823-E5C7F105B3A1}" srcId="{B84745F0-BB22-43A5-A0B0-61D13F2A8A5B}" destId="{F96ED639-8441-4891-9482-15BF7BD85A19}" srcOrd="0" destOrd="0" parTransId="{EEE9255B-9009-4FBA-9950-7EDDCCFB10A3}" sibTransId="{7A38F5C0-F4EF-464A-9FFC-B038651DCDA8}"/>
    <dgm:cxn modelId="{C7F70E93-56B7-4CCF-B42C-8B820CC12579}" type="presOf" srcId="{751805B3-082D-4A39-ABBF-21C92207C470}" destId="{705FE4AC-CA8D-4386-B68F-426F04C3FBB7}" srcOrd="0" destOrd="0" presId="urn:microsoft.com/office/officeart/2005/8/layout/list1"/>
    <dgm:cxn modelId="{74109F99-CCB9-4DF8-9CFF-E91B3EDFFD11}" type="presOf" srcId="{751805B3-082D-4A39-ABBF-21C92207C470}" destId="{6C58514C-B343-4914-A3B9-51F653E11B2F}" srcOrd="1" destOrd="0" presId="urn:microsoft.com/office/officeart/2005/8/layout/list1"/>
    <dgm:cxn modelId="{86E5079D-2624-4C46-9746-48D1A54445E2}" type="presOf" srcId="{D7B6DA0C-F74F-4D7D-8DDD-01694DC0AC16}" destId="{FED6C63D-9A41-4ACF-AD95-9ED1A8C07B5A}" srcOrd="0" destOrd="4" presId="urn:microsoft.com/office/officeart/2005/8/layout/list1"/>
    <dgm:cxn modelId="{598309B0-ED19-4DCA-BE3F-48891E9BD52F}" type="presOf" srcId="{F96ED639-8441-4891-9482-15BF7BD85A19}" destId="{7BDE95F1-2793-42D8-8480-0CF47F35DC0B}" srcOrd="1" destOrd="0" presId="urn:microsoft.com/office/officeart/2005/8/layout/list1"/>
    <dgm:cxn modelId="{918136BC-BEBE-4EC9-BD73-2E44ED3321EE}" srcId="{B84745F0-BB22-43A5-A0B0-61D13F2A8A5B}" destId="{A63EA96D-5602-451D-80C1-BCEEBD7B4A66}" srcOrd="1" destOrd="0" parTransId="{844BBB42-457E-4B14-B24B-1BEEC94912AC}" sibTransId="{7DA7FE73-E872-4EDD-9D4F-8122B503DEC7}"/>
    <dgm:cxn modelId="{5D5D06BE-71F5-48DF-A17F-6F2C77318FED}" type="presOf" srcId="{3C61B7B3-FFBC-49DF-A582-2DC43285288B}" destId="{FED6C63D-9A41-4ACF-AD95-9ED1A8C07B5A}" srcOrd="0" destOrd="1" presId="urn:microsoft.com/office/officeart/2005/8/layout/list1"/>
    <dgm:cxn modelId="{6059E1C5-128C-410A-9F12-55B2D5BD6176}" type="presOf" srcId="{A63EA96D-5602-451D-80C1-BCEEBD7B4A66}" destId="{609FE20C-90A0-4B87-A9D3-6A4812801F4A}" srcOrd="1" destOrd="0" presId="urn:microsoft.com/office/officeart/2005/8/layout/list1"/>
    <dgm:cxn modelId="{E92539CD-3D0E-4DE6-A9BC-869EC753B035}" type="presOf" srcId="{0FDE14D4-8956-4949-A5FB-723D433AADE7}" destId="{FED6C63D-9A41-4ACF-AD95-9ED1A8C07B5A}" srcOrd="0" destOrd="3" presId="urn:microsoft.com/office/officeart/2005/8/layout/list1"/>
    <dgm:cxn modelId="{3A2904D4-BBE8-47E6-B48C-95B361124589}" srcId="{B84745F0-BB22-43A5-A0B0-61D13F2A8A5B}" destId="{751805B3-082D-4A39-ABBF-21C92207C470}" srcOrd="2" destOrd="0" parTransId="{32C080C9-02D3-44D2-9962-E0A99AB869AF}" sibTransId="{0A180B88-2F30-4C34-951F-68D8EED40031}"/>
    <dgm:cxn modelId="{7AFF8FD6-2669-4280-9E76-BA3EC3656AFD}" srcId="{751805B3-082D-4A39-ABBF-21C92207C470}" destId="{3C61B7B3-FFBC-49DF-A582-2DC43285288B}" srcOrd="1" destOrd="0" parTransId="{4AF3EFE9-2757-42C1-AC01-84939D7601EE}" sibTransId="{6DD3EFFD-09BE-4E44-A262-8E54B522B1A0}"/>
    <dgm:cxn modelId="{736FADD6-3835-4252-ADDB-6EF04D087800}" srcId="{751805B3-082D-4A39-ABBF-21C92207C470}" destId="{C9FC0487-575B-4C4C-91C1-F5C874A36FA1}" srcOrd="0" destOrd="0" parTransId="{461A4580-2AA9-4DEE-8726-08F73647B127}" sibTransId="{D20B4D97-A21B-4062-8552-331D93684BE1}"/>
    <dgm:cxn modelId="{1745B8FF-DA8B-4561-B138-87ABBF218503}" srcId="{A63EA96D-5602-451D-80C1-BCEEBD7B4A66}" destId="{A2C93772-D5E3-4FD2-84D0-54D8350C64A8}" srcOrd="0" destOrd="0" parTransId="{82385681-50C5-4E56-B3E6-36875DD56012}" sibTransId="{24203CC4-5304-4A47-AFF9-7D8991A198EC}"/>
    <dgm:cxn modelId="{414F1E13-8F03-4A58-AEFE-AD55152F073F}" type="presParOf" srcId="{0CF14C2B-803A-4A0C-A82D-02761F74421C}" destId="{1DBF0429-F09A-43CE-BAC5-5BEF6C3D8A92}" srcOrd="0" destOrd="0" presId="urn:microsoft.com/office/officeart/2005/8/layout/list1"/>
    <dgm:cxn modelId="{02FFBF79-586A-4D63-B869-EFDF49358853}" type="presParOf" srcId="{1DBF0429-F09A-43CE-BAC5-5BEF6C3D8A92}" destId="{B2ECB2E7-7A85-4747-AC1F-4B4E74E47506}" srcOrd="0" destOrd="0" presId="urn:microsoft.com/office/officeart/2005/8/layout/list1"/>
    <dgm:cxn modelId="{76D64E88-57F7-4C8B-982D-AB4C9D842D9F}" type="presParOf" srcId="{1DBF0429-F09A-43CE-BAC5-5BEF6C3D8A92}" destId="{7BDE95F1-2793-42D8-8480-0CF47F35DC0B}" srcOrd="1" destOrd="0" presId="urn:microsoft.com/office/officeart/2005/8/layout/list1"/>
    <dgm:cxn modelId="{3B928734-0803-41DD-89D6-EAF0ED6D20E9}" type="presParOf" srcId="{0CF14C2B-803A-4A0C-A82D-02761F74421C}" destId="{2C2AA395-DFC4-461F-9C12-04FBDEE7792B}" srcOrd="1" destOrd="0" presId="urn:microsoft.com/office/officeart/2005/8/layout/list1"/>
    <dgm:cxn modelId="{2D68FAA8-0069-41AB-92F0-4F623782E272}" type="presParOf" srcId="{0CF14C2B-803A-4A0C-A82D-02761F74421C}" destId="{6CFAA8A2-2A72-4BFD-88EF-D896DD6EFA8C}" srcOrd="2" destOrd="0" presId="urn:microsoft.com/office/officeart/2005/8/layout/list1"/>
    <dgm:cxn modelId="{C3EB5F3B-2160-4FE7-9F0F-80D152CB4EFD}" type="presParOf" srcId="{0CF14C2B-803A-4A0C-A82D-02761F74421C}" destId="{5E29709C-7E8D-466C-A537-3F9539555770}" srcOrd="3" destOrd="0" presId="urn:microsoft.com/office/officeart/2005/8/layout/list1"/>
    <dgm:cxn modelId="{C7EC0B1C-BD05-4E16-9619-BF3F86296A4A}" type="presParOf" srcId="{0CF14C2B-803A-4A0C-A82D-02761F74421C}" destId="{7CC527C0-0321-4100-8997-F51C8F723F4C}" srcOrd="4" destOrd="0" presId="urn:microsoft.com/office/officeart/2005/8/layout/list1"/>
    <dgm:cxn modelId="{31B403E9-202E-434F-8F64-F04031226F35}" type="presParOf" srcId="{7CC527C0-0321-4100-8997-F51C8F723F4C}" destId="{861851E9-23E2-4A34-8DFE-83C6DE1647DF}" srcOrd="0" destOrd="0" presId="urn:microsoft.com/office/officeart/2005/8/layout/list1"/>
    <dgm:cxn modelId="{B940D5AB-217B-484C-A125-9CD565D0D8FE}" type="presParOf" srcId="{7CC527C0-0321-4100-8997-F51C8F723F4C}" destId="{609FE20C-90A0-4B87-A9D3-6A4812801F4A}" srcOrd="1" destOrd="0" presId="urn:microsoft.com/office/officeart/2005/8/layout/list1"/>
    <dgm:cxn modelId="{364B5280-5917-4C0D-8A05-1F3912FDC8C3}" type="presParOf" srcId="{0CF14C2B-803A-4A0C-A82D-02761F74421C}" destId="{7BD565FB-B074-4DCE-B22D-674838879412}" srcOrd="5" destOrd="0" presId="urn:microsoft.com/office/officeart/2005/8/layout/list1"/>
    <dgm:cxn modelId="{36522016-E92C-4232-A072-A33EDE95F775}" type="presParOf" srcId="{0CF14C2B-803A-4A0C-A82D-02761F74421C}" destId="{19E00E56-1286-4DC6-968E-BFFB17A991FB}" srcOrd="6" destOrd="0" presId="urn:microsoft.com/office/officeart/2005/8/layout/list1"/>
    <dgm:cxn modelId="{8DB4C2E8-ADD2-4F25-93F1-C5AAEA0EAC6A}" type="presParOf" srcId="{0CF14C2B-803A-4A0C-A82D-02761F74421C}" destId="{D9B470D8-5AB0-4C81-B368-D79B17FFE621}" srcOrd="7" destOrd="0" presId="urn:microsoft.com/office/officeart/2005/8/layout/list1"/>
    <dgm:cxn modelId="{B37C6197-B0C0-46B9-8D13-E017E9375BD0}" type="presParOf" srcId="{0CF14C2B-803A-4A0C-A82D-02761F74421C}" destId="{E3E44A13-742F-457E-893E-5C5D9B4701E2}" srcOrd="8" destOrd="0" presId="urn:microsoft.com/office/officeart/2005/8/layout/list1"/>
    <dgm:cxn modelId="{CA957879-4A8F-4D36-BE51-BA18724BEA87}" type="presParOf" srcId="{E3E44A13-742F-457E-893E-5C5D9B4701E2}" destId="{705FE4AC-CA8D-4386-B68F-426F04C3FBB7}" srcOrd="0" destOrd="0" presId="urn:microsoft.com/office/officeart/2005/8/layout/list1"/>
    <dgm:cxn modelId="{25DFD3BA-7A6F-4A4F-887D-B7E5C619F929}" type="presParOf" srcId="{E3E44A13-742F-457E-893E-5C5D9B4701E2}" destId="{6C58514C-B343-4914-A3B9-51F653E11B2F}" srcOrd="1" destOrd="0" presId="urn:microsoft.com/office/officeart/2005/8/layout/list1"/>
    <dgm:cxn modelId="{4F73EBEF-6688-4ED7-A0E9-B59D4D2342A2}" type="presParOf" srcId="{0CF14C2B-803A-4A0C-A82D-02761F74421C}" destId="{F7F601FA-69AC-4D39-9C0E-3F3EE49A8337}" srcOrd="9" destOrd="0" presId="urn:microsoft.com/office/officeart/2005/8/layout/list1"/>
    <dgm:cxn modelId="{5FA28D45-E8C4-47BB-87F9-3C67C3E75838}" type="presParOf" srcId="{0CF14C2B-803A-4A0C-A82D-02761F74421C}" destId="{FED6C63D-9A41-4ACF-AD95-9ED1A8C07B5A}" srcOrd="10"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181946E-5836-4DAE-A856-3C37E91B9513}" type="doc">
      <dgm:prSet loTypeId="urn:microsoft.com/office/officeart/2005/8/layout/hierarchy2" loCatId="hierarchy" qsTypeId="urn:microsoft.com/office/officeart/2005/8/quickstyle/simple2" qsCatId="simple" csTypeId="urn:microsoft.com/office/officeart/2005/8/colors/accent1_2" csCatId="accent1" phldr="1"/>
      <dgm:spPr/>
      <dgm:t>
        <a:bodyPr/>
        <a:lstStyle/>
        <a:p>
          <a:endParaRPr lang="es-CO"/>
        </a:p>
      </dgm:t>
    </dgm:pt>
    <dgm:pt modelId="{E8B3673D-BDA6-4DA9-ABD6-FA4B21C3F72B}">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Vehículos del MHCP - 2020</a:t>
          </a:r>
        </a:p>
      </dgm:t>
    </dgm:pt>
    <dgm:pt modelId="{802AAF5E-F72F-4F65-8466-C97732A840E7}" type="par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D38211-DBB4-411C-82F3-CD745AD446EA}" type="sibTrans" cxnId="{9BBAC92C-DE00-46DC-8662-46C7492ED942}">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A4059410-9B0F-484F-844F-E93AC4998E66}">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-Despacho de Ministro </a:t>
          </a:r>
        </a:p>
      </dgm:t>
    </dgm:pt>
    <dgm:pt modelId="{6579F72E-6896-4DBA-8018-36243424E035}" type="parTrans" cxnId="{BBB5BAF8-F592-456F-9A83-54334D11F8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D0820E8-EA0D-4D5C-A9C6-1380776DD15F}" type="sibTrans" cxnId="{BBB5BAF8-F592-456F-9A83-54334D11F8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674FDF5-0174-442F-B729-D51C40AE5E39}">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Directivos </a:t>
          </a:r>
        </a:p>
      </dgm:t>
    </dgm:pt>
    <dgm:pt modelId="{E5627A23-BD4F-4432-935C-CF68F84A7274}" type="parTrans" cxnId="{7012D455-7A68-40FD-A8AE-4DBE6CCB78B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8098630-DD36-429A-B8EF-C71A9B0C918B}" type="sibTrans" cxnId="{7012D455-7A68-40FD-A8AE-4DBE6CCB78B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252AD91-BCCD-467D-9A58-DAA8B2CCA63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Operativos</a:t>
          </a:r>
        </a:p>
      </dgm:t>
    </dgm:pt>
    <dgm:pt modelId="{51DC8177-94D5-4055-9969-3108DE20B4C3}" type="parTrans" cxnId="{B154E118-1643-49C9-AAB2-BC32FC8D3863}">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8785E6F-00B7-43E3-B4DF-18BA6EECE080}" type="sibTrans" cxnId="{B154E118-1643-49C9-AAB2-BC32FC8D3863}">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C5B1D6E8-79DF-40F0-9888-E78E36D619C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5</a:t>
          </a:r>
        </a:p>
      </dgm:t>
    </dgm:pt>
    <dgm:pt modelId="{433EB2E6-C581-4752-819E-3317E338113B}" type="parTrans" cxnId="{42CE2B70-7CA9-4DC7-B27E-492B9854403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88FBB23-AB0D-4A9A-9E45-93A21FC6BE33}" type="sibTrans" cxnId="{42CE2B70-7CA9-4DC7-B27E-492B9854403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23567BB9-A2D9-48AA-AFC3-90BBF23632B3}">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14 </a:t>
          </a:r>
        </a:p>
      </dgm:t>
    </dgm:pt>
    <dgm:pt modelId="{D6218370-2762-4C5D-B6FF-0EDDC3DCAE75}" type="parTrans" cxnId="{D8008E8A-22D5-4272-BA05-9C5DEF3B2B0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7EB28DC-810E-4762-8D55-B95EBF915FDC}" type="sibTrans" cxnId="{D8008E8A-22D5-4272-BA05-9C5DEF3B2B0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F2B6A14-CBB5-4255-86DF-4C0C366D0D28}">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6</a:t>
          </a:r>
        </a:p>
      </dgm:t>
    </dgm:pt>
    <dgm:pt modelId="{9A97888D-6D18-48EC-B903-A8B6FC8AAF2D}" type="parTrans" cxnId="{94163E29-5745-47AB-8E2E-F7207F191ECC}">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AC239E3-A20A-4D63-8FBF-FC0EB0C122D4}" type="sibTrans" cxnId="{94163E29-5745-47AB-8E2E-F7207F191ECC}">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7018968A-8292-46DA-BD71-9F7AEDB10FC2}">
      <dgm:prSet phldrT="[Texto]" custT="1"/>
      <dgm:spPr/>
      <dgm:t>
        <a:bodyPr/>
        <a:lstStyle/>
        <a:p>
          <a:pPr>
            <a:spcBef>
              <a:spcPts val="0"/>
            </a:spcBef>
            <a:spcAft>
              <a:spcPts val="0"/>
            </a:spcAft>
          </a:pPr>
          <a:r>
            <a:rPr lang="es-CO" sz="1050">
              <a:latin typeface="Arial" panose="020B0604020202020204" pitchFamily="34" charset="0"/>
              <a:cs typeface="Arial" panose="020B0604020202020204" pitchFamily="34" charset="0"/>
            </a:rPr>
            <a:t>Total: 27</a:t>
          </a:r>
        </a:p>
      </dgm:t>
    </dgm:pt>
    <dgm:pt modelId="{DBC44E3F-3C7B-431B-A780-6BD75620EB3D}" type="parTrans" cxnId="{020C25A9-00CF-47A4-9887-F2F2671D5A34}">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DE7080A-120D-4FB4-836C-F26DAD07CD45}" type="sibTrans" cxnId="{020C25A9-00CF-47A4-9887-F2F2671D5A34}">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30B989E8-5477-416F-B05A-91F6D3CF3A0D}">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Motocicletas Suzuki</a:t>
          </a:r>
        </a:p>
      </dgm:t>
    </dgm:pt>
    <dgm:pt modelId="{9B725DB8-C047-4580-A01B-247330F9466F}" type="parTrans" cxnId="{17117168-7870-4912-BCEC-AAA8888D95F1}">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5296FC1A-9565-4448-9253-85B8F34C654C}" type="sibTrans" cxnId="{17117168-7870-4912-BCEC-AAA8888D95F1}">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471DF1C-8B6F-4AF4-B443-DBE2AB698D9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3 Camionetas Toyota Prado (UNP)</a:t>
          </a:r>
        </a:p>
      </dgm:t>
    </dgm:pt>
    <dgm:pt modelId="{0B53B95D-7D83-47BC-B96A-2119D72B9144}" type="parTrans" cxnId="{1C4802D1-9309-436F-A055-D735B21F849E}">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955468FA-B85C-4176-8B06-81E6B18BB1FE}" type="sibTrans" cxnId="{1C4802D1-9309-436F-A055-D735B21F849E}">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BEEFAD95-6692-4CE3-9EA9-3123CCAE2477}">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12 Camionetas Renault Koleos</a:t>
          </a:r>
        </a:p>
      </dgm:t>
    </dgm:pt>
    <dgm:pt modelId="{702CCD3F-1F7D-4584-A66D-FB5A6B96C4FA}" type="parTrans" cxnId="{CB1F5CCD-4CB3-481A-B068-86BBDDEB2535}">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D4590E11-79B9-4EB6-BCB4-FBEED887B6BA}" type="sibTrans" cxnId="{CB1F5CCD-4CB3-481A-B068-86BBDDEB2535}">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E50941B1-D4E4-49EF-A108-E125C787E70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  Automovil Renault Fluence</a:t>
          </a:r>
        </a:p>
      </dgm:t>
    </dgm:pt>
    <dgm:pt modelId="{15D2D7FF-9390-4CC5-8184-BD5E05D7FEB5}" type="parTrans" cxnId="{BDD9FFFC-B90B-4C8C-8821-B30A0F9F5190}">
      <dgm:prSet custT="1"/>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16876659-FA83-4A53-93DD-903F78249689}" type="sibTrans" cxnId="{BDD9FFFC-B90B-4C8C-8821-B30A0F9F5190}">
      <dgm:prSet/>
      <dgm:spPr/>
      <dgm:t>
        <a:bodyPr/>
        <a:lstStyle/>
        <a:p>
          <a:pPr>
            <a:spcBef>
              <a:spcPts val="0"/>
            </a:spcBef>
            <a:spcAft>
              <a:spcPts val="0"/>
            </a:spcAft>
          </a:pPr>
          <a:endParaRPr lang="es-CO" sz="1000">
            <a:solidFill>
              <a:schemeClr val="tx1"/>
            </a:solidFill>
            <a:latin typeface="Arial" panose="020B0604020202020204" pitchFamily="34" charset="0"/>
            <a:cs typeface="Arial" panose="020B0604020202020204" pitchFamily="34" charset="0"/>
          </a:endParaRPr>
        </a:p>
      </dgm:t>
    </dgm:pt>
    <dgm:pt modelId="{66696AF1-B6BC-4666-B450-4927CB3DE2FF}">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Esquema de Seguridad - Viceministro General </a:t>
          </a:r>
        </a:p>
      </dgm:t>
    </dgm:pt>
    <dgm:pt modelId="{AE15A6D9-B7B4-434D-AE1E-D5A1F40478D3}" type="parTrans" cxnId="{5FB163DE-8115-4924-9589-FC70112B4415}">
      <dgm:prSet/>
      <dgm:spPr/>
      <dgm:t>
        <a:bodyPr/>
        <a:lstStyle/>
        <a:p>
          <a:endParaRPr lang="es-ES"/>
        </a:p>
      </dgm:t>
    </dgm:pt>
    <dgm:pt modelId="{ABE79400-2DE4-4907-8AB2-4BB8674A8C00}" type="sibTrans" cxnId="{5FB163DE-8115-4924-9589-FC70112B4415}">
      <dgm:prSet/>
      <dgm:spPr/>
      <dgm:t>
        <a:bodyPr/>
        <a:lstStyle/>
        <a:p>
          <a:endParaRPr lang="es-ES"/>
        </a:p>
      </dgm:t>
    </dgm:pt>
    <dgm:pt modelId="{A0F228CB-036A-4A65-9606-1BCBD5C831C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Camionetas Toyota Prado (UNP)</a:t>
          </a:r>
        </a:p>
      </dgm:t>
    </dgm:pt>
    <dgm:pt modelId="{1A81D65E-15FF-46FC-908D-4711AE93C038}" type="parTrans" cxnId="{22D7685D-22A2-4B66-999E-0B31BDCED343}">
      <dgm:prSet/>
      <dgm:spPr/>
      <dgm:t>
        <a:bodyPr/>
        <a:lstStyle/>
        <a:p>
          <a:endParaRPr lang="es-ES"/>
        </a:p>
      </dgm:t>
    </dgm:pt>
    <dgm:pt modelId="{FCBEB68A-89FF-435E-A6E6-2E4D32E7F399}" type="sibTrans" cxnId="{22D7685D-22A2-4B66-999E-0B31BDCED343}">
      <dgm:prSet/>
      <dgm:spPr/>
      <dgm:t>
        <a:bodyPr/>
        <a:lstStyle/>
        <a:p>
          <a:endParaRPr lang="es-ES"/>
        </a:p>
      </dgm:t>
    </dgm:pt>
    <dgm:pt modelId="{A1C18B35-E01D-457A-86D7-8F284070DB31}">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a:t>
          </a:r>
        </a:p>
      </dgm:t>
    </dgm:pt>
    <dgm:pt modelId="{AF38406F-0760-412B-9D25-A798DBD2BE1E}" type="parTrans" cxnId="{06735CCB-E606-47FF-8250-B382D1BCCC2F}">
      <dgm:prSet/>
      <dgm:spPr/>
      <dgm:t>
        <a:bodyPr/>
        <a:lstStyle/>
        <a:p>
          <a:endParaRPr lang="es-ES"/>
        </a:p>
      </dgm:t>
    </dgm:pt>
    <dgm:pt modelId="{B96FB483-5A6D-4121-B272-50D7357BC661}" type="sibTrans" cxnId="{06735CCB-E606-47FF-8250-B382D1BCCC2F}">
      <dgm:prSet/>
      <dgm:spPr/>
      <dgm:t>
        <a:bodyPr/>
        <a:lstStyle/>
        <a:p>
          <a:endParaRPr lang="es-ES"/>
        </a:p>
      </dgm:t>
    </dgm:pt>
    <dgm:pt modelId="{CBA9B155-2710-4841-96C4-DE503DDB7FD2}">
      <dgm:prSet phldrT="[Texto]" custT="1"/>
      <dgm:spPr/>
      <dgm:t>
        <a:bodyPr/>
        <a:lstStyle/>
        <a:p>
          <a:pPr>
            <a:spcBef>
              <a:spcPts val="0"/>
            </a:spcBef>
            <a:spcAft>
              <a:spcPts val="0"/>
            </a:spcAft>
          </a:pPr>
          <a:r>
            <a:rPr lang="es-CO" sz="1000">
              <a:latin typeface="Arial" panose="020B0604020202020204" pitchFamily="34" charset="0"/>
              <a:cs typeface="Arial" panose="020B0604020202020204" pitchFamily="34" charset="0"/>
            </a:rPr>
            <a:t>2 Camionetas SAE - Destinación provisional.</a:t>
          </a:r>
        </a:p>
      </dgm:t>
    </dgm:pt>
    <dgm:pt modelId="{9FC543B5-844C-4122-A096-7F8747246AFF}" type="parTrans" cxnId="{3AA0ACDA-23B9-47BF-BEE4-102B2BF28377}">
      <dgm:prSet/>
      <dgm:spPr/>
      <dgm:t>
        <a:bodyPr/>
        <a:lstStyle/>
        <a:p>
          <a:endParaRPr lang="es-CO"/>
        </a:p>
      </dgm:t>
    </dgm:pt>
    <dgm:pt modelId="{724977C3-B8AA-425D-8CC1-6B804082FBD4}" type="sibTrans" cxnId="{3AA0ACDA-23B9-47BF-BEE4-102B2BF28377}">
      <dgm:prSet/>
      <dgm:spPr/>
      <dgm:t>
        <a:bodyPr/>
        <a:lstStyle/>
        <a:p>
          <a:endParaRPr lang="es-CO"/>
        </a:p>
      </dgm:t>
    </dgm:pt>
    <dgm:pt modelId="{3DB22D45-BEBA-4188-A349-CC1912488C63}" type="pres">
      <dgm:prSet presAssocID="{D181946E-5836-4DAE-A856-3C37E91B9513}" presName="diagram" presStyleCnt="0">
        <dgm:presLayoutVars>
          <dgm:chPref val="1"/>
          <dgm:dir/>
          <dgm:animOne val="branch"/>
          <dgm:animLvl val="lvl"/>
          <dgm:resizeHandles val="exact"/>
        </dgm:presLayoutVars>
      </dgm:prSet>
      <dgm:spPr/>
    </dgm:pt>
    <dgm:pt modelId="{F6700E2E-D874-4AB8-B024-B140C5BA39E6}" type="pres">
      <dgm:prSet presAssocID="{E8B3673D-BDA6-4DA9-ABD6-FA4B21C3F72B}" presName="root1" presStyleCnt="0"/>
      <dgm:spPr/>
    </dgm:pt>
    <dgm:pt modelId="{9AB0A057-404D-44ED-B8C8-0EC73FECC1CA}" type="pres">
      <dgm:prSet presAssocID="{E8B3673D-BDA6-4DA9-ABD6-FA4B21C3F72B}" presName="LevelOneTextNode" presStyleLbl="node0" presStyleIdx="0" presStyleCnt="1">
        <dgm:presLayoutVars>
          <dgm:chPref val="3"/>
        </dgm:presLayoutVars>
      </dgm:prSet>
      <dgm:spPr/>
    </dgm:pt>
    <dgm:pt modelId="{318534C8-1F8E-4EB2-9699-05E2BFE62ABA}" type="pres">
      <dgm:prSet presAssocID="{E8B3673D-BDA6-4DA9-ABD6-FA4B21C3F72B}" presName="level2hierChild" presStyleCnt="0"/>
      <dgm:spPr/>
    </dgm:pt>
    <dgm:pt modelId="{7F7C6921-2333-4E1F-9ADF-F520619CD866}" type="pres">
      <dgm:prSet presAssocID="{6579F72E-6896-4DBA-8018-36243424E035}" presName="conn2-1" presStyleLbl="parChTrans1D2" presStyleIdx="0" presStyleCnt="5"/>
      <dgm:spPr/>
    </dgm:pt>
    <dgm:pt modelId="{D6244965-DFD1-4408-96AB-4ED75AACE839}" type="pres">
      <dgm:prSet presAssocID="{6579F72E-6896-4DBA-8018-36243424E035}" presName="connTx" presStyleLbl="parChTrans1D2" presStyleIdx="0" presStyleCnt="5"/>
      <dgm:spPr/>
    </dgm:pt>
    <dgm:pt modelId="{710FC179-3739-4738-A0EB-D53FB2094A1B}" type="pres">
      <dgm:prSet presAssocID="{A4059410-9B0F-484F-844F-E93AC4998E66}" presName="root2" presStyleCnt="0"/>
      <dgm:spPr/>
    </dgm:pt>
    <dgm:pt modelId="{67E437F3-6EB8-4120-A49A-103E89594324}" type="pres">
      <dgm:prSet presAssocID="{A4059410-9B0F-484F-844F-E93AC4998E66}" presName="LevelTwoTextNode" presStyleLbl="node2" presStyleIdx="0" presStyleCnt="5" custScaleY="122163">
        <dgm:presLayoutVars>
          <dgm:chPref val="3"/>
        </dgm:presLayoutVars>
      </dgm:prSet>
      <dgm:spPr/>
    </dgm:pt>
    <dgm:pt modelId="{AD78B04F-28D8-4C14-80AA-076EB995E093}" type="pres">
      <dgm:prSet presAssocID="{A4059410-9B0F-484F-844F-E93AC4998E66}" presName="level3hierChild" presStyleCnt="0"/>
      <dgm:spPr/>
    </dgm:pt>
    <dgm:pt modelId="{94A3A7FB-26D9-4514-8966-2D0A235C42B4}" type="pres">
      <dgm:prSet presAssocID="{433EB2E6-C581-4752-819E-3317E338113B}" presName="conn2-1" presStyleLbl="parChTrans1D3" presStyleIdx="0" presStyleCnt="4"/>
      <dgm:spPr/>
    </dgm:pt>
    <dgm:pt modelId="{AAB5F62B-FFEC-4A5B-AA1B-372381E6ABE7}" type="pres">
      <dgm:prSet presAssocID="{433EB2E6-C581-4752-819E-3317E338113B}" presName="connTx" presStyleLbl="parChTrans1D3" presStyleIdx="0" presStyleCnt="4"/>
      <dgm:spPr/>
    </dgm:pt>
    <dgm:pt modelId="{10EB1B9C-DFF0-4F24-843A-B5C89AECF958}" type="pres">
      <dgm:prSet presAssocID="{C5B1D6E8-79DF-40F0-9888-E78E36D619CD}" presName="root2" presStyleCnt="0"/>
      <dgm:spPr/>
    </dgm:pt>
    <dgm:pt modelId="{55A53353-9C56-4E3E-8512-B6480EDB275C}" type="pres">
      <dgm:prSet presAssocID="{C5B1D6E8-79DF-40F0-9888-E78E36D619CD}" presName="LevelTwoTextNode" presStyleLbl="node3" presStyleIdx="0" presStyleCnt="4">
        <dgm:presLayoutVars>
          <dgm:chPref val="3"/>
        </dgm:presLayoutVars>
      </dgm:prSet>
      <dgm:spPr/>
    </dgm:pt>
    <dgm:pt modelId="{0484653D-CEC8-4FA4-98A4-CFB4030CF968}" type="pres">
      <dgm:prSet presAssocID="{C5B1D6E8-79DF-40F0-9888-E78E36D619CD}" presName="level3hierChild" presStyleCnt="0"/>
      <dgm:spPr/>
    </dgm:pt>
    <dgm:pt modelId="{8F17284B-5CF5-4426-AC99-C403B0E8C522}" type="pres">
      <dgm:prSet presAssocID="{0B53B95D-7D83-47BC-B96A-2119D72B9144}" presName="conn2-1" presStyleLbl="parChTrans1D4" presStyleIdx="0" presStyleCnt="6"/>
      <dgm:spPr/>
    </dgm:pt>
    <dgm:pt modelId="{663BF752-8DD6-444A-B567-11C5897FE1D6}" type="pres">
      <dgm:prSet presAssocID="{0B53B95D-7D83-47BC-B96A-2119D72B9144}" presName="connTx" presStyleLbl="parChTrans1D4" presStyleIdx="0" presStyleCnt="6"/>
      <dgm:spPr/>
    </dgm:pt>
    <dgm:pt modelId="{0979D377-1873-46BD-BDD2-A7B607B7A65B}" type="pres">
      <dgm:prSet presAssocID="{1471DF1C-8B6F-4AF4-B443-DBE2AB698D91}" presName="root2" presStyleCnt="0"/>
      <dgm:spPr/>
    </dgm:pt>
    <dgm:pt modelId="{F6BC9A5B-8617-48AE-B0EB-F9DE0357207E}" type="pres">
      <dgm:prSet presAssocID="{1471DF1C-8B6F-4AF4-B443-DBE2AB698D91}" presName="LevelTwoTextNode" presStyleLbl="node4" presStyleIdx="0" presStyleCnt="6" custScaleX="114511">
        <dgm:presLayoutVars>
          <dgm:chPref val="3"/>
        </dgm:presLayoutVars>
      </dgm:prSet>
      <dgm:spPr/>
    </dgm:pt>
    <dgm:pt modelId="{837D468A-2D42-41E5-BD7A-FC7CC34B0F6F}" type="pres">
      <dgm:prSet presAssocID="{1471DF1C-8B6F-4AF4-B443-DBE2AB698D91}" presName="level3hierChild" presStyleCnt="0"/>
      <dgm:spPr/>
    </dgm:pt>
    <dgm:pt modelId="{3EA715A4-0E26-431C-B3EE-42DA336EF2A2}" type="pres">
      <dgm:prSet presAssocID="{9B725DB8-C047-4580-A01B-247330F9466F}" presName="conn2-1" presStyleLbl="parChTrans1D4" presStyleIdx="1" presStyleCnt="6"/>
      <dgm:spPr/>
    </dgm:pt>
    <dgm:pt modelId="{7B8022E2-16CA-4995-9635-E5F51C2BB726}" type="pres">
      <dgm:prSet presAssocID="{9B725DB8-C047-4580-A01B-247330F9466F}" presName="connTx" presStyleLbl="parChTrans1D4" presStyleIdx="1" presStyleCnt="6"/>
      <dgm:spPr/>
    </dgm:pt>
    <dgm:pt modelId="{E6DFE626-AE25-4882-A2C7-C9EF360F80CF}" type="pres">
      <dgm:prSet presAssocID="{30B989E8-5477-416F-B05A-91F6D3CF3A0D}" presName="root2" presStyleCnt="0"/>
      <dgm:spPr/>
    </dgm:pt>
    <dgm:pt modelId="{785F8D0E-17D2-4770-860A-A9649FEC25FC}" type="pres">
      <dgm:prSet presAssocID="{30B989E8-5477-416F-B05A-91F6D3CF3A0D}" presName="LevelTwoTextNode" presStyleLbl="node4" presStyleIdx="1" presStyleCnt="6" custScaleX="119251">
        <dgm:presLayoutVars>
          <dgm:chPref val="3"/>
        </dgm:presLayoutVars>
      </dgm:prSet>
      <dgm:spPr/>
    </dgm:pt>
    <dgm:pt modelId="{CB861CAD-8B48-404F-8185-35172B74465C}" type="pres">
      <dgm:prSet presAssocID="{30B989E8-5477-416F-B05A-91F6D3CF3A0D}" presName="level3hierChild" presStyleCnt="0"/>
      <dgm:spPr/>
    </dgm:pt>
    <dgm:pt modelId="{00B325D3-3E7D-436B-A949-3678DA96E419}" type="pres">
      <dgm:prSet presAssocID="{AE15A6D9-B7B4-434D-AE1E-D5A1F40478D3}" presName="conn2-1" presStyleLbl="parChTrans1D2" presStyleIdx="1" presStyleCnt="5"/>
      <dgm:spPr/>
    </dgm:pt>
    <dgm:pt modelId="{D8AFC708-BAB9-4512-A823-6ACCC752FAC9}" type="pres">
      <dgm:prSet presAssocID="{AE15A6D9-B7B4-434D-AE1E-D5A1F40478D3}" presName="connTx" presStyleLbl="parChTrans1D2" presStyleIdx="1" presStyleCnt="5"/>
      <dgm:spPr/>
    </dgm:pt>
    <dgm:pt modelId="{D082A0E9-72B0-42D9-A662-653C704BF7C5}" type="pres">
      <dgm:prSet presAssocID="{66696AF1-B6BC-4666-B450-4927CB3DE2FF}" presName="root2" presStyleCnt="0"/>
      <dgm:spPr/>
    </dgm:pt>
    <dgm:pt modelId="{2E175CAE-F292-42BE-B328-92CA0A91ABEA}" type="pres">
      <dgm:prSet presAssocID="{66696AF1-B6BC-4666-B450-4927CB3DE2FF}" presName="LevelTwoTextNode" presStyleLbl="node2" presStyleIdx="1" presStyleCnt="5" custScaleY="138894">
        <dgm:presLayoutVars>
          <dgm:chPref val="3"/>
        </dgm:presLayoutVars>
      </dgm:prSet>
      <dgm:spPr/>
    </dgm:pt>
    <dgm:pt modelId="{C47917D9-C428-4AC0-A4C4-40F4A3336CE9}" type="pres">
      <dgm:prSet presAssocID="{66696AF1-B6BC-4666-B450-4927CB3DE2FF}" presName="level3hierChild" presStyleCnt="0"/>
      <dgm:spPr/>
    </dgm:pt>
    <dgm:pt modelId="{1093B310-4400-4C48-B632-6C663843789F}" type="pres">
      <dgm:prSet presAssocID="{AF38406F-0760-412B-9D25-A798DBD2BE1E}" presName="conn2-1" presStyleLbl="parChTrans1D3" presStyleIdx="1" presStyleCnt="4"/>
      <dgm:spPr/>
    </dgm:pt>
    <dgm:pt modelId="{57892F37-7073-4B46-B58B-A3B73F927437}" type="pres">
      <dgm:prSet presAssocID="{AF38406F-0760-412B-9D25-A798DBD2BE1E}" presName="connTx" presStyleLbl="parChTrans1D3" presStyleIdx="1" presStyleCnt="4"/>
      <dgm:spPr/>
    </dgm:pt>
    <dgm:pt modelId="{85363B69-C3C4-42B0-84F2-A5D8F0B1999B}" type="pres">
      <dgm:prSet presAssocID="{A1C18B35-E01D-457A-86D7-8F284070DB31}" presName="root2" presStyleCnt="0"/>
      <dgm:spPr/>
    </dgm:pt>
    <dgm:pt modelId="{1810A46D-A79F-45C9-918C-5562D2BA19C2}" type="pres">
      <dgm:prSet presAssocID="{A1C18B35-E01D-457A-86D7-8F284070DB31}" presName="LevelTwoTextNode" presStyleLbl="node3" presStyleIdx="1" presStyleCnt="4">
        <dgm:presLayoutVars>
          <dgm:chPref val="3"/>
        </dgm:presLayoutVars>
      </dgm:prSet>
      <dgm:spPr/>
    </dgm:pt>
    <dgm:pt modelId="{35A0EB12-0628-420F-8CE4-9E5C1AE82868}" type="pres">
      <dgm:prSet presAssocID="{A1C18B35-E01D-457A-86D7-8F284070DB31}" presName="level3hierChild" presStyleCnt="0"/>
      <dgm:spPr/>
    </dgm:pt>
    <dgm:pt modelId="{0D3D2A59-812F-4598-ADE9-4D2B381E7BB1}" type="pres">
      <dgm:prSet presAssocID="{1A81D65E-15FF-46FC-908D-4711AE93C038}" presName="conn2-1" presStyleLbl="parChTrans1D4" presStyleIdx="2" presStyleCnt="6"/>
      <dgm:spPr/>
    </dgm:pt>
    <dgm:pt modelId="{215BFE00-D2AE-452C-AEF7-DFC456272A9A}" type="pres">
      <dgm:prSet presAssocID="{1A81D65E-15FF-46FC-908D-4711AE93C038}" presName="connTx" presStyleLbl="parChTrans1D4" presStyleIdx="2" presStyleCnt="6"/>
      <dgm:spPr/>
    </dgm:pt>
    <dgm:pt modelId="{ED55B4E2-9EA2-48F8-9A22-B84F1B1ACB50}" type="pres">
      <dgm:prSet presAssocID="{A0F228CB-036A-4A65-9606-1BCBD5C831C1}" presName="root2" presStyleCnt="0"/>
      <dgm:spPr/>
    </dgm:pt>
    <dgm:pt modelId="{54D74AC1-0620-4DEA-A7FE-48761637FDB0}" type="pres">
      <dgm:prSet presAssocID="{A0F228CB-036A-4A65-9606-1BCBD5C831C1}" presName="LevelTwoTextNode" presStyleLbl="node4" presStyleIdx="2" presStyleCnt="6" custScaleX="122036">
        <dgm:presLayoutVars>
          <dgm:chPref val="3"/>
        </dgm:presLayoutVars>
      </dgm:prSet>
      <dgm:spPr/>
    </dgm:pt>
    <dgm:pt modelId="{3F4B316B-94BB-4771-8379-41F1B54AF3DE}" type="pres">
      <dgm:prSet presAssocID="{A0F228CB-036A-4A65-9606-1BCBD5C831C1}" presName="level3hierChild" presStyleCnt="0"/>
      <dgm:spPr/>
    </dgm:pt>
    <dgm:pt modelId="{DEAB8D37-D80E-45EF-833C-A3DE0CB240B0}" type="pres">
      <dgm:prSet presAssocID="{E5627A23-BD4F-4432-935C-CF68F84A7274}" presName="conn2-1" presStyleLbl="parChTrans1D2" presStyleIdx="2" presStyleCnt="5"/>
      <dgm:spPr/>
    </dgm:pt>
    <dgm:pt modelId="{96DD6FDE-FE80-47CA-AA40-4D4170F2AD9C}" type="pres">
      <dgm:prSet presAssocID="{E5627A23-BD4F-4432-935C-CF68F84A7274}" presName="connTx" presStyleLbl="parChTrans1D2" presStyleIdx="2" presStyleCnt="5"/>
      <dgm:spPr/>
    </dgm:pt>
    <dgm:pt modelId="{5CCCE364-04B0-4263-AF11-C94E3595AA54}" type="pres">
      <dgm:prSet presAssocID="{7674FDF5-0174-442F-B729-D51C40AE5E39}" presName="root2" presStyleCnt="0"/>
      <dgm:spPr/>
    </dgm:pt>
    <dgm:pt modelId="{D5C09ED1-F908-4820-AA62-040CA830879B}" type="pres">
      <dgm:prSet presAssocID="{7674FDF5-0174-442F-B729-D51C40AE5E39}" presName="LevelTwoTextNode" presStyleLbl="node2" presStyleIdx="2" presStyleCnt="5">
        <dgm:presLayoutVars>
          <dgm:chPref val="3"/>
        </dgm:presLayoutVars>
      </dgm:prSet>
      <dgm:spPr/>
    </dgm:pt>
    <dgm:pt modelId="{1CD85F15-74DD-47F1-A3E2-8F8D7B718566}" type="pres">
      <dgm:prSet presAssocID="{7674FDF5-0174-442F-B729-D51C40AE5E39}" presName="level3hierChild" presStyleCnt="0"/>
      <dgm:spPr/>
    </dgm:pt>
    <dgm:pt modelId="{D1A1E587-5E9F-48EE-9C96-D467C78451FE}" type="pres">
      <dgm:prSet presAssocID="{D6218370-2762-4C5D-B6FF-0EDDC3DCAE75}" presName="conn2-1" presStyleLbl="parChTrans1D3" presStyleIdx="2" presStyleCnt="4"/>
      <dgm:spPr/>
    </dgm:pt>
    <dgm:pt modelId="{7903682F-581B-4D19-B02F-9328AA70099A}" type="pres">
      <dgm:prSet presAssocID="{D6218370-2762-4C5D-B6FF-0EDDC3DCAE75}" presName="connTx" presStyleLbl="parChTrans1D3" presStyleIdx="2" presStyleCnt="4"/>
      <dgm:spPr/>
    </dgm:pt>
    <dgm:pt modelId="{F107070C-138E-401C-A8A1-02239D438E8A}" type="pres">
      <dgm:prSet presAssocID="{23567BB9-A2D9-48AA-AFC3-90BBF23632B3}" presName="root2" presStyleCnt="0"/>
      <dgm:spPr/>
    </dgm:pt>
    <dgm:pt modelId="{B386E95A-447C-4842-B774-A7BCEF7208DA}" type="pres">
      <dgm:prSet presAssocID="{23567BB9-A2D9-48AA-AFC3-90BBF23632B3}" presName="LevelTwoTextNode" presStyleLbl="node3" presStyleIdx="2" presStyleCnt="4">
        <dgm:presLayoutVars>
          <dgm:chPref val="3"/>
        </dgm:presLayoutVars>
      </dgm:prSet>
      <dgm:spPr/>
    </dgm:pt>
    <dgm:pt modelId="{01437E18-B2C2-4C77-97B1-58A55FA3342C}" type="pres">
      <dgm:prSet presAssocID="{23567BB9-A2D9-48AA-AFC3-90BBF23632B3}" presName="level3hierChild" presStyleCnt="0"/>
      <dgm:spPr/>
    </dgm:pt>
    <dgm:pt modelId="{E0A30095-5083-4223-AF1E-06B1C0F54E61}" type="pres">
      <dgm:prSet presAssocID="{702CCD3F-1F7D-4584-A66D-FB5A6B96C4FA}" presName="conn2-1" presStyleLbl="parChTrans1D4" presStyleIdx="3" presStyleCnt="6"/>
      <dgm:spPr/>
    </dgm:pt>
    <dgm:pt modelId="{76851009-B220-44C7-8814-E446D02E2AED}" type="pres">
      <dgm:prSet presAssocID="{702CCD3F-1F7D-4584-A66D-FB5A6B96C4FA}" presName="connTx" presStyleLbl="parChTrans1D4" presStyleIdx="3" presStyleCnt="6"/>
      <dgm:spPr/>
    </dgm:pt>
    <dgm:pt modelId="{EF35A059-3C17-433B-A838-543EAEA6DE87}" type="pres">
      <dgm:prSet presAssocID="{BEEFAD95-6692-4CE3-9EA9-3123CCAE2477}" presName="root2" presStyleCnt="0"/>
      <dgm:spPr/>
    </dgm:pt>
    <dgm:pt modelId="{5AC33E18-1E9F-47B8-A687-F54A84A23A6A}" type="pres">
      <dgm:prSet presAssocID="{BEEFAD95-6692-4CE3-9EA9-3123CCAE2477}" presName="LevelTwoTextNode" presStyleLbl="node4" presStyleIdx="3" presStyleCnt="6" custScaleX="120913">
        <dgm:presLayoutVars>
          <dgm:chPref val="3"/>
        </dgm:presLayoutVars>
      </dgm:prSet>
      <dgm:spPr/>
    </dgm:pt>
    <dgm:pt modelId="{996B1C74-A2BA-413F-AAB1-E5D83726723C}" type="pres">
      <dgm:prSet presAssocID="{BEEFAD95-6692-4CE3-9EA9-3123CCAE2477}" presName="level3hierChild" presStyleCnt="0"/>
      <dgm:spPr/>
    </dgm:pt>
    <dgm:pt modelId="{4C684555-4E89-492E-91B9-5E8EAB7F4237}" type="pres">
      <dgm:prSet presAssocID="{9FC543B5-844C-4122-A096-7F8747246AFF}" presName="conn2-1" presStyleLbl="parChTrans1D4" presStyleIdx="4" presStyleCnt="6"/>
      <dgm:spPr/>
    </dgm:pt>
    <dgm:pt modelId="{8110CD12-4448-47D5-A5B2-B36368E12DBB}" type="pres">
      <dgm:prSet presAssocID="{9FC543B5-844C-4122-A096-7F8747246AFF}" presName="connTx" presStyleLbl="parChTrans1D4" presStyleIdx="4" presStyleCnt="6"/>
      <dgm:spPr/>
    </dgm:pt>
    <dgm:pt modelId="{A22B735D-0CEF-4EA3-BFA4-025765ECCB0E}" type="pres">
      <dgm:prSet presAssocID="{CBA9B155-2710-4841-96C4-DE503DDB7FD2}" presName="root2" presStyleCnt="0"/>
      <dgm:spPr/>
    </dgm:pt>
    <dgm:pt modelId="{4C015738-E6CE-4A86-9349-2D727CF0E5EC}" type="pres">
      <dgm:prSet presAssocID="{CBA9B155-2710-4841-96C4-DE503DDB7FD2}" presName="LevelTwoTextNode" presStyleLbl="node4" presStyleIdx="4" presStyleCnt="6" custScaleX="120913">
        <dgm:presLayoutVars>
          <dgm:chPref val="3"/>
        </dgm:presLayoutVars>
      </dgm:prSet>
      <dgm:spPr/>
    </dgm:pt>
    <dgm:pt modelId="{481E5F23-6A9D-4A34-9000-E12DE1BA4FE6}" type="pres">
      <dgm:prSet presAssocID="{CBA9B155-2710-4841-96C4-DE503DDB7FD2}" presName="level3hierChild" presStyleCnt="0"/>
      <dgm:spPr/>
    </dgm:pt>
    <dgm:pt modelId="{E57F0BDB-C6D5-49D0-A919-AC71D6602E45}" type="pres">
      <dgm:prSet presAssocID="{51DC8177-94D5-4055-9969-3108DE20B4C3}" presName="conn2-1" presStyleLbl="parChTrans1D2" presStyleIdx="3" presStyleCnt="5"/>
      <dgm:spPr/>
    </dgm:pt>
    <dgm:pt modelId="{D5447A8E-B1D7-42CF-82B4-83C2BE55E38C}" type="pres">
      <dgm:prSet presAssocID="{51DC8177-94D5-4055-9969-3108DE20B4C3}" presName="connTx" presStyleLbl="parChTrans1D2" presStyleIdx="3" presStyleCnt="5"/>
      <dgm:spPr/>
    </dgm:pt>
    <dgm:pt modelId="{D1FA41A6-07F7-49EE-8A1D-7647304562AF}" type="pres">
      <dgm:prSet presAssocID="{C252AD91-BCCD-467D-9A58-DAA8B2CCA638}" presName="root2" presStyleCnt="0"/>
      <dgm:spPr/>
    </dgm:pt>
    <dgm:pt modelId="{81BBB8D0-5CA6-4BB6-9C3A-095C339BAE1A}" type="pres">
      <dgm:prSet presAssocID="{C252AD91-BCCD-467D-9A58-DAA8B2CCA638}" presName="LevelTwoTextNode" presStyleLbl="node2" presStyleIdx="3" presStyleCnt="5">
        <dgm:presLayoutVars>
          <dgm:chPref val="3"/>
        </dgm:presLayoutVars>
      </dgm:prSet>
      <dgm:spPr/>
    </dgm:pt>
    <dgm:pt modelId="{4D0F5A32-A249-43C7-98D7-16CECA780573}" type="pres">
      <dgm:prSet presAssocID="{C252AD91-BCCD-467D-9A58-DAA8B2CCA638}" presName="level3hierChild" presStyleCnt="0"/>
      <dgm:spPr/>
    </dgm:pt>
    <dgm:pt modelId="{3E5040E0-9747-4129-8223-E49134094E90}" type="pres">
      <dgm:prSet presAssocID="{9A97888D-6D18-48EC-B903-A8B6FC8AAF2D}" presName="conn2-1" presStyleLbl="parChTrans1D3" presStyleIdx="3" presStyleCnt="4"/>
      <dgm:spPr/>
    </dgm:pt>
    <dgm:pt modelId="{634C0F45-F74A-48B4-A5B0-D92761CEA13C}" type="pres">
      <dgm:prSet presAssocID="{9A97888D-6D18-48EC-B903-A8B6FC8AAF2D}" presName="connTx" presStyleLbl="parChTrans1D3" presStyleIdx="3" presStyleCnt="4"/>
      <dgm:spPr/>
    </dgm:pt>
    <dgm:pt modelId="{5460DEF4-4A60-412D-A4A7-181CD44464CA}" type="pres">
      <dgm:prSet presAssocID="{EF2B6A14-CBB5-4255-86DF-4C0C366D0D28}" presName="root2" presStyleCnt="0"/>
      <dgm:spPr/>
    </dgm:pt>
    <dgm:pt modelId="{AF145D7B-9680-4015-8967-73C6EDC35738}" type="pres">
      <dgm:prSet presAssocID="{EF2B6A14-CBB5-4255-86DF-4C0C366D0D28}" presName="LevelTwoTextNode" presStyleLbl="node3" presStyleIdx="3" presStyleCnt="4">
        <dgm:presLayoutVars>
          <dgm:chPref val="3"/>
        </dgm:presLayoutVars>
      </dgm:prSet>
      <dgm:spPr/>
    </dgm:pt>
    <dgm:pt modelId="{65207804-3734-4E83-9EFB-9A4D4E4F1F76}" type="pres">
      <dgm:prSet presAssocID="{EF2B6A14-CBB5-4255-86DF-4C0C366D0D28}" presName="level3hierChild" presStyleCnt="0"/>
      <dgm:spPr/>
    </dgm:pt>
    <dgm:pt modelId="{6C93AE69-C967-48BA-9C04-7007F4E5832A}" type="pres">
      <dgm:prSet presAssocID="{15D2D7FF-9390-4CC5-8184-BD5E05D7FEB5}" presName="conn2-1" presStyleLbl="parChTrans1D4" presStyleIdx="5" presStyleCnt="6"/>
      <dgm:spPr/>
    </dgm:pt>
    <dgm:pt modelId="{2C82C145-935E-4C1A-90AE-4627769071A3}" type="pres">
      <dgm:prSet presAssocID="{15D2D7FF-9390-4CC5-8184-BD5E05D7FEB5}" presName="connTx" presStyleLbl="parChTrans1D4" presStyleIdx="5" presStyleCnt="6"/>
      <dgm:spPr/>
    </dgm:pt>
    <dgm:pt modelId="{226A6EA4-C2F7-4069-BEBF-5C487EC4EA67}" type="pres">
      <dgm:prSet presAssocID="{E50941B1-D4E4-49EF-A108-E125C787E702}" presName="root2" presStyleCnt="0"/>
      <dgm:spPr/>
    </dgm:pt>
    <dgm:pt modelId="{E7C092F8-ABE2-47FE-BA52-C817121FEF25}" type="pres">
      <dgm:prSet presAssocID="{E50941B1-D4E4-49EF-A108-E125C787E702}" presName="LevelTwoTextNode" presStyleLbl="node4" presStyleIdx="5" presStyleCnt="6" custScaleX="126237">
        <dgm:presLayoutVars>
          <dgm:chPref val="3"/>
        </dgm:presLayoutVars>
      </dgm:prSet>
      <dgm:spPr/>
    </dgm:pt>
    <dgm:pt modelId="{CF989F30-4CCA-4C9C-BF76-A0A3B3965BC1}" type="pres">
      <dgm:prSet presAssocID="{E50941B1-D4E4-49EF-A108-E125C787E702}" presName="level3hierChild" presStyleCnt="0"/>
      <dgm:spPr/>
    </dgm:pt>
    <dgm:pt modelId="{FEDBD534-22A4-465F-80D2-1F5AB1900591}" type="pres">
      <dgm:prSet presAssocID="{DBC44E3F-3C7B-431B-A780-6BD75620EB3D}" presName="conn2-1" presStyleLbl="parChTrans1D2" presStyleIdx="4" presStyleCnt="5"/>
      <dgm:spPr/>
    </dgm:pt>
    <dgm:pt modelId="{CFC78451-16F6-4C55-982B-5046441F8605}" type="pres">
      <dgm:prSet presAssocID="{DBC44E3F-3C7B-431B-A780-6BD75620EB3D}" presName="connTx" presStyleLbl="parChTrans1D2" presStyleIdx="4" presStyleCnt="5"/>
      <dgm:spPr/>
    </dgm:pt>
    <dgm:pt modelId="{76A06A81-DE7D-4286-B2F7-23DDB847F2EB}" type="pres">
      <dgm:prSet presAssocID="{7018968A-8292-46DA-BD71-9F7AEDB10FC2}" presName="root2" presStyleCnt="0"/>
      <dgm:spPr/>
    </dgm:pt>
    <dgm:pt modelId="{6CF0A02E-E0AE-4EB4-9155-408A1944215F}" type="pres">
      <dgm:prSet presAssocID="{7018968A-8292-46DA-BD71-9F7AEDB10FC2}" presName="LevelTwoTextNode" presStyleLbl="node2" presStyleIdx="4" presStyleCnt="5">
        <dgm:presLayoutVars>
          <dgm:chPref val="3"/>
        </dgm:presLayoutVars>
      </dgm:prSet>
      <dgm:spPr/>
    </dgm:pt>
    <dgm:pt modelId="{A5DDE1CE-6BEF-4795-9B4D-1C2FBABFE79B}" type="pres">
      <dgm:prSet presAssocID="{7018968A-8292-46DA-BD71-9F7AEDB10FC2}" presName="level3hierChild" presStyleCnt="0"/>
      <dgm:spPr/>
    </dgm:pt>
  </dgm:ptLst>
  <dgm:cxnLst>
    <dgm:cxn modelId="{7B827D01-F1E6-4FF0-84BE-88E61B4D1BB1}" type="presOf" srcId="{E8B3673D-BDA6-4DA9-ABD6-FA4B21C3F72B}" destId="{9AB0A057-404D-44ED-B8C8-0EC73FECC1CA}" srcOrd="0" destOrd="0" presId="urn:microsoft.com/office/officeart/2005/8/layout/hierarchy2"/>
    <dgm:cxn modelId="{40955E05-6152-4EA6-8F5E-7F92B5F4BE10}" type="presOf" srcId="{0B53B95D-7D83-47BC-B96A-2119D72B9144}" destId="{8F17284B-5CF5-4426-AC99-C403B0E8C522}" srcOrd="0" destOrd="0" presId="urn:microsoft.com/office/officeart/2005/8/layout/hierarchy2"/>
    <dgm:cxn modelId="{7AF39C08-A345-4499-B7B9-9615B655283C}" type="presOf" srcId="{BEEFAD95-6692-4CE3-9EA9-3123CCAE2477}" destId="{5AC33E18-1E9F-47B8-A687-F54A84A23A6A}" srcOrd="0" destOrd="0" presId="urn:microsoft.com/office/officeart/2005/8/layout/hierarchy2"/>
    <dgm:cxn modelId="{C631B018-E30D-4FA0-AB46-23B40B66BEF6}" type="presOf" srcId="{AE15A6D9-B7B4-434D-AE1E-D5A1F40478D3}" destId="{D8AFC708-BAB9-4512-A823-6ACCC752FAC9}" srcOrd="1" destOrd="0" presId="urn:microsoft.com/office/officeart/2005/8/layout/hierarchy2"/>
    <dgm:cxn modelId="{B154E118-1643-49C9-AAB2-BC32FC8D3863}" srcId="{E8B3673D-BDA6-4DA9-ABD6-FA4B21C3F72B}" destId="{C252AD91-BCCD-467D-9A58-DAA8B2CCA638}" srcOrd="3" destOrd="0" parTransId="{51DC8177-94D5-4055-9969-3108DE20B4C3}" sibTransId="{C8785E6F-00B7-43E3-B4DF-18BA6EECE080}"/>
    <dgm:cxn modelId="{0125951B-D6FC-468F-88BC-6368BE1BAE60}" type="presOf" srcId="{66696AF1-B6BC-4666-B450-4927CB3DE2FF}" destId="{2E175CAE-F292-42BE-B328-92CA0A91ABEA}" srcOrd="0" destOrd="0" presId="urn:microsoft.com/office/officeart/2005/8/layout/hierarchy2"/>
    <dgm:cxn modelId="{06979322-CFEA-4CE5-9CB2-FFB8FFA35971}" type="presOf" srcId="{15D2D7FF-9390-4CC5-8184-BD5E05D7FEB5}" destId="{2C82C145-935E-4C1A-90AE-4627769071A3}" srcOrd="1" destOrd="0" presId="urn:microsoft.com/office/officeart/2005/8/layout/hierarchy2"/>
    <dgm:cxn modelId="{6EDCDA22-DA29-419C-BC6C-BB0C76FD4F48}" type="presOf" srcId="{E5627A23-BD4F-4432-935C-CF68F84A7274}" destId="{96DD6FDE-FE80-47CA-AA40-4D4170F2AD9C}" srcOrd="1" destOrd="0" presId="urn:microsoft.com/office/officeart/2005/8/layout/hierarchy2"/>
    <dgm:cxn modelId="{D283CD27-91CE-49C6-B8C4-1BF973869F55}" type="presOf" srcId="{D6218370-2762-4C5D-B6FF-0EDDC3DCAE75}" destId="{D1A1E587-5E9F-48EE-9C96-D467C78451FE}" srcOrd="0" destOrd="0" presId="urn:microsoft.com/office/officeart/2005/8/layout/hierarchy2"/>
    <dgm:cxn modelId="{94163E29-5745-47AB-8E2E-F7207F191ECC}" srcId="{C252AD91-BCCD-467D-9A58-DAA8B2CCA638}" destId="{EF2B6A14-CBB5-4255-86DF-4C0C366D0D28}" srcOrd="0" destOrd="0" parTransId="{9A97888D-6D18-48EC-B903-A8B6FC8AAF2D}" sibTransId="{3AC239E3-A20A-4D63-8FBF-FC0EB0C122D4}"/>
    <dgm:cxn modelId="{9BBAC92C-DE00-46DC-8662-46C7492ED942}" srcId="{D181946E-5836-4DAE-A856-3C37E91B9513}" destId="{E8B3673D-BDA6-4DA9-ABD6-FA4B21C3F72B}" srcOrd="0" destOrd="0" parTransId="{802AAF5E-F72F-4F65-8466-C97732A840E7}" sibTransId="{2DD38211-DBB4-411C-82F3-CD745AD446EA}"/>
    <dgm:cxn modelId="{FA5AF32F-C51A-420F-B801-8F28CA94288B}" type="presOf" srcId="{51DC8177-94D5-4055-9969-3108DE20B4C3}" destId="{D5447A8E-B1D7-42CF-82B4-83C2BE55E38C}" srcOrd="1" destOrd="0" presId="urn:microsoft.com/office/officeart/2005/8/layout/hierarchy2"/>
    <dgm:cxn modelId="{58030830-70C4-4C61-839F-099264C7BFF5}" type="presOf" srcId="{1A81D65E-15FF-46FC-908D-4711AE93C038}" destId="{0D3D2A59-812F-4598-ADE9-4D2B381E7BB1}" srcOrd="0" destOrd="0" presId="urn:microsoft.com/office/officeart/2005/8/layout/hierarchy2"/>
    <dgm:cxn modelId="{74B53930-E05C-4E18-88E3-05DEB9C70FE8}" type="presOf" srcId="{9A97888D-6D18-48EC-B903-A8B6FC8AAF2D}" destId="{634C0F45-F74A-48B4-A5B0-D92761CEA13C}" srcOrd="1" destOrd="0" presId="urn:microsoft.com/office/officeart/2005/8/layout/hierarchy2"/>
    <dgm:cxn modelId="{80EB1534-DEC6-434B-9869-2C601E33B299}" type="presOf" srcId="{D6218370-2762-4C5D-B6FF-0EDDC3DCAE75}" destId="{7903682F-581B-4D19-B02F-9328AA70099A}" srcOrd="1" destOrd="0" presId="urn:microsoft.com/office/officeart/2005/8/layout/hierarchy2"/>
    <dgm:cxn modelId="{22D7685D-22A2-4B66-999E-0B31BDCED343}" srcId="{A1C18B35-E01D-457A-86D7-8F284070DB31}" destId="{A0F228CB-036A-4A65-9606-1BCBD5C831C1}" srcOrd="0" destOrd="0" parTransId="{1A81D65E-15FF-46FC-908D-4711AE93C038}" sibTransId="{FCBEB68A-89FF-435E-A6E6-2E4D32E7F399}"/>
    <dgm:cxn modelId="{C88C345F-591F-4A5A-A342-34088839595D}" type="presOf" srcId="{E5627A23-BD4F-4432-935C-CF68F84A7274}" destId="{DEAB8D37-D80E-45EF-833C-A3DE0CB240B0}" srcOrd="0" destOrd="0" presId="urn:microsoft.com/office/officeart/2005/8/layout/hierarchy2"/>
    <dgm:cxn modelId="{0B0AFF41-C8B4-4085-83E0-8E4E39E27665}" type="presOf" srcId="{AE15A6D9-B7B4-434D-AE1E-D5A1F40478D3}" destId="{00B325D3-3E7D-436B-A949-3678DA96E419}" srcOrd="0" destOrd="0" presId="urn:microsoft.com/office/officeart/2005/8/layout/hierarchy2"/>
    <dgm:cxn modelId="{1E01D942-2088-4CE6-BE3B-F01C398D8669}" type="presOf" srcId="{A0F228CB-036A-4A65-9606-1BCBD5C831C1}" destId="{54D74AC1-0620-4DEA-A7FE-48761637FDB0}" srcOrd="0" destOrd="0" presId="urn:microsoft.com/office/officeart/2005/8/layout/hierarchy2"/>
    <dgm:cxn modelId="{1FB2F543-28B5-4EEF-AF5E-1C52D978994C}" type="presOf" srcId="{E50941B1-D4E4-49EF-A108-E125C787E702}" destId="{E7C092F8-ABE2-47FE-BA52-C817121FEF25}" srcOrd="0" destOrd="0" presId="urn:microsoft.com/office/officeart/2005/8/layout/hierarchy2"/>
    <dgm:cxn modelId="{76A74264-51B0-4B73-BCD8-CD46038CB53E}" type="presOf" srcId="{6579F72E-6896-4DBA-8018-36243424E035}" destId="{D6244965-DFD1-4408-96AB-4ED75AACE839}" srcOrd="1" destOrd="0" presId="urn:microsoft.com/office/officeart/2005/8/layout/hierarchy2"/>
    <dgm:cxn modelId="{17117168-7870-4912-BCEC-AAA8888D95F1}" srcId="{C5B1D6E8-79DF-40F0-9888-E78E36D619CD}" destId="{30B989E8-5477-416F-B05A-91F6D3CF3A0D}" srcOrd="1" destOrd="0" parTransId="{9B725DB8-C047-4580-A01B-247330F9466F}" sibTransId="{5296FC1A-9565-4448-9253-85B8F34C654C}"/>
    <dgm:cxn modelId="{6DA87C4E-325B-45B4-BA21-B69149344CC9}" type="presOf" srcId="{1A81D65E-15FF-46FC-908D-4711AE93C038}" destId="{215BFE00-D2AE-452C-AEF7-DFC456272A9A}" srcOrd="1" destOrd="0" presId="urn:microsoft.com/office/officeart/2005/8/layout/hierarchy2"/>
    <dgm:cxn modelId="{42CE2B70-7CA9-4DC7-B27E-492B98544031}" srcId="{A4059410-9B0F-484F-844F-E93AC4998E66}" destId="{C5B1D6E8-79DF-40F0-9888-E78E36D619CD}" srcOrd="0" destOrd="0" parTransId="{433EB2E6-C581-4752-819E-3317E338113B}" sibTransId="{688FBB23-AB0D-4A9A-9E45-93A21FC6BE33}"/>
    <dgm:cxn modelId="{16B2F871-B174-429F-BDC0-9A106102EF6D}" type="presOf" srcId="{7018968A-8292-46DA-BD71-9F7AEDB10FC2}" destId="{6CF0A02E-E0AE-4EB4-9155-408A1944215F}" srcOrd="0" destOrd="0" presId="urn:microsoft.com/office/officeart/2005/8/layout/hierarchy2"/>
    <dgm:cxn modelId="{BE807F55-7443-4A27-A3CF-D14881B580A0}" type="presOf" srcId="{A4059410-9B0F-484F-844F-E93AC4998E66}" destId="{67E437F3-6EB8-4120-A49A-103E89594324}" srcOrd="0" destOrd="0" presId="urn:microsoft.com/office/officeart/2005/8/layout/hierarchy2"/>
    <dgm:cxn modelId="{7012D455-7A68-40FD-A8AE-4DBE6CCB78B3}" srcId="{E8B3673D-BDA6-4DA9-ABD6-FA4B21C3F72B}" destId="{7674FDF5-0174-442F-B729-D51C40AE5E39}" srcOrd="2" destOrd="0" parTransId="{E5627A23-BD4F-4432-935C-CF68F84A7274}" sibTransId="{B8098630-DD36-429A-B8EF-C71A9B0C918B}"/>
    <dgm:cxn modelId="{7B52837B-C526-45C7-9B05-FEFEE6E28A62}" type="presOf" srcId="{D181946E-5836-4DAE-A856-3C37E91B9513}" destId="{3DB22D45-BEBA-4188-A349-CC1912488C63}" srcOrd="0" destOrd="0" presId="urn:microsoft.com/office/officeart/2005/8/layout/hierarchy2"/>
    <dgm:cxn modelId="{1EB4527D-4962-4B58-AD87-64470848D2A0}" type="presOf" srcId="{51DC8177-94D5-4055-9969-3108DE20B4C3}" destId="{E57F0BDB-C6D5-49D0-A919-AC71D6602E45}" srcOrd="0" destOrd="0" presId="urn:microsoft.com/office/officeart/2005/8/layout/hierarchy2"/>
    <dgm:cxn modelId="{E1E1A27D-3EC4-4101-B8AA-33F5C1B27679}" type="presOf" srcId="{702CCD3F-1F7D-4584-A66D-FB5A6B96C4FA}" destId="{E0A30095-5083-4223-AF1E-06B1C0F54E61}" srcOrd="0" destOrd="0" presId="urn:microsoft.com/office/officeart/2005/8/layout/hierarchy2"/>
    <dgm:cxn modelId="{D8008E8A-22D5-4272-BA05-9C5DEF3B2B05}" srcId="{7674FDF5-0174-442F-B729-D51C40AE5E39}" destId="{23567BB9-A2D9-48AA-AFC3-90BBF23632B3}" srcOrd="0" destOrd="0" parTransId="{D6218370-2762-4C5D-B6FF-0EDDC3DCAE75}" sibTransId="{B7EB28DC-810E-4762-8D55-B95EBF915FDC}"/>
    <dgm:cxn modelId="{7AAD4E93-AB58-425F-A060-884B827780E2}" type="presOf" srcId="{7674FDF5-0174-442F-B729-D51C40AE5E39}" destId="{D5C09ED1-F908-4820-AA62-040CA830879B}" srcOrd="0" destOrd="0" presId="urn:microsoft.com/office/officeart/2005/8/layout/hierarchy2"/>
    <dgm:cxn modelId="{2E1A2596-10AD-42BC-ACE6-B2D570DA8967}" type="presOf" srcId="{DBC44E3F-3C7B-431B-A780-6BD75620EB3D}" destId="{CFC78451-16F6-4C55-982B-5046441F8605}" srcOrd="1" destOrd="0" presId="urn:microsoft.com/office/officeart/2005/8/layout/hierarchy2"/>
    <dgm:cxn modelId="{25687A96-25F1-4B16-9AF2-4FD24DC9C134}" type="presOf" srcId="{EF2B6A14-CBB5-4255-86DF-4C0C366D0D28}" destId="{AF145D7B-9680-4015-8967-73C6EDC35738}" srcOrd="0" destOrd="0" presId="urn:microsoft.com/office/officeart/2005/8/layout/hierarchy2"/>
    <dgm:cxn modelId="{DBC78499-C60B-43A8-9B9C-ABD36F511F08}" type="presOf" srcId="{C252AD91-BCCD-467D-9A58-DAA8B2CCA638}" destId="{81BBB8D0-5CA6-4BB6-9C3A-095C339BAE1A}" srcOrd="0" destOrd="0" presId="urn:microsoft.com/office/officeart/2005/8/layout/hierarchy2"/>
    <dgm:cxn modelId="{DC4DA79A-863C-4A13-95D0-1395330CA892}" type="presOf" srcId="{23567BB9-A2D9-48AA-AFC3-90BBF23632B3}" destId="{B386E95A-447C-4842-B774-A7BCEF7208DA}" srcOrd="0" destOrd="0" presId="urn:microsoft.com/office/officeart/2005/8/layout/hierarchy2"/>
    <dgm:cxn modelId="{020C25A9-00CF-47A4-9887-F2F2671D5A34}" srcId="{E8B3673D-BDA6-4DA9-ABD6-FA4B21C3F72B}" destId="{7018968A-8292-46DA-BD71-9F7AEDB10FC2}" srcOrd="4" destOrd="0" parTransId="{DBC44E3F-3C7B-431B-A780-6BD75620EB3D}" sibTransId="{3DE7080A-120D-4FB4-836C-F26DAD07CD45}"/>
    <dgm:cxn modelId="{76D469AD-8970-4183-97BA-3CC5529541E8}" type="presOf" srcId="{9A97888D-6D18-48EC-B903-A8B6FC8AAF2D}" destId="{3E5040E0-9747-4129-8223-E49134094E90}" srcOrd="0" destOrd="0" presId="urn:microsoft.com/office/officeart/2005/8/layout/hierarchy2"/>
    <dgm:cxn modelId="{C232A6AD-064D-4D9B-92A8-F761CC1D5539}" type="presOf" srcId="{1471DF1C-8B6F-4AF4-B443-DBE2AB698D91}" destId="{F6BC9A5B-8617-48AE-B0EB-F9DE0357207E}" srcOrd="0" destOrd="0" presId="urn:microsoft.com/office/officeart/2005/8/layout/hierarchy2"/>
    <dgm:cxn modelId="{54D1BFAD-CF46-49C4-80A9-E270DEEA9A21}" type="presOf" srcId="{AF38406F-0760-412B-9D25-A798DBD2BE1E}" destId="{1093B310-4400-4C48-B632-6C663843789F}" srcOrd="0" destOrd="0" presId="urn:microsoft.com/office/officeart/2005/8/layout/hierarchy2"/>
    <dgm:cxn modelId="{F71089AF-F760-4064-9A3B-020C471DD29B}" type="presOf" srcId="{6579F72E-6896-4DBA-8018-36243424E035}" destId="{7F7C6921-2333-4E1F-9ADF-F520619CD866}" srcOrd="0" destOrd="0" presId="urn:microsoft.com/office/officeart/2005/8/layout/hierarchy2"/>
    <dgm:cxn modelId="{F9C25EB0-8709-4811-BADB-E1B5E79A5C2B}" type="presOf" srcId="{702CCD3F-1F7D-4584-A66D-FB5A6B96C4FA}" destId="{76851009-B220-44C7-8814-E446D02E2AED}" srcOrd="1" destOrd="0" presId="urn:microsoft.com/office/officeart/2005/8/layout/hierarchy2"/>
    <dgm:cxn modelId="{DE5D58B0-0798-4B36-8CFF-0E5129963CD6}" type="presOf" srcId="{9FC543B5-844C-4122-A096-7F8747246AFF}" destId="{4C684555-4E89-492E-91B9-5E8EAB7F4237}" srcOrd="0" destOrd="0" presId="urn:microsoft.com/office/officeart/2005/8/layout/hierarchy2"/>
    <dgm:cxn modelId="{76E39AB0-07AA-44C5-8D29-DF6F6E27D0B7}" type="presOf" srcId="{AF38406F-0760-412B-9D25-A798DBD2BE1E}" destId="{57892F37-7073-4B46-B58B-A3B73F927437}" srcOrd="1" destOrd="0" presId="urn:microsoft.com/office/officeart/2005/8/layout/hierarchy2"/>
    <dgm:cxn modelId="{16336DB8-D9D0-47D4-A328-FABE2161D41B}" type="presOf" srcId="{433EB2E6-C581-4752-819E-3317E338113B}" destId="{AAB5F62B-FFEC-4A5B-AA1B-372381E6ABE7}" srcOrd="1" destOrd="0" presId="urn:microsoft.com/office/officeart/2005/8/layout/hierarchy2"/>
    <dgm:cxn modelId="{DA8FCFC4-B90E-4143-8971-D461ADC140D6}" type="presOf" srcId="{9B725DB8-C047-4580-A01B-247330F9466F}" destId="{7B8022E2-16CA-4995-9635-E5F51C2BB726}" srcOrd="1" destOrd="0" presId="urn:microsoft.com/office/officeart/2005/8/layout/hierarchy2"/>
    <dgm:cxn modelId="{FD4A1ACA-1A70-4F26-9415-40CCFBA831AD}" type="presOf" srcId="{9FC543B5-844C-4122-A096-7F8747246AFF}" destId="{8110CD12-4448-47D5-A5B2-B36368E12DBB}" srcOrd="1" destOrd="0" presId="urn:microsoft.com/office/officeart/2005/8/layout/hierarchy2"/>
    <dgm:cxn modelId="{06735CCB-E606-47FF-8250-B382D1BCCC2F}" srcId="{66696AF1-B6BC-4666-B450-4927CB3DE2FF}" destId="{A1C18B35-E01D-457A-86D7-8F284070DB31}" srcOrd="0" destOrd="0" parTransId="{AF38406F-0760-412B-9D25-A798DBD2BE1E}" sibTransId="{B96FB483-5A6D-4121-B272-50D7357BC661}"/>
    <dgm:cxn modelId="{CB1F5CCD-4CB3-481A-B068-86BBDDEB2535}" srcId="{23567BB9-A2D9-48AA-AFC3-90BBF23632B3}" destId="{BEEFAD95-6692-4CE3-9EA9-3123CCAE2477}" srcOrd="0" destOrd="0" parTransId="{702CCD3F-1F7D-4584-A66D-FB5A6B96C4FA}" sibTransId="{D4590E11-79B9-4EB6-BCB4-FBEED887B6BA}"/>
    <dgm:cxn modelId="{996E25CE-8966-43CE-90D1-5839723748E9}" type="presOf" srcId="{15D2D7FF-9390-4CC5-8184-BD5E05D7FEB5}" destId="{6C93AE69-C967-48BA-9C04-7007F4E5832A}" srcOrd="0" destOrd="0" presId="urn:microsoft.com/office/officeart/2005/8/layout/hierarchy2"/>
    <dgm:cxn modelId="{1C4802D1-9309-436F-A055-D735B21F849E}" srcId="{C5B1D6E8-79DF-40F0-9888-E78E36D619CD}" destId="{1471DF1C-8B6F-4AF4-B443-DBE2AB698D91}" srcOrd="0" destOrd="0" parTransId="{0B53B95D-7D83-47BC-B96A-2119D72B9144}" sibTransId="{955468FA-B85C-4176-8B06-81E6B18BB1FE}"/>
    <dgm:cxn modelId="{1FEE43D4-5094-4690-B43F-E49A5CCDE16B}" type="presOf" srcId="{C5B1D6E8-79DF-40F0-9888-E78E36D619CD}" destId="{55A53353-9C56-4E3E-8512-B6480EDB275C}" srcOrd="0" destOrd="0" presId="urn:microsoft.com/office/officeart/2005/8/layout/hierarchy2"/>
    <dgm:cxn modelId="{38D356D8-9516-4376-B3F5-5D036B5E0FB9}" type="presOf" srcId="{A1C18B35-E01D-457A-86D7-8F284070DB31}" destId="{1810A46D-A79F-45C9-918C-5562D2BA19C2}" srcOrd="0" destOrd="0" presId="urn:microsoft.com/office/officeart/2005/8/layout/hierarchy2"/>
    <dgm:cxn modelId="{3AA0ACDA-23B9-47BF-BEE4-102B2BF28377}" srcId="{23567BB9-A2D9-48AA-AFC3-90BBF23632B3}" destId="{CBA9B155-2710-4841-96C4-DE503DDB7FD2}" srcOrd="1" destOrd="0" parTransId="{9FC543B5-844C-4122-A096-7F8747246AFF}" sibTransId="{724977C3-B8AA-425D-8CC1-6B804082FBD4}"/>
    <dgm:cxn modelId="{5FB163DE-8115-4924-9589-FC70112B4415}" srcId="{E8B3673D-BDA6-4DA9-ABD6-FA4B21C3F72B}" destId="{66696AF1-B6BC-4666-B450-4927CB3DE2FF}" srcOrd="1" destOrd="0" parTransId="{AE15A6D9-B7B4-434D-AE1E-D5A1F40478D3}" sibTransId="{ABE79400-2DE4-4907-8AB2-4BB8674A8C00}"/>
    <dgm:cxn modelId="{25143BE0-C25E-488E-8B8E-F1D7621141ED}" type="presOf" srcId="{30B989E8-5477-416F-B05A-91F6D3CF3A0D}" destId="{785F8D0E-17D2-4770-860A-A9649FEC25FC}" srcOrd="0" destOrd="0" presId="urn:microsoft.com/office/officeart/2005/8/layout/hierarchy2"/>
    <dgm:cxn modelId="{84BBB0E0-6B38-4DE6-B537-FFD1E4E93F86}" type="presOf" srcId="{433EB2E6-C581-4752-819E-3317E338113B}" destId="{94A3A7FB-26D9-4514-8966-2D0A235C42B4}" srcOrd="0" destOrd="0" presId="urn:microsoft.com/office/officeart/2005/8/layout/hierarchy2"/>
    <dgm:cxn modelId="{21C273E9-5942-4ECC-97E0-E470304B411F}" type="presOf" srcId="{0B53B95D-7D83-47BC-B96A-2119D72B9144}" destId="{663BF752-8DD6-444A-B567-11C5897FE1D6}" srcOrd="1" destOrd="0" presId="urn:microsoft.com/office/officeart/2005/8/layout/hierarchy2"/>
    <dgm:cxn modelId="{3E0C3AED-1E6F-446C-9159-F9D7C78E7A55}" type="presOf" srcId="{CBA9B155-2710-4841-96C4-DE503DDB7FD2}" destId="{4C015738-E6CE-4A86-9349-2D727CF0E5EC}" srcOrd="0" destOrd="0" presId="urn:microsoft.com/office/officeart/2005/8/layout/hierarchy2"/>
    <dgm:cxn modelId="{3B44E5F1-76A0-4D48-B581-8374EC1047C5}" type="presOf" srcId="{9B725DB8-C047-4580-A01B-247330F9466F}" destId="{3EA715A4-0E26-431C-B3EE-42DA336EF2A2}" srcOrd="0" destOrd="0" presId="urn:microsoft.com/office/officeart/2005/8/layout/hierarchy2"/>
    <dgm:cxn modelId="{BBB5BAF8-F592-456F-9A83-54334D11F834}" srcId="{E8B3673D-BDA6-4DA9-ABD6-FA4B21C3F72B}" destId="{A4059410-9B0F-484F-844F-E93AC4998E66}" srcOrd="0" destOrd="0" parTransId="{6579F72E-6896-4DBA-8018-36243424E035}" sibTransId="{2D0820E8-EA0D-4D5C-A9C6-1380776DD15F}"/>
    <dgm:cxn modelId="{BDD9FFFC-B90B-4C8C-8821-B30A0F9F5190}" srcId="{EF2B6A14-CBB5-4255-86DF-4C0C366D0D28}" destId="{E50941B1-D4E4-49EF-A108-E125C787E702}" srcOrd="0" destOrd="0" parTransId="{15D2D7FF-9390-4CC5-8184-BD5E05D7FEB5}" sibTransId="{16876659-FA83-4A53-93DD-903F78249689}"/>
    <dgm:cxn modelId="{57687AFE-21B2-4690-A200-93F804107B49}" type="presOf" srcId="{DBC44E3F-3C7B-431B-A780-6BD75620EB3D}" destId="{FEDBD534-22A4-465F-80D2-1F5AB1900591}" srcOrd="0" destOrd="0" presId="urn:microsoft.com/office/officeart/2005/8/layout/hierarchy2"/>
    <dgm:cxn modelId="{E340C393-5BB2-4081-A390-42237A00FC17}" type="presParOf" srcId="{3DB22D45-BEBA-4188-A349-CC1912488C63}" destId="{F6700E2E-D874-4AB8-B024-B140C5BA39E6}" srcOrd="0" destOrd="0" presId="urn:microsoft.com/office/officeart/2005/8/layout/hierarchy2"/>
    <dgm:cxn modelId="{BB50390F-3635-41BF-A568-F6492CBA2AA5}" type="presParOf" srcId="{F6700E2E-D874-4AB8-B024-B140C5BA39E6}" destId="{9AB0A057-404D-44ED-B8C8-0EC73FECC1CA}" srcOrd="0" destOrd="0" presId="urn:microsoft.com/office/officeart/2005/8/layout/hierarchy2"/>
    <dgm:cxn modelId="{2CCECA6B-2C88-4DA9-99BB-572AD9DFE744}" type="presParOf" srcId="{F6700E2E-D874-4AB8-B024-B140C5BA39E6}" destId="{318534C8-1F8E-4EB2-9699-05E2BFE62ABA}" srcOrd="1" destOrd="0" presId="urn:microsoft.com/office/officeart/2005/8/layout/hierarchy2"/>
    <dgm:cxn modelId="{1BA841B3-B0BC-434B-8B93-A90BA39BE8B3}" type="presParOf" srcId="{318534C8-1F8E-4EB2-9699-05E2BFE62ABA}" destId="{7F7C6921-2333-4E1F-9ADF-F520619CD866}" srcOrd="0" destOrd="0" presId="urn:microsoft.com/office/officeart/2005/8/layout/hierarchy2"/>
    <dgm:cxn modelId="{23EF4B0A-6407-4EBE-9E34-4F7EBD505A42}" type="presParOf" srcId="{7F7C6921-2333-4E1F-9ADF-F520619CD866}" destId="{D6244965-DFD1-4408-96AB-4ED75AACE839}" srcOrd="0" destOrd="0" presId="urn:microsoft.com/office/officeart/2005/8/layout/hierarchy2"/>
    <dgm:cxn modelId="{47F0B382-DE0A-4C0D-9867-9905A1766525}" type="presParOf" srcId="{318534C8-1F8E-4EB2-9699-05E2BFE62ABA}" destId="{710FC179-3739-4738-A0EB-D53FB2094A1B}" srcOrd="1" destOrd="0" presId="urn:microsoft.com/office/officeart/2005/8/layout/hierarchy2"/>
    <dgm:cxn modelId="{B93C4FCA-F81B-49C1-8FD0-01DE450AD563}" type="presParOf" srcId="{710FC179-3739-4738-A0EB-D53FB2094A1B}" destId="{67E437F3-6EB8-4120-A49A-103E89594324}" srcOrd="0" destOrd="0" presId="urn:microsoft.com/office/officeart/2005/8/layout/hierarchy2"/>
    <dgm:cxn modelId="{B8B37D71-C732-4CD5-BDEF-FC937FDDFF97}" type="presParOf" srcId="{710FC179-3739-4738-A0EB-D53FB2094A1B}" destId="{AD78B04F-28D8-4C14-80AA-076EB995E093}" srcOrd="1" destOrd="0" presId="urn:microsoft.com/office/officeart/2005/8/layout/hierarchy2"/>
    <dgm:cxn modelId="{7ED21385-79C6-4920-8922-28548724CCC2}" type="presParOf" srcId="{AD78B04F-28D8-4C14-80AA-076EB995E093}" destId="{94A3A7FB-26D9-4514-8966-2D0A235C42B4}" srcOrd="0" destOrd="0" presId="urn:microsoft.com/office/officeart/2005/8/layout/hierarchy2"/>
    <dgm:cxn modelId="{BE591908-8CAC-4B4B-8808-5EA9C123B3E5}" type="presParOf" srcId="{94A3A7FB-26D9-4514-8966-2D0A235C42B4}" destId="{AAB5F62B-FFEC-4A5B-AA1B-372381E6ABE7}" srcOrd="0" destOrd="0" presId="urn:microsoft.com/office/officeart/2005/8/layout/hierarchy2"/>
    <dgm:cxn modelId="{056DF68D-EEC0-4F35-AC89-C5F7D1C9972C}" type="presParOf" srcId="{AD78B04F-28D8-4C14-80AA-076EB995E093}" destId="{10EB1B9C-DFF0-4F24-843A-B5C89AECF958}" srcOrd="1" destOrd="0" presId="urn:microsoft.com/office/officeart/2005/8/layout/hierarchy2"/>
    <dgm:cxn modelId="{E3E10E08-D8B2-463D-8612-3525ED171CCE}" type="presParOf" srcId="{10EB1B9C-DFF0-4F24-843A-B5C89AECF958}" destId="{55A53353-9C56-4E3E-8512-B6480EDB275C}" srcOrd="0" destOrd="0" presId="urn:microsoft.com/office/officeart/2005/8/layout/hierarchy2"/>
    <dgm:cxn modelId="{EAF6BFB9-9758-40A6-8169-7EF5FB76F906}" type="presParOf" srcId="{10EB1B9C-DFF0-4F24-843A-B5C89AECF958}" destId="{0484653D-CEC8-4FA4-98A4-CFB4030CF968}" srcOrd="1" destOrd="0" presId="urn:microsoft.com/office/officeart/2005/8/layout/hierarchy2"/>
    <dgm:cxn modelId="{032EBCAB-EC7C-43B3-B061-65D1EDD09560}" type="presParOf" srcId="{0484653D-CEC8-4FA4-98A4-CFB4030CF968}" destId="{8F17284B-5CF5-4426-AC99-C403B0E8C522}" srcOrd="0" destOrd="0" presId="urn:microsoft.com/office/officeart/2005/8/layout/hierarchy2"/>
    <dgm:cxn modelId="{55014912-8706-4F9B-A8CA-D96C71C97DC0}" type="presParOf" srcId="{8F17284B-5CF5-4426-AC99-C403B0E8C522}" destId="{663BF752-8DD6-444A-B567-11C5897FE1D6}" srcOrd="0" destOrd="0" presId="urn:microsoft.com/office/officeart/2005/8/layout/hierarchy2"/>
    <dgm:cxn modelId="{F77FA234-8F6A-47BE-A598-318E6B345565}" type="presParOf" srcId="{0484653D-CEC8-4FA4-98A4-CFB4030CF968}" destId="{0979D377-1873-46BD-BDD2-A7B607B7A65B}" srcOrd="1" destOrd="0" presId="urn:microsoft.com/office/officeart/2005/8/layout/hierarchy2"/>
    <dgm:cxn modelId="{B1640A19-0DC7-4E0E-9447-2B8ADC172F1F}" type="presParOf" srcId="{0979D377-1873-46BD-BDD2-A7B607B7A65B}" destId="{F6BC9A5B-8617-48AE-B0EB-F9DE0357207E}" srcOrd="0" destOrd="0" presId="urn:microsoft.com/office/officeart/2005/8/layout/hierarchy2"/>
    <dgm:cxn modelId="{82BA7E8D-302A-4454-8A24-5C836571A785}" type="presParOf" srcId="{0979D377-1873-46BD-BDD2-A7B607B7A65B}" destId="{837D468A-2D42-41E5-BD7A-FC7CC34B0F6F}" srcOrd="1" destOrd="0" presId="urn:microsoft.com/office/officeart/2005/8/layout/hierarchy2"/>
    <dgm:cxn modelId="{1D09E29E-AC2C-46D2-8FF2-73611976E2C2}" type="presParOf" srcId="{0484653D-CEC8-4FA4-98A4-CFB4030CF968}" destId="{3EA715A4-0E26-431C-B3EE-42DA336EF2A2}" srcOrd="2" destOrd="0" presId="urn:microsoft.com/office/officeart/2005/8/layout/hierarchy2"/>
    <dgm:cxn modelId="{3FCF7C7C-4EF2-44A8-A366-02328A3BDBC6}" type="presParOf" srcId="{3EA715A4-0E26-431C-B3EE-42DA336EF2A2}" destId="{7B8022E2-16CA-4995-9635-E5F51C2BB726}" srcOrd="0" destOrd="0" presId="urn:microsoft.com/office/officeart/2005/8/layout/hierarchy2"/>
    <dgm:cxn modelId="{23FC4E7B-DCED-4A47-A58E-393DC84C7A1C}" type="presParOf" srcId="{0484653D-CEC8-4FA4-98A4-CFB4030CF968}" destId="{E6DFE626-AE25-4882-A2C7-C9EF360F80CF}" srcOrd="3" destOrd="0" presId="urn:microsoft.com/office/officeart/2005/8/layout/hierarchy2"/>
    <dgm:cxn modelId="{5BE5D058-20C5-4AC1-B9D7-CBA487D3BFF7}" type="presParOf" srcId="{E6DFE626-AE25-4882-A2C7-C9EF360F80CF}" destId="{785F8D0E-17D2-4770-860A-A9649FEC25FC}" srcOrd="0" destOrd="0" presId="urn:microsoft.com/office/officeart/2005/8/layout/hierarchy2"/>
    <dgm:cxn modelId="{18B1C720-323E-4D5E-8F45-65215BEBB505}" type="presParOf" srcId="{E6DFE626-AE25-4882-A2C7-C9EF360F80CF}" destId="{CB861CAD-8B48-404F-8185-35172B74465C}" srcOrd="1" destOrd="0" presId="urn:microsoft.com/office/officeart/2005/8/layout/hierarchy2"/>
    <dgm:cxn modelId="{3F778680-5CB6-463B-861F-A92B0380B3B1}" type="presParOf" srcId="{318534C8-1F8E-4EB2-9699-05E2BFE62ABA}" destId="{00B325D3-3E7D-436B-A949-3678DA96E419}" srcOrd="2" destOrd="0" presId="urn:microsoft.com/office/officeart/2005/8/layout/hierarchy2"/>
    <dgm:cxn modelId="{B183DBDF-E613-4E4B-B2CE-6DEEA1879727}" type="presParOf" srcId="{00B325D3-3E7D-436B-A949-3678DA96E419}" destId="{D8AFC708-BAB9-4512-A823-6ACCC752FAC9}" srcOrd="0" destOrd="0" presId="urn:microsoft.com/office/officeart/2005/8/layout/hierarchy2"/>
    <dgm:cxn modelId="{D14854BB-ABFA-4988-B172-170299584771}" type="presParOf" srcId="{318534C8-1F8E-4EB2-9699-05E2BFE62ABA}" destId="{D082A0E9-72B0-42D9-A662-653C704BF7C5}" srcOrd="3" destOrd="0" presId="urn:microsoft.com/office/officeart/2005/8/layout/hierarchy2"/>
    <dgm:cxn modelId="{821AE84E-D862-461C-8CEC-F9FAF0B4147D}" type="presParOf" srcId="{D082A0E9-72B0-42D9-A662-653C704BF7C5}" destId="{2E175CAE-F292-42BE-B328-92CA0A91ABEA}" srcOrd="0" destOrd="0" presId="urn:microsoft.com/office/officeart/2005/8/layout/hierarchy2"/>
    <dgm:cxn modelId="{7EE992BB-F566-4BC3-A293-9B8FE4F01902}" type="presParOf" srcId="{D082A0E9-72B0-42D9-A662-653C704BF7C5}" destId="{C47917D9-C428-4AC0-A4C4-40F4A3336CE9}" srcOrd="1" destOrd="0" presId="urn:microsoft.com/office/officeart/2005/8/layout/hierarchy2"/>
    <dgm:cxn modelId="{30D9C202-F650-48E9-A148-9B3EA64D553D}" type="presParOf" srcId="{C47917D9-C428-4AC0-A4C4-40F4A3336CE9}" destId="{1093B310-4400-4C48-B632-6C663843789F}" srcOrd="0" destOrd="0" presId="urn:microsoft.com/office/officeart/2005/8/layout/hierarchy2"/>
    <dgm:cxn modelId="{FB4487C3-3572-4358-92BE-19D001ED4D69}" type="presParOf" srcId="{1093B310-4400-4C48-B632-6C663843789F}" destId="{57892F37-7073-4B46-B58B-A3B73F927437}" srcOrd="0" destOrd="0" presId="urn:microsoft.com/office/officeart/2005/8/layout/hierarchy2"/>
    <dgm:cxn modelId="{0338DF32-2D92-4E8E-8CE9-0037C12E0ABB}" type="presParOf" srcId="{C47917D9-C428-4AC0-A4C4-40F4A3336CE9}" destId="{85363B69-C3C4-42B0-84F2-A5D8F0B1999B}" srcOrd="1" destOrd="0" presId="urn:microsoft.com/office/officeart/2005/8/layout/hierarchy2"/>
    <dgm:cxn modelId="{BE995F02-62FD-4E87-8264-62B03A8ECFC5}" type="presParOf" srcId="{85363B69-C3C4-42B0-84F2-A5D8F0B1999B}" destId="{1810A46D-A79F-45C9-918C-5562D2BA19C2}" srcOrd="0" destOrd="0" presId="urn:microsoft.com/office/officeart/2005/8/layout/hierarchy2"/>
    <dgm:cxn modelId="{297B4A6D-D217-4C0D-B2FE-FC3D9DEA4A4D}" type="presParOf" srcId="{85363B69-C3C4-42B0-84F2-A5D8F0B1999B}" destId="{35A0EB12-0628-420F-8CE4-9E5C1AE82868}" srcOrd="1" destOrd="0" presId="urn:microsoft.com/office/officeart/2005/8/layout/hierarchy2"/>
    <dgm:cxn modelId="{11675566-7B0F-484C-A3DC-74E466E29E93}" type="presParOf" srcId="{35A0EB12-0628-420F-8CE4-9E5C1AE82868}" destId="{0D3D2A59-812F-4598-ADE9-4D2B381E7BB1}" srcOrd="0" destOrd="0" presId="urn:microsoft.com/office/officeart/2005/8/layout/hierarchy2"/>
    <dgm:cxn modelId="{C14CF8FB-F92A-432C-9504-A37AB112012F}" type="presParOf" srcId="{0D3D2A59-812F-4598-ADE9-4D2B381E7BB1}" destId="{215BFE00-D2AE-452C-AEF7-DFC456272A9A}" srcOrd="0" destOrd="0" presId="urn:microsoft.com/office/officeart/2005/8/layout/hierarchy2"/>
    <dgm:cxn modelId="{030A0A67-6818-4125-B605-E8CAC4AACABF}" type="presParOf" srcId="{35A0EB12-0628-420F-8CE4-9E5C1AE82868}" destId="{ED55B4E2-9EA2-48F8-9A22-B84F1B1ACB50}" srcOrd="1" destOrd="0" presId="urn:microsoft.com/office/officeart/2005/8/layout/hierarchy2"/>
    <dgm:cxn modelId="{01AFDD49-A5D3-4C78-9237-B395B0DA950F}" type="presParOf" srcId="{ED55B4E2-9EA2-48F8-9A22-B84F1B1ACB50}" destId="{54D74AC1-0620-4DEA-A7FE-48761637FDB0}" srcOrd="0" destOrd="0" presId="urn:microsoft.com/office/officeart/2005/8/layout/hierarchy2"/>
    <dgm:cxn modelId="{355BC66F-1EC5-488E-8876-697F7AC9236F}" type="presParOf" srcId="{ED55B4E2-9EA2-48F8-9A22-B84F1B1ACB50}" destId="{3F4B316B-94BB-4771-8379-41F1B54AF3DE}" srcOrd="1" destOrd="0" presId="urn:microsoft.com/office/officeart/2005/8/layout/hierarchy2"/>
    <dgm:cxn modelId="{5C9349E0-E0EE-4E4B-9EAD-235981F54C53}" type="presParOf" srcId="{318534C8-1F8E-4EB2-9699-05E2BFE62ABA}" destId="{DEAB8D37-D80E-45EF-833C-A3DE0CB240B0}" srcOrd="4" destOrd="0" presId="urn:microsoft.com/office/officeart/2005/8/layout/hierarchy2"/>
    <dgm:cxn modelId="{CC102AFA-D1E9-4128-8BB4-437636601CB4}" type="presParOf" srcId="{DEAB8D37-D80E-45EF-833C-A3DE0CB240B0}" destId="{96DD6FDE-FE80-47CA-AA40-4D4170F2AD9C}" srcOrd="0" destOrd="0" presId="urn:microsoft.com/office/officeart/2005/8/layout/hierarchy2"/>
    <dgm:cxn modelId="{B5DC3912-A2A2-4D1A-A18E-6F1F41B5C75F}" type="presParOf" srcId="{318534C8-1F8E-4EB2-9699-05E2BFE62ABA}" destId="{5CCCE364-04B0-4263-AF11-C94E3595AA54}" srcOrd="5" destOrd="0" presId="urn:microsoft.com/office/officeart/2005/8/layout/hierarchy2"/>
    <dgm:cxn modelId="{03E9227C-EE9B-4601-9122-A7464C1D18B0}" type="presParOf" srcId="{5CCCE364-04B0-4263-AF11-C94E3595AA54}" destId="{D5C09ED1-F908-4820-AA62-040CA830879B}" srcOrd="0" destOrd="0" presId="urn:microsoft.com/office/officeart/2005/8/layout/hierarchy2"/>
    <dgm:cxn modelId="{9A4A0C7D-AB50-4AE7-ACEE-EF2886CAAD47}" type="presParOf" srcId="{5CCCE364-04B0-4263-AF11-C94E3595AA54}" destId="{1CD85F15-74DD-47F1-A3E2-8F8D7B718566}" srcOrd="1" destOrd="0" presId="urn:microsoft.com/office/officeart/2005/8/layout/hierarchy2"/>
    <dgm:cxn modelId="{A63E00CC-34BA-4BD3-B391-3EAA33F44634}" type="presParOf" srcId="{1CD85F15-74DD-47F1-A3E2-8F8D7B718566}" destId="{D1A1E587-5E9F-48EE-9C96-D467C78451FE}" srcOrd="0" destOrd="0" presId="urn:microsoft.com/office/officeart/2005/8/layout/hierarchy2"/>
    <dgm:cxn modelId="{90876C6F-8ADA-490A-B0A3-7A41E6A52703}" type="presParOf" srcId="{D1A1E587-5E9F-48EE-9C96-D467C78451FE}" destId="{7903682F-581B-4D19-B02F-9328AA70099A}" srcOrd="0" destOrd="0" presId="urn:microsoft.com/office/officeart/2005/8/layout/hierarchy2"/>
    <dgm:cxn modelId="{C53913C4-F0B6-4A3C-9E07-B5680B378B75}" type="presParOf" srcId="{1CD85F15-74DD-47F1-A3E2-8F8D7B718566}" destId="{F107070C-138E-401C-A8A1-02239D438E8A}" srcOrd="1" destOrd="0" presId="urn:microsoft.com/office/officeart/2005/8/layout/hierarchy2"/>
    <dgm:cxn modelId="{4B60B502-E030-43AF-8C51-09B588385082}" type="presParOf" srcId="{F107070C-138E-401C-A8A1-02239D438E8A}" destId="{B386E95A-447C-4842-B774-A7BCEF7208DA}" srcOrd="0" destOrd="0" presId="urn:microsoft.com/office/officeart/2005/8/layout/hierarchy2"/>
    <dgm:cxn modelId="{A7A541A1-A6C8-4966-8BD1-C536E7D15D3E}" type="presParOf" srcId="{F107070C-138E-401C-A8A1-02239D438E8A}" destId="{01437E18-B2C2-4C77-97B1-58A55FA3342C}" srcOrd="1" destOrd="0" presId="urn:microsoft.com/office/officeart/2005/8/layout/hierarchy2"/>
    <dgm:cxn modelId="{F4CBCB79-A410-43EE-A698-7461E19E56BB}" type="presParOf" srcId="{01437E18-B2C2-4C77-97B1-58A55FA3342C}" destId="{E0A30095-5083-4223-AF1E-06B1C0F54E61}" srcOrd="0" destOrd="0" presId="urn:microsoft.com/office/officeart/2005/8/layout/hierarchy2"/>
    <dgm:cxn modelId="{8E390F41-5B5D-4254-B91D-92B72A4A4DBF}" type="presParOf" srcId="{E0A30095-5083-4223-AF1E-06B1C0F54E61}" destId="{76851009-B220-44C7-8814-E446D02E2AED}" srcOrd="0" destOrd="0" presId="urn:microsoft.com/office/officeart/2005/8/layout/hierarchy2"/>
    <dgm:cxn modelId="{A7E7FAA5-6045-4587-BCC1-9218B58F7B4C}" type="presParOf" srcId="{01437E18-B2C2-4C77-97B1-58A55FA3342C}" destId="{EF35A059-3C17-433B-A838-543EAEA6DE87}" srcOrd="1" destOrd="0" presId="urn:microsoft.com/office/officeart/2005/8/layout/hierarchy2"/>
    <dgm:cxn modelId="{CB05DA31-CD05-4059-83FD-E9E619845B01}" type="presParOf" srcId="{EF35A059-3C17-433B-A838-543EAEA6DE87}" destId="{5AC33E18-1E9F-47B8-A687-F54A84A23A6A}" srcOrd="0" destOrd="0" presId="urn:microsoft.com/office/officeart/2005/8/layout/hierarchy2"/>
    <dgm:cxn modelId="{1AD3F3DB-8283-40F1-99BE-45465089B57F}" type="presParOf" srcId="{EF35A059-3C17-433B-A838-543EAEA6DE87}" destId="{996B1C74-A2BA-413F-AAB1-E5D83726723C}" srcOrd="1" destOrd="0" presId="urn:microsoft.com/office/officeart/2005/8/layout/hierarchy2"/>
    <dgm:cxn modelId="{52D16AF4-1B22-4805-A5B3-507AB9D0E33D}" type="presParOf" srcId="{01437E18-B2C2-4C77-97B1-58A55FA3342C}" destId="{4C684555-4E89-492E-91B9-5E8EAB7F4237}" srcOrd="2" destOrd="0" presId="urn:microsoft.com/office/officeart/2005/8/layout/hierarchy2"/>
    <dgm:cxn modelId="{43379EA8-8D9E-472D-8ECD-B4813AA82145}" type="presParOf" srcId="{4C684555-4E89-492E-91B9-5E8EAB7F4237}" destId="{8110CD12-4448-47D5-A5B2-B36368E12DBB}" srcOrd="0" destOrd="0" presId="urn:microsoft.com/office/officeart/2005/8/layout/hierarchy2"/>
    <dgm:cxn modelId="{5D744086-A843-499C-AD34-4112B634CF3A}" type="presParOf" srcId="{01437E18-B2C2-4C77-97B1-58A55FA3342C}" destId="{A22B735D-0CEF-4EA3-BFA4-025765ECCB0E}" srcOrd="3" destOrd="0" presId="urn:microsoft.com/office/officeart/2005/8/layout/hierarchy2"/>
    <dgm:cxn modelId="{B82B8494-5910-4AB1-8DF8-2872BED8623C}" type="presParOf" srcId="{A22B735D-0CEF-4EA3-BFA4-025765ECCB0E}" destId="{4C015738-E6CE-4A86-9349-2D727CF0E5EC}" srcOrd="0" destOrd="0" presId="urn:microsoft.com/office/officeart/2005/8/layout/hierarchy2"/>
    <dgm:cxn modelId="{FB1476D2-A8EF-4465-ABC0-4032E84B26BC}" type="presParOf" srcId="{A22B735D-0CEF-4EA3-BFA4-025765ECCB0E}" destId="{481E5F23-6A9D-4A34-9000-E12DE1BA4FE6}" srcOrd="1" destOrd="0" presId="urn:microsoft.com/office/officeart/2005/8/layout/hierarchy2"/>
    <dgm:cxn modelId="{686EEFFB-F3D1-49F8-9E4D-0DB276BBEAF0}" type="presParOf" srcId="{318534C8-1F8E-4EB2-9699-05E2BFE62ABA}" destId="{E57F0BDB-C6D5-49D0-A919-AC71D6602E45}" srcOrd="6" destOrd="0" presId="urn:microsoft.com/office/officeart/2005/8/layout/hierarchy2"/>
    <dgm:cxn modelId="{27B326EA-A55B-47E7-AB31-75D509D47CE4}" type="presParOf" srcId="{E57F0BDB-C6D5-49D0-A919-AC71D6602E45}" destId="{D5447A8E-B1D7-42CF-82B4-83C2BE55E38C}" srcOrd="0" destOrd="0" presId="urn:microsoft.com/office/officeart/2005/8/layout/hierarchy2"/>
    <dgm:cxn modelId="{0103DE30-2EA6-41C0-8EEC-A6E367282992}" type="presParOf" srcId="{318534C8-1F8E-4EB2-9699-05E2BFE62ABA}" destId="{D1FA41A6-07F7-49EE-8A1D-7647304562AF}" srcOrd="7" destOrd="0" presId="urn:microsoft.com/office/officeart/2005/8/layout/hierarchy2"/>
    <dgm:cxn modelId="{F8DD8FAA-E824-435D-8240-8E1315662FC0}" type="presParOf" srcId="{D1FA41A6-07F7-49EE-8A1D-7647304562AF}" destId="{81BBB8D0-5CA6-4BB6-9C3A-095C339BAE1A}" srcOrd="0" destOrd="0" presId="urn:microsoft.com/office/officeart/2005/8/layout/hierarchy2"/>
    <dgm:cxn modelId="{4DD2BC0F-BE57-4075-924F-3AF21AF663D5}" type="presParOf" srcId="{D1FA41A6-07F7-49EE-8A1D-7647304562AF}" destId="{4D0F5A32-A249-43C7-98D7-16CECA780573}" srcOrd="1" destOrd="0" presId="urn:microsoft.com/office/officeart/2005/8/layout/hierarchy2"/>
    <dgm:cxn modelId="{DF884427-8A6A-4A41-96C6-AA4783ACF9CA}" type="presParOf" srcId="{4D0F5A32-A249-43C7-98D7-16CECA780573}" destId="{3E5040E0-9747-4129-8223-E49134094E90}" srcOrd="0" destOrd="0" presId="urn:microsoft.com/office/officeart/2005/8/layout/hierarchy2"/>
    <dgm:cxn modelId="{DB95A875-9162-45E6-BF45-A40DE73F2547}" type="presParOf" srcId="{3E5040E0-9747-4129-8223-E49134094E90}" destId="{634C0F45-F74A-48B4-A5B0-D92761CEA13C}" srcOrd="0" destOrd="0" presId="urn:microsoft.com/office/officeart/2005/8/layout/hierarchy2"/>
    <dgm:cxn modelId="{D026E0E6-CF39-4D1B-87FB-09125FDF0053}" type="presParOf" srcId="{4D0F5A32-A249-43C7-98D7-16CECA780573}" destId="{5460DEF4-4A60-412D-A4A7-181CD44464CA}" srcOrd="1" destOrd="0" presId="urn:microsoft.com/office/officeart/2005/8/layout/hierarchy2"/>
    <dgm:cxn modelId="{8613A6A2-6737-47B4-B4C6-B78138A50EE0}" type="presParOf" srcId="{5460DEF4-4A60-412D-A4A7-181CD44464CA}" destId="{AF145D7B-9680-4015-8967-73C6EDC35738}" srcOrd="0" destOrd="0" presId="urn:microsoft.com/office/officeart/2005/8/layout/hierarchy2"/>
    <dgm:cxn modelId="{830CAAA8-1189-4B26-B594-84B763F24E50}" type="presParOf" srcId="{5460DEF4-4A60-412D-A4A7-181CD44464CA}" destId="{65207804-3734-4E83-9EFB-9A4D4E4F1F76}" srcOrd="1" destOrd="0" presId="urn:microsoft.com/office/officeart/2005/8/layout/hierarchy2"/>
    <dgm:cxn modelId="{E03783EA-DDB8-4F1C-9E8B-7BED4DFD3D4B}" type="presParOf" srcId="{65207804-3734-4E83-9EFB-9A4D4E4F1F76}" destId="{6C93AE69-C967-48BA-9C04-7007F4E5832A}" srcOrd="0" destOrd="0" presId="urn:microsoft.com/office/officeart/2005/8/layout/hierarchy2"/>
    <dgm:cxn modelId="{6A926504-F403-469A-A557-5D030FBD5F8F}" type="presParOf" srcId="{6C93AE69-C967-48BA-9C04-7007F4E5832A}" destId="{2C82C145-935E-4C1A-90AE-4627769071A3}" srcOrd="0" destOrd="0" presId="urn:microsoft.com/office/officeart/2005/8/layout/hierarchy2"/>
    <dgm:cxn modelId="{F5BB448C-1917-40FE-98A0-806E3BD0EF06}" type="presParOf" srcId="{65207804-3734-4E83-9EFB-9A4D4E4F1F76}" destId="{226A6EA4-C2F7-4069-BEBF-5C487EC4EA67}" srcOrd="1" destOrd="0" presId="urn:microsoft.com/office/officeart/2005/8/layout/hierarchy2"/>
    <dgm:cxn modelId="{FA4D92AB-F767-4C58-B858-273EA964CF0D}" type="presParOf" srcId="{226A6EA4-C2F7-4069-BEBF-5C487EC4EA67}" destId="{E7C092F8-ABE2-47FE-BA52-C817121FEF25}" srcOrd="0" destOrd="0" presId="urn:microsoft.com/office/officeart/2005/8/layout/hierarchy2"/>
    <dgm:cxn modelId="{2CD39000-D1C3-4D4D-849A-42F1FE70CE3F}" type="presParOf" srcId="{226A6EA4-C2F7-4069-BEBF-5C487EC4EA67}" destId="{CF989F30-4CCA-4C9C-BF76-A0A3B3965BC1}" srcOrd="1" destOrd="0" presId="urn:microsoft.com/office/officeart/2005/8/layout/hierarchy2"/>
    <dgm:cxn modelId="{D5DA1A9D-BDB0-4313-8D98-209B6F7FDAF1}" type="presParOf" srcId="{318534C8-1F8E-4EB2-9699-05E2BFE62ABA}" destId="{FEDBD534-22A4-465F-80D2-1F5AB1900591}" srcOrd="8" destOrd="0" presId="urn:microsoft.com/office/officeart/2005/8/layout/hierarchy2"/>
    <dgm:cxn modelId="{0E7BC767-8258-4754-BD6E-93E0A3AD780C}" type="presParOf" srcId="{FEDBD534-22A4-465F-80D2-1F5AB1900591}" destId="{CFC78451-16F6-4C55-982B-5046441F8605}" srcOrd="0" destOrd="0" presId="urn:microsoft.com/office/officeart/2005/8/layout/hierarchy2"/>
    <dgm:cxn modelId="{AFC5EF5E-9F00-4E71-9A54-DAE8017E671C}" type="presParOf" srcId="{318534C8-1F8E-4EB2-9699-05E2BFE62ABA}" destId="{76A06A81-DE7D-4286-B2F7-23DDB847F2EB}" srcOrd="9" destOrd="0" presId="urn:microsoft.com/office/officeart/2005/8/layout/hierarchy2"/>
    <dgm:cxn modelId="{01EC8B66-9F61-4AB6-82FD-EFFEC01AF2CC}" type="presParOf" srcId="{76A06A81-DE7D-4286-B2F7-23DDB847F2EB}" destId="{6CF0A02E-E0AE-4EB4-9155-408A1944215F}" srcOrd="0" destOrd="0" presId="urn:microsoft.com/office/officeart/2005/8/layout/hierarchy2"/>
    <dgm:cxn modelId="{D162FC40-D352-4568-80DB-1BC385C00F4E}" type="presParOf" srcId="{76A06A81-DE7D-4286-B2F7-23DDB847F2EB}" destId="{A5DDE1CE-6BEF-4795-9B4D-1C2FBABFE79B}" srcOrd="1" destOrd="0" presId="urn:microsoft.com/office/officeart/2005/8/layout/hierarchy2"/>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C3406BE-6832-4762-8F23-2756A5FED612}" type="doc">
      <dgm:prSet loTypeId="urn:microsoft.com/office/officeart/2008/layout/HorizontalMultiLevelHierarchy" loCatId="hierarchy" qsTypeId="urn:microsoft.com/office/officeart/2005/8/quickstyle/3d2" qsCatId="3D" csTypeId="urn:microsoft.com/office/officeart/2005/8/colors/accent1_1" csCatId="accent1" phldr="1"/>
      <dgm:spPr/>
      <dgm:t>
        <a:bodyPr/>
        <a:lstStyle/>
        <a:p>
          <a:endParaRPr lang="es-ES"/>
        </a:p>
      </dgm:t>
    </dgm:pt>
    <dgm:pt modelId="{667920FD-8395-4EED-9FC9-9C00BE38A18E}">
      <dgm:prSet phldrT="[Texto]" custT="1"/>
      <dgm:spPr/>
      <dgm:t>
        <a:bodyPr/>
        <a:lstStyle/>
        <a:p>
          <a:r>
            <a:rPr lang="es-ES" sz="1000">
              <a:latin typeface="Arial" panose="020B0604020202020204" pitchFamily="34" charset="0"/>
              <a:cs typeface="Arial" panose="020B0604020202020204" pitchFamily="34" charset="0"/>
            </a:rPr>
            <a:t>Líneas de Celular  </a:t>
          </a:r>
        </a:p>
      </dgm:t>
    </dgm:pt>
    <dgm:pt modelId="{6CE713DB-ADE5-4245-ADA8-172CA766DE87}" type="par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6D363FD0-2620-4722-BBE0-A4487A745882}" type="sibTrans" cxnId="{89096EDC-F72E-4F91-A324-6E0EE2A72A8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572156E-051B-41F1-8F44-A4C8E651676F}">
      <dgm:prSet phldrT="[Texto]" custT="1"/>
      <dgm:spPr/>
      <dgm:t>
        <a:bodyPr/>
        <a:lstStyle/>
        <a:p>
          <a:r>
            <a:rPr lang="es-ES" sz="1000">
              <a:latin typeface="Arial" panose="020B0604020202020204" pitchFamily="34" charset="0"/>
              <a:cs typeface="Arial" panose="020B0604020202020204" pitchFamily="34" charset="0"/>
            </a:rPr>
            <a:t>Colombia Telecomunicaciones S.A. E.S.P.</a:t>
          </a:r>
        </a:p>
      </dgm:t>
    </dgm:pt>
    <dgm:pt modelId="{F4AF0459-265A-4EED-87EB-EBD75089D025}" type="parTrans" cxnId="{EE51A23D-C612-46B6-9842-F2D1ED95318E}">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9DC6975-5B5B-4E69-B59E-76B0630D4755}" type="sibTrans" cxnId="{EE51A23D-C612-46B6-9842-F2D1ED95318E}">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CAFB958-2B40-42DE-9D69-B68FB57A20FD}">
      <dgm:prSet phldrT="[Texto]" custT="1"/>
      <dgm:spPr/>
      <dgm:t>
        <a:bodyPr/>
        <a:lstStyle/>
        <a:p>
          <a:r>
            <a:rPr lang="es-ES" sz="1000">
              <a:latin typeface="Arial" panose="020B0604020202020204" pitchFamily="34" charset="0"/>
              <a:cs typeface="Arial" panose="020B0604020202020204" pitchFamily="34" charset="0"/>
            </a:rPr>
            <a:t>Avantel S A S</a:t>
          </a:r>
        </a:p>
      </dgm:t>
    </dgm:pt>
    <dgm:pt modelId="{B5A5ACFE-1062-4635-8245-28AE81E7713E}" type="parTrans" cxnId="{9FC8B245-9272-4968-BFD0-3A23C47384F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FF574E5-1C6B-4266-AF80-201C2426E9F3}" type="sibTrans" cxnId="{9FC8B245-9272-4968-BFD0-3A23C47384F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62C4582-1B47-49A3-B1BA-02D15E0FA8C4}">
      <dgm:prSet phldrT="[Texto]" custT="1"/>
      <dgm:spPr/>
      <dgm:t>
        <a:bodyPr/>
        <a:lstStyle/>
        <a:p>
          <a:r>
            <a:rPr lang="es-ES" sz="1000">
              <a:latin typeface="Arial" panose="020B0604020202020204" pitchFamily="34" charset="0"/>
              <a:cs typeface="Arial" panose="020B0604020202020204" pitchFamily="34" charset="0"/>
            </a:rPr>
            <a:t>Comunicación Celular S A Comcel S A</a:t>
          </a:r>
        </a:p>
      </dgm:t>
    </dgm:pt>
    <dgm:pt modelId="{B7D82E41-6B77-4A15-8C0D-82539200E0A1}" type="parTrans" cxnId="{8FBC3AA8-5E49-4193-BC31-81626E7F641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139B8E6-F5EB-46FF-BD49-746BE353F4A3}" type="sibTrans" cxnId="{8FBC3AA8-5E49-4193-BC31-81626E7F641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D7BD8E43-E757-4A5E-9C4F-727A2BCBF880}">
      <dgm:prSet phldrT="[Texto]" custT="1"/>
      <dgm:spPr/>
      <dgm:t>
        <a:bodyPr/>
        <a:lstStyle/>
        <a:p>
          <a:r>
            <a:rPr lang="es-ES" sz="1000">
              <a:latin typeface="Arial" panose="020B0604020202020204" pitchFamily="34" charset="0"/>
              <a:cs typeface="Arial" panose="020B0604020202020204" pitchFamily="34" charset="0"/>
            </a:rPr>
            <a:t>22 Líneas </a:t>
          </a:r>
        </a:p>
      </dgm:t>
    </dgm:pt>
    <dgm:pt modelId="{2F2E90C0-A12E-473D-9081-A2BC8644E370}" type="parTrans" cxnId="{B86133C6-C9C5-4F28-AAB5-34BE4CB2F6F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2B65023-33F5-4B88-B695-FA5C5FF8A0A9}" type="sibTrans" cxnId="{B86133C6-C9C5-4F28-AAB5-34BE4CB2F6F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84790FFF-0BB7-49C5-B365-E8CE069F577E}">
      <dgm:prSet phldrT="[Texto]" custT="1"/>
      <dgm:spPr/>
      <dgm:t>
        <a:bodyPr/>
        <a:lstStyle/>
        <a:p>
          <a:r>
            <a:rPr lang="es-ES" sz="1000">
              <a:latin typeface="Arial" panose="020B0604020202020204" pitchFamily="34" charset="0"/>
              <a:cs typeface="Arial" panose="020B0604020202020204" pitchFamily="34" charset="0"/>
            </a:rPr>
            <a:t>7 Líneas </a:t>
          </a:r>
        </a:p>
      </dgm:t>
    </dgm:pt>
    <dgm:pt modelId="{DFAF0ED2-C696-4206-AF72-F0588E56A0D4}" type="parTrans" cxnId="{A62267BB-ADC6-4687-BB3A-26FD5D44E584}">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154D83B6-38E4-4797-BA1F-FD11DDD2CC10}" type="sibTrans" cxnId="{A62267BB-ADC6-4687-BB3A-26FD5D44E584}">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243818CD-25D5-426B-A8A5-B17980663A5E}">
      <dgm:prSet phldrT="[Texto]" custT="1"/>
      <dgm:spPr/>
      <dgm:t>
        <a:bodyPr/>
        <a:lstStyle/>
        <a:p>
          <a:r>
            <a:rPr lang="es-ES" sz="1000">
              <a:latin typeface="Arial" panose="020B0604020202020204" pitchFamily="34" charset="0"/>
              <a:cs typeface="Arial" panose="020B0604020202020204" pitchFamily="34" charset="0"/>
            </a:rPr>
            <a:t>7 Asignadas a Planta Telefónica   </a:t>
          </a:r>
        </a:p>
      </dgm:t>
    </dgm:pt>
    <dgm:pt modelId="{28A8C854-4371-460F-B439-34DEEC288791}" type="parTrans" cxnId="{C62C359C-A0DA-4FC5-A510-D957E1B2B3A3}">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701D6A95-82C9-48C5-B04A-3E4F842E892C}" type="sibTrans" cxnId="{C62C359C-A0DA-4FC5-A510-D957E1B2B3A3}">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09DDB0B-C6EE-4D5F-825F-FB57A6AFA05D}">
      <dgm:prSet phldrT="[Texto]" custT="1"/>
      <dgm:spPr/>
      <dgm:t>
        <a:bodyPr/>
        <a:lstStyle/>
        <a:p>
          <a:r>
            <a:rPr lang="es-ES" sz="1000">
              <a:latin typeface="Arial" panose="020B0604020202020204" pitchFamily="34" charset="0"/>
              <a:cs typeface="Arial" panose="020B0604020202020204" pitchFamily="34" charset="0"/>
            </a:rPr>
            <a:t>16 Asignadas a Directivos </a:t>
          </a:r>
        </a:p>
      </dgm:t>
    </dgm:pt>
    <dgm:pt modelId="{233163F6-44BE-422A-8D6A-F8507C8E09CA}" type="parTrans" cxnId="{5BB43D37-296C-414A-99F1-5BCA14A7314B}">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E23E3173-B672-4A0F-A92F-09DEB9BBE873}" type="sibTrans" cxnId="{5BB43D37-296C-414A-99F1-5BCA14A7314B}">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5BAB3883-C242-4688-8448-A80D24DD35C3}">
      <dgm:prSet phldrT="[Texto]" custT="1"/>
      <dgm:spPr/>
      <dgm:t>
        <a:bodyPr/>
        <a:lstStyle/>
        <a:p>
          <a:r>
            <a:rPr lang="es-ES" sz="1000">
              <a:latin typeface="Arial" panose="020B0604020202020204" pitchFamily="34" charset="0"/>
              <a:cs typeface="Arial" panose="020B0604020202020204" pitchFamily="34" charset="0"/>
            </a:rPr>
            <a:t>Esquema de seguridad </a:t>
          </a:r>
        </a:p>
        <a:p>
          <a:r>
            <a:rPr lang="es-ES" sz="1000">
              <a:latin typeface="Arial" panose="020B0604020202020204" pitchFamily="34" charset="0"/>
              <a:cs typeface="Arial" panose="020B0604020202020204" pitchFamily="34" charset="0"/>
            </a:rPr>
            <a:t>3 Líneas</a:t>
          </a:r>
        </a:p>
      </dgm:t>
    </dgm:pt>
    <dgm:pt modelId="{D89DB3EF-0F5E-4006-8234-1BEF17527B8E}" type="parTrans" cxnId="{66BED4B1-B1F0-44D9-98F5-DA557EADF3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0AF9F34-0647-4E5A-9F2B-1CE270088EA8}" type="sibTrans" cxnId="{66BED4B1-B1F0-44D9-98F5-DA557EADF3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42CB47A4-9C91-4D5C-99CB-0183D5DFFFBC}">
      <dgm:prSet phldrT="[Texto]" custT="1"/>
      <dgm:spPr/>
      <dgm:t>
        <a:bodyPr/>
        <a:lstStyle/>
        <a:p>
          <a:r>
            <a:rPr lang="es-ES" sz="1000">
              <a:latin typeface="Arial" panose="020B0604020202020204" pitchFamily="34" charset="0"/>
              <a:cs typeface="Arial" panose="020B0604020202020204" pitchFamily="34" charset="0"/>
            </a:rPr>
            <a:t>6 Asignadas a Planta Telefónica</a:t>
          </a:r>
        </a:p>
      </dgm:t>
    </dgm:pt>
    <dgm:pt modelId="{C88AA6EF-3CE5-41DF-B1BE-E66D7BCECE28}" type="parTrans" cxnId="{6FD8A467-B73B-4C07-9A43-91CC7E5D2D41}">
      <dgm:prSet custT="1"/>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37E4A0A7-5526-4C07-96E7-947C0998887A}" type="sibTrans" cxnId="{6FD8A467-B73B-4C07-9A43-91CC7E5D2D41}">
      <dgm:prSet/>
      <dgm:spPr/>
      <dgm:t>
        <a:bodyPr/>
        <a:lstStyle/>
        <a:p>
          <a:endParaRPr lang="es-ES" sz="1000">
            <a:solidFill>
              <a:schemeClr val="tx2">
                <a:lumMod val="50000"/>
              </a:schemeClr>
            </a:solidFill>
            <a:latin typeface="Arial" panose="020B0604020202020204" pitchFamily="34" charset="0"/>
            <a:cs typeface="Arial" panose="020B0604020202020204" pitchFamily="34" charset="0"/>
          </a:endParaRPr>
        </a:p>
      </dgm:t>
    </dgm:pt>
    <dgm:pt modelId="{B35597C1-046F-4F0A-91C3-777F7C3CAC4E}" type="pres">
      <dgm:prSet presAssocID="{DC3406BE-6832-4762-8F23-2756A5FED612}" presName="Name0" presStyleCnt="0">
        <dgm:presLayoutVars>
          <dgm:chPref val="1"/>
          <dgm:dir/>
          <dgm:animOne val="branch"/>
          <dgm:animLvl val="lvl"/>
          <dgm:resizeHandles val="exact"/>
        </dgm:presLayoutVars>
      </dgm:prSet>
      <dgm:spPr/>
    </dgm:pt>
    <dgm:pt modelId="{803560A2-6582-4343-A7C0-2ED1806FD129}" type="pres">
      <dgm:prSet presAssocID="{667920FD-8395-4EED-9FC9-9C00BE38A18E}" presName="root1" presStyleCnt="0"/>
      <dgm:spPr/>
    </dgm:pt>
    <dgm:pt modelId="{E7FB635D-8A90-4184-8878-E5B808191C1B}" type="pres">
      <dgm:prSet presAssocID="{667920FD-8395-4EED-9FC9-9C00BE38A18E}" presName="LevelOneTextNode" presStyleLbl="node0" presStyleIdx="0" presStyleCnt="1">
        <dgm:presLayoutVars>
          <dgm:chPref val="3"/>
        </dgm:presLayoutVars>
      </dgm:prSet>
      <dgm:spPr/>
    </dgm:pt>
    <dgm:pt modelId="{028857F0-8723-4319-A0FD-EA46D3850097}" type="pres">
      <dgm:prSet presAssocID="{667920FD-8395-4EED-9FC9-9C00BE38A18E}" presName="level2hierChild" presStyleCnt="0"/>
      <dgm:spPr/>
    </dgm:pt>
    <dgm:pt modelId="{71C3EB14-BB59-4ECB-B0DB-94D6E6D3D293}" type="pres">
      <dgm:prSet presAssocID="{F4AF0459-265A-4EED-87EB-EBD75089D025}" presName="conn2-1" presStyleLbl="parChTrans1D2" presStyleIdx="0" presStyleCnt="3"/>
      <dgm:spPr/>
    </dgm:pt>
    <dgm:pt modelId="{8E8F3966-1709-4424-98BA-787E1E473EDA}" type="pres">
      <dgm:prSet presAssocID="{F4AF0459-265A-4EED-87EB-EBD75089D025}" presName="connTx" presStyleLbl="parChTrans1D2" presStyleIdx="0" presStyleCnt="3"/>
      <dgm:spPr/>
    </dgm:pt>
    <dgm:pt modelId="{14D725A6-BACD-409C-AC7D-CBF70BEA0D11}" type="pres">
      <dgm:prSet presAssocID="{D572156E-051B-41F1-8F44-A4C8E651676F}" presName="root2" presStyleCnt="0"/>
      <dgm:spPr/>
    </dgm:pt>
    <dgm:pt modelId="{29585426-42D9-45DD-9270-52CE683DC2AD}" type="pres">
      <dgm:prSet presAssocID="{D572156E-051B-41F1-8F44-A4C8E651676F}" presName="LevelTwoTextNode" presStyleLbl="node2" presStyleIdx="0" presStyleCnt="3">
        <dgm:presLayoutVars>
          <dgm:chPref val="3"/>
        </dgm:presLayoutVars>
      </dgm:prSet>
      <dgm:spPr/>
    </dgm:pt>
    <dgm:pt modelId="{1762AC67-0A0E-481A-B926-C68803388A0E}" type="pres">
      <dgm:prSet presAssocID="{D572156E-051B-41F1-8F44-A4C8E651676F}" presName="level3hierChild" presStyleCnt="0"/>
      <dgm:spPr/>
    </dgm:pt>
    <dgm:pt modelId="{6D5211D1-B486-4EA6-9C61-0ABABD207976}" type="pres">
      <dgm:prSet presAssocID="{2F2E90C0-A12E-473D-9081-A2BC8644E370}" presName="conn2-1" presStyleLbl="parChTrans1D3" presStyleIdx="0" presStyleCnt="3"/>
      <dgm:spPr/>
    </dgm:pt>
    <dgm:pt modelId="{3E753E52-E478-406A-90C4-036AB39C6AE3}" type="pres">
      <dgm:prSet presAssocID="{2F2E90C0-A12E-473D-9081-A2BC8644E370}" presName="connTx" presStyleLbl="parChTrans1D3" presStyleIdx="0" presStyleCnt="3"/>
      <dgm:spPr/>
    </dgm:pt>
    <dgm:pt modelId="{7502342F-7F6B-4F60-92B1-43008C5811FB}" type="pres">
      <dgm:prSet presAssocID="{D7BD8E43-E757-4A5E-9C4F-727A2BCBF880}" presName="root2" presStyleCnt="0"/>
      <dgm:spPr/>
    </dgm:pt>
    <dgm:pt modelId="{A066A57B-55AA-49B2-A827-1C04D3541042}" type="pres">
      <dgm:prSet presAssocID="{D7BD8E43-E757-4A5E-9C4F-727A2BCBF880}" presName="LevelTwoTextNode" presStyleLbl="node3" presStyleIdx="0" presStyleCnt="3">
        <dgm:presLayoutVars>
          <dgm:chPref val="3"/>
        </dgm:presLayoutVars>
      </dgm:prSet>
      <dgm:spPr/>
    </dgm:pt>
    <dgm:pt modelId="{DD192244-8434-44C9-BBDA-B18883B6054A}" type="pres">
      <dgm:prSet presAssocID="{D7BD8E43-E757-4A5E-9C4F-727A2BCBF880}" presName="level3hierChild" presStyleCnt="0"/>
      <dgm:spPr/>
    </dgm:pt>
    <dgm:pt modelId="{8544C45B-167C-4524-894D-DB9BE1E27233}" type="pres">
      <dgm:prSet presAssocID="{233163F6-44BE-422A-8D6A-F8507C8E09CA}" presName="conn2-1" presStyleLbl="parChTrans1D4" presStyleIdx="0" presStyleCnt="3"/>
      <dgm:spPr/>
    </dgm:pt>
    <dgm:pt modelId="{E1C4CDDB-D717-42C3-87D9-1C008AB44DEA}" type="pres">
      <dgm:prSet presAssocID="{233163F6-44BE-422A-8D6A-F8507C8E09CA}" presName="connTx" presStyleLbl="parChTrans1D4" presStyleIdx="0" presStyleCnt="3"/>
      <dgm:spPr/>
    </dgm:pt>
    <dgm:pt modelId="{D35A8F03-F032-420C-BA3B-6971E750D6BD}" type="pres">
      <dgm:prSet presAssocID="{E09DDB0B-C6EE-4D5F-825F-FB57A6AFA05D}" presName="root2" presStyleCnt="0"/>
      <dgm:spPr/>
    </dgm:pt>
    <dgm:pt modelId="{0C9DE918-C12F-45A6-B7CD-3DBC91ABA330}" type="pres">
      <dgm:prSet presAssocID="{E09DDB0B-C6EE-4D5F-825F-FB57A6AFA05D}" presName="LevelTwoTextNode" presStyleLbl="node4" presStyleIdx="0" presStyleCnt="3">
        <dgm:presLayoutVars>
          <dgm:chPref val="3"/>
        </dgm:presLayoutVars>
      </dgm:prSet>
      <dgm:spPr/>
    </dgm:pt>
    <dgm:pt modelId="{D795AEEF-9467-4B65-A805-973E4776B9FF}" type="pres">
      <dgm:prSet presAssocID="{E09DDB0B-C6EE-4D5F-825F-FB57A6AFA05D}" presName="level3hierChild" presStyleCnt="0"/>
      <dgm:spPr/>
    </dgm:pt>
    <dgm:pt modelId="{420125B8-E613-4D5F-A844-C5774DA72C3B}" type="pres">
      <dgm:prSet presAssocID="{C88AA6EF-3CE5-41DF-B1BE-E66D7BCECE28}" presName="conn2-1" presStyleLbl="parChTrans1D4" presStyleIdx="1" presStyleCnt="3"/>
      <dgm:spPr/>
    </dgm:pt>
    <dgm:pt modelId="{3A91213D-A740-4089-9D65-CB95A6A3145B}" type="pres">
      <dgm:prSet presAssocID="{C88AA6EF-3CE5-41DF-B1BE-E66D7BCECE28}" presName="connTx" presStyleLbl="parChTrans1D4" presStyleIdx="1" presStyleCnt="3"/>
      <dgm:spPr/>
    </dgm:pt>
    <dgm:pt modelId="{E7CD9CF4-9C8A-4E94-9F75-B64AE37CE356}" type="pres">
      <dgm:prSet presAssocID="{42CB47A4-9C91-4D5C-99CB-0183D5DFFFBC}" presName="root2" presStyleCnt="0"/>
      <dgm:spPr/>
    </dgm:pt>
    <dgm:pt modelId="{0EF58E61-AA7E-40D2-9EA1-FD10C968E904}" type="pres">
      <dgm:prSet presAssocID="{42CB47A4-9C91-4D5C-99CB-0183D5DFFFBC}" presName="LevelTwoTextNode" presStyleLbl="node4" presStyleIdx="1" presStyleCnt="3">
        <dgm:presLayoutVars>
          <dgm:chPref val="3"/>
        </dgm:presLayoutVars>
      </dgm:prSet>
      <dgm:spPr/>
    </dgm:pt>
    <dgm:pt modelId="{A74FC62E-359B-40F6-A7F5-471C0B15CA75}" type="pres">
      <dgm:prSet presAssocID="{42CB47A4-9C91-4D5C-99CB-0183D5DFFFBC}" presName="level3hierChild" presStyleCnt="0"/>
      <dgm:spPr/>
    </dgm:pt>
    <dgm:pt modelId="{6A06BAA5-A702-4D5C-A34F-87929BC50D95}" type="pres">
      <dgm:prSet presAssocID="{B5A5ACFE-1062-4635-8245-28AE81E7713E}" presName="conn2-1" presStyleLbl="parChTrans1D2" presStyleIdx="1" presStyleCnt="3"/>
      <dgm:spPr/>
    </dgm:pt>
    <dgm:pt modelId="{0B33F1A9-1EB5-43AD-9A01-5FAA0F25E6F5}" type="pres">
      <dgm:prSet presAssocID="{B5A5ACFE-1062-4635-8245-28AE81E7713E}" presName="connTx" presStyleLbl="parChTrans1D2" presStyleIdx="1" presStyleCnt="3"/>
      <dgm:spPr/>
    </dgm:pt>
    <dgm:pt modelId="{BEE4A7AC-1CB8-4E23-8F47-F576CBD0956F}" type="pres">
      <dgm:prSet presAssocID="{7CAFB958-2B40-42DE-9D69-B68FB57A20FD}" presName="root2" presStyleCnt="0"/>
      <dgm:spPr/>
    </dgm:pt>
    <dgm:pt modelId="{7FE28124-E944-4026-8357-2663DC08B1CF}" type="pres">
      <dgm:prSet presAssocID="{7CAFB958-2B40-42DE-9D69-B68FB57A20FD}" presName="LevelTwoTextNode" presStyleLbl="node2" presStyleIdx="1" presStyleCnt="3">
        <dgm:presLayoutVars>
          <dgm:chPref val="3"/>
        </dgm:presLayoutVars>
      </dgm:prSet>
      <dgm:spPr/>
    </dgm:pt>
    <dgm:pt modelId="{4AD4AE24-94B3-4222-96EC-12333AB42892}" type="pres">
      <dgm:prSet presAssocID="{7CAFB958-2B40-42DE-9D69-B68FB57A20FD}" presName="level3hierChild" presStyleCnt="0"/>
      <dgm:spPr/>
    </dgm:pt>
    <dgm:pt modelId="{689646B4-2B28-494C-B0DB-511493D0722D}" type="pres">
      <dgm:prSet presAssocID="{D89DB3EF-0F5E-4006-8234-1BEF17527B8E}" presName="conn2-1" presStyleLbl="parChTrans1D3" presStyleIdx="1" presStyleCnt="3"/>
      <dgm:spPr/>
    </dgm:pt>
    <dgm:pt modelId="{304850C4-6EDA-4B26-9956-F2D371E2255E}" type="pres">
      <dgm:prSet presAssocID="{D89DB3EF-0F5E-4006-8234-1BEF17527B8E}" presName="connTx" presStyleLbl="parChTrans1D3" presStyleIdx="1" presStyleCnt="3"/>
      <dgm:spPr/>
    </dgm:pt>
    <dgm:pt modelId="{438A8AB9-74A7-4786-9D1C-CABB0C8D5FBA}" type="pres">
      <dgm:prSet presAssocID="{5BAB3883-C242-4688-8448-A80D24DD35C3}" presName="root2" presStyleCnt="0"/>
      <dgm:spPr/>
    </dgm:pt>
    <dgm:pt modelId="{F23E05AC-420C-4A0C-80EF-4E5B7B1FB4D6}" type="pres">
      <dgm:prSet presAssocID="{5BAB3883-C242-4688-8448-A80D24DD35C3}" presName="LevelTwoTextNode" presStyleLbl="node3" presStyleIdx="1" presStyleCnt="3">
        <dgm:presLayoutVars>
          <dgm:chPref val="3"/>
        </dgm:presLayoutVars>
      </dgm:prSet>
      <dgm:spPr/>
    </dgm:pt>
    <dgm:pt modelId="{AA41E3F2-F9D9-4569-A211-F608EF766582}" type="pres">
      <dgm:prSet presAssocID="{5BAB3883-C242-4688-8448-A80D24DD35C3}" presName="level3hierChild" presStyleCnt="0"/>
      <dgm:spPr/>
    </dgm:pt>
    <dgm:pt modelId="{530C3156-009D-4CE6-9AC0-CE0D599EA16D}" type="pres">
      <dgm:prSet presAssocID="{B7D82E41-6B77-4A15-8C0D-82539200E0A1}" presName="conn2-1" presStyleLbl="parChTrans1D2" presStyleIdx="2" presStyleCnt="3"/>
      <dgm:spPr/>
    </dgm:pt>
    <dgm:pt modelId="{7FD92EFF-DC6D-43A8-9A04-B6349048CEC3}" type="pres">
      <dgm:prSet presAssocID="{B7D82E41-6B77-4A15-8C0D-82539200E0A1}" presName="connTx" presStyleLbl="parChTrans1D2" presStyleIdx="2" presStyleCnt="3"/>
      <dgm:spPr/>
    </dgm:pt>
    <dgm:pt modelId="{7469C073-4755-4582-9601-EF73D8A6169B}" type="pres">
      <dgm:prSet presAssocID="{B62C4582-1B47-49A3-B1BA-02D15E0FA8C4}" presName="root2" presStyleCnt="0"/>
      <dgm:spPr/>
    </dgm:pt>
    <dgm:pt modelId="{70B46348-E2A0-428A-B325-5705AA8028B3}" type="pres">
      <dgm:prSet presAssocID="{B62C4582-1B47-49A3-B1BA-02D15E0FA8C4}" presName="LevelTwoTextNode" presStyleLbl="node2" presStyleIdx="2" presStyleCnt="3">
        <dgm:presLayoutVars>
          <dgm:chPref val="3"/>
        </dgm:presLayoutVars>
      </dgm:prSet>
      <dgm:spPr/>
    </dgm:pt>
    <dgm:pt modelId="{41957373-FA3D-4D2B-A2AD-9DB2AAC55C3B}" type="pres">
      <dgm:prSet presAssocID="{B62C4582-1B47-49A3-B1BA-02D15E0FA8C4}" presName="level3hierChild" presStyleCnt="0"/>
      <dgm:spPr/>
    </dgm:pt>
    <dgm:pt modelId="{66E88A14-BAB7-413C-8DAC-E4A2B6934F45}" type="pres">
      <dgm:prSet presAssocID="{DFAF0ED2-C696-4206-AF72-F0588E56A0D4}" presName="conn2-1" presStyleLbl="parChTrans1D3" presStyleIdx="2" presStyleCnt="3"/>
      <dgm:spPr/>
    </dgm:pt>
    <dgm:pt modelId="{0C2AA6F1-3858-4712-9FA7-3E239E518B92}" type="pres">
      <dgm:prSet presAssocID="{DFAF0ED2-C696-4206-AF72-F0588E56A0D4}" presName="connTx" presStyleLbl="parChTrans1D3" presStyleIdx="2" presStyleCnt="3"/>
      <dgm:spPr/>
    </dgm:pt>
    <dgm:pt modelId="{790054D1-F6FA-4783-92AC-10677F3520E3}" type="pres">
      <dgm:prSet presAssocID="{84790FFF-0BB7-49C5-B365-E8CE069F577E}" presName="root2" presStyleCnt="0"/>
      <dgm:spPr/>
    </dgm:pt>
    <dgm:pt modelId="{385CDF54-AC42-405B-8B77-B98AD90F34F1}" type="pres">
      <dgm:prSet presAssocID="{84790FFF-0BB7-49C5-B365-E8CE069F577E}" presName="LevelTwoTextNode" presStyleLbl="node3" presStyleIdx="2" presStyleCnt="3">
        <dgm:presLayoutVars>
          <dgm:chPref val="3"/>
        </dgm:presLayoutVars>
      </dgm:prSet>
      <dgm:spPr/>
    </dgm:pt>
    <dgm:pt modelId="{502A8601-632E-4891-9F95-06F310D65287}" type="pres">
      <dgm:prSet presAssocID="{84790FFF-0BB7-49C5-B365-E8CE069F577E}" presName="level3hierChild" presStyleCnt="0"/>
      <dgm:spPr/>
    </dgm:pt>
    <dgm:pt modelId="{34FE3DBE-D76C-46DD-A6A1-AACE07CED360}" type="pres">
      <dgm:prSet presAssocID="{28A8C854-4371-460F-B439-34DEEC288791}" presName="conn2-1" presStyleLbl="parChTrans1D4" presStyleIdx="2" presStyleCnt="3"/>
      <dgm:spPr/>
    </dgm:pt>
    <dgm:pt modelId="{56A35FD9-7BE3-41D6-8F1C-1FFEA9910D31}" type="pres">
      <dgm:prSet presAssocID="{28A8C854-4371-460F-B439-34DEEC288791}" presName="connTx" presStyleLbl="parChTrans1D4" presStyleIdx="2" presStyleCnt="3"/>
      <dgm:spPr/>
    </dgm:pt>
    <dgm:pt modelId="{6FE882EE-B4ED-48BD-814F-85218F42881F}" type="pres">
      <dgm:prSet presAssocID="{243818CD-25D5-426B-A8A5-B17980663A5E}" presName="root2" presStyleCnt="0"/>
      <dgm:spPr/>
    </dgm:pt>
    <dgm:pt modelId="{C007F74D-D915-4B1D-9926-26ACF676C91F}" type="pres">
      <dgm:prSet presAssocID="{243818CD-25D5-426B-A8A5-B17980663A5E}" presName="LevelTwoTextNode" presStyleLbl="node4" presStyleIdx="2" presStyleCnt="3">
        <dgm:presLayoutVars>
          <dgm:chPref val="3"/>
        </dgm:presLayoutVars>
      </dgm:prSet>
      <dgm:spPr/>
    </dgm:pt>
    <dgm:pt modelId="{31DE6F68-7D8C-4ED6-A532-D9EAD1E4466A}" type="pres">
      <dgm:prSet presAssocID="{243818CD-25D5-426B-A8A5-B17980663A5E}" presName="level3hierChild" presStyleCnt="0"/>
      <dgm:spPr/>
    </dgm:pt>
  </dgm:ptLst>
  <dgm:cxnLst>
    <dgm:cxn modelId="{323A2409-AF4F-4CA6-8313-FB5658671EB5}" type="presOf" srcId="{7CAFB958-2B40-42DE-9D69-B68FB57A20FD}" destId="{7FE28124-E944-4026-8357-2663DC08B1CF}" srcOrd="0" destOrd="0" presId="urn:microsoft.com/office/officeart/2008/layout/HorizontalMultiLevelHierarchy"/>
    <dgm:cxn modelId="{82033C0D-50A8-4259-B575-4AD62B68EA55}" type="presOf" srcId="{42CB47A4-9C91-4D5C-99CB-0183D5DFFFBC}" destId="{0EF58E61-AA7E-40D2-9EA1-FD10C968E904}" srcOrd="0" destOrd="0" presId="urn:microsoft.com/office/officeart/2008/layout/HorizontalMultiLevelHierarchy"/>
    <dgm:cxn modelId="{BD7E4511-102C-40B3-9193-AF99378289BF}" type="presOf" srcId="{B7D82E41-6B77-4A15-8C0D-82539200E0A1}" destId="{7FD92EFF-DC6D-43A8-9A04-B6349048CEC3}" srcOrd="1" destOrd="0" presId="urn:microsoft.com/office/officeart/2008/layout/HorizontalMultiLevelHierarchy"/>
    <dgm:cxn modelId="{EF9B0213-A506-44C7-B000-8B99714F1654}" type="presOf" srcId="{B5A5ACFE-1062-4635-8245-28AE81E7713E}" destId="{0B33F1A9-1EB5-43AD-9A01-5FAA0F25E6F5}" srcOrd="1" destOrd="0" presId="urn:microsoft.com/office/officeart/2008/layout/HorizontalMultiLevelHierarchy"/>
    <dgm:cxn modelId="{914D9816-8D25-4CCE-8CAF-E2887B53699E}" type="presOf" srcId="{5BAB3883-C242-4688-8448-A80D24DD35C3}" destId="{F23E05AC-420C-4A0C-80EF-4E5B7B1FB4D6}" srcOrd="0" destOrd="0" presId="urn:microsoft.com/office/officeart/2008/layout/HorizontalMultiLevelHierarchy"/>
    <dgm:cxn modelId="{C506C71C-F541-43F5-AE86-4AE56FF55246}" type="presOf" srcId="{F4AF0459-265A-4EED-87EB-EBD75089D025}" destId="{71C3EB14-BB59-4ECB-B0DB-94D6E6D3D293}" srcOrd="0" destOrd="0" presId="urn:microsoft.com/office/officeart/2008/layout/HorizontalMultiLevelHierarchy"/>
    <dgm:cxn modelId="{D1C7982D-05EA-4936-A405-FB79F735C367}" type="presOf" srcId="{B5A5ACFE-1062-4635-8245-28AE81E7713E}" destId="{6A06BAA5-A702-4D5C-A34F-87929BC50D95}" srcOrd="0" destOrd="0" presId="urn:microsoft.com/office/officeart/2008/layout/HorizontalMultiLevelHierarchy"/>
    <dgm:cxn modelId="{93A23D2F-FAC8-4C50-A4F9-1EB7D75AA9F9}" type="presOf" srcId="{2F2E90C0-A12E-473D-9081-A2BC8644E370}" destId="{6D5211D1-B486-4EA6-9C61-0ABABD207976}" srcOrd="0" destOrd="0" presId="urn:microsoft.com/office/officeart/2008/layout/HorizontalMultiLevelHierarchy"/>
    <dgm:cxn modelId="{5BB43D37-296C-414A-99F1-5BCA14A7314B}" srcId="{D7BD8E43-E757-4A5E-9C4F-727A2BCBF880}" destId="{E09DDB0B-C6EE-4D5F-825F-FB57A6AFA05D}" srcOrd="0" destOrd="0" parTransId="{233163F6-44BE-422A-8D6A-F8507C8E09CA}" sibTransId="{E23E3173-B672-4A0F-A92F-09DEB9BBE873}"/>
    <dgm:cxn modelId="{A4B61038-EEE8-41D1-99A9-0519B455D6E4}" type="presOf" srcId="{28A8C854-4371-460F-B439-34DEEC288791}" destId="{34FE3DBE-D76C-46DD-A6A1-AACE07CED360}" srcOrd="0" destOrd="0" presId="urn:microsoft.com/office/officeart/2008/layout/HorizontalMultiLevelHierarchy"/>
    <dgm:cxn modelId="{EE51A23D-C612-46B6-9842-F2D1ED95318E}" srcId="{667920FD-8395-4EED-9FC9-9C00BE38A18E}" destId="{D572156E-051B-41F1-8F44-A4C8E651676F}" srcOrd="0" destOrd="0" parTransId="{F4AF0459-265A-4EED-87EB-EBD75089D025}" sibTransId="{19DC6975-5B5B-4E69-B59E-76B0630D4755}"/>
    <dgm:cxn modelId="{9FC8B245-9272-4968-BFD0-3A23C47384F1}" srcId="{667920FD-8395-4EED-9FC9-9C00BE38A18E}" destId="{7CAFB958-2B40-42DE-9D69-B68FB57A20FD}" srcOrd="1" destOrd="0" parTransId="{B5A5ACFE-1062-4635-8245-28AE81E7713E}" sibTransId="{2FF574E5-1C6B-4266-AF80-201C2426E9F3}"/>
    <dgm:cxn modelId="{D2BC2747-A156-4F70-954D-7FFE7F43014E}" type="presOf" srcId="{DFAF0ED2-C696-4206-AF72-F0588E56A0D4}" destId="{66E88A14-BAB7-413C-8DAC-E4A2B6934F45}" srcOrd="0" destOrd="0" presId="urn:microsoft.com/office/officeart/2008/layout/HorizontalMultiLevelHierarchy"/>
    <dgm:cxn modelId="{6FD8A467-B73B-4C07-9A43-91CC7E5D2D41}" srcId="{D7BD8E43-E757-4A5E-9C4F-727A2BCBF880}" destId="{42CB47A4-9C91-4D5C-99CB-0183D5DFFFBC}" srcOrd="1" destOrd="0" parTransId="{C88AA6EF-3CE5-41DF-B1BE-E66D7BCECE28}" sibTransId="{37E4A0A7-5526-4C07-96E7-947C0998887A}"/>
    <dgm:cxn modelId="{8A05556B-226B-47FE-A7A0-8ED35260F41D}" type="presOf" srcId="{DFAF0ED2-C696-4206-AF72-F0588E56A0D4}" destId="{0C2AA6F1-3858-4712-9FA7-3E239E518B92}" srcOrd="1" destOrd="0" presId="urn:microsoft.com/office/officeart/2008/layout/HorizontalMultiLevelHierarchy"/>
    <dgm:cxn modelId="{1A7E2D4C-A417-4813-B858-707E1BAB3615}" type="presOf" srcId="{DC3406BE-6832-4762-8F23-2756A5FED612}" destId="{B35597C1-046F-4F0A-91C3-777F7C3CAC4E}" srcOrd="0" destOrd="0" presId="urn:microsoft.com/office/officeart/2008/layout/HorizontalMultiLevelHierarchy"/>
    <dgm:cxn modelId="{45E0E34E-D884-4DF8-8518-7F7807F36A15}" type="presOf" srcId="{E09DDB0B-C6EE-4D5F-825F-FB57A6AFA05D}" destId="{0C9DE918-C12F-45A6-B7CD-3DBC91ABA330}" srcOrd="0" destOrd="0" presId="urn:microsoft.com/office/officeart/2008/layout/HorizontalMultiLevelHierarchy"/>
    <dgm:cxn modelId="{9F1D044F-773F-4FB8-AC0E-0603BBCB40CF}" type="presOf" srcId="{233163F6-44BE-422A-8D6A-F8507C8E09CA}" destId="{8544C45B-167C-4524-894D-DB9BE1E27233}" srcOrd="0" destOrd="0" presId="urn:microsoft.com/office/officeart/2008/layout/HorizontalMultiLevelHierarchy"/>
    <dgm:cxn modelId="{0B039B74-D107-47D6-BDB5-894AAC86CEA9}" type="presOf" srcId="{C88AA6EF-3CE5-41DF-B1BE-E66D7BCECE28}" destId="{3A91213D-A740-4089-9D65-CB95A6A3145B}" srcOrd="1" destOrd="0" presId="urn:microsoft.com/office/officeart/2008/layout/HorizontalMultiLevelHierarchy"/>
    <dgm:cxn modelId="{33EAFB7A-D5DB-4051-8760-7939C53E0C7F}" type="presOf" srcId="{B62C4582-1B47-49A3-B1BA-02D15E0FA8C4}" destId="{70B46348-E2A0-428A-B325-5705AA8028B3}" srcOrd="0" destOrd="0" presId="urn:microsoft.com/office/officeart/2008/layout/HorizontalMultiLevelHierarchy"/>
    <dgm:cxn modelId="{DAD7187F-D9EF-4C62-BD10-D2774E2B701A}" type="presOf" srcId="{D572156E-051B-41F1-8F44-A4C8E651676F}" destId="{29585426-42D9-45DD-9270-52CE683DC2AD}" srcOrd="0" destOrd="0" presId="urn:microsoft.com/office/officeart/2008/layout/HorizontalMultiLevelHierarchy"/>
    <dgm:cxn modelId="{BFDA5D8F-EB96-4301-AF0B-1400461DAD39}" type="presOf" srcId="{B7D82E41-6B77-4A15-8C0D-82539200E0A1}" destId="{530C3156-009D-4CE6-9AC0-CE0D599EA16D}" srcOrd="0" destOrd="0" presId="urn:microsoft.com/office/officeart/2008/layout/HorizontalMultiLevelHierarchy"/>
    <dgm:cxn modelId="{C62C359C-A0DA-4FC5-A510-D957E1B2B3A3}" srcId="{84790FFF-0BB7-49C5-B365-E8CE069F577E}" destId="{243818CD-25D5-426B-A8A5-B17980663A5E}" srcOrd="0" destOrd="0" parTransId="{28A8C854-4371-460F-B439-34DEEC288791}" sibTransId="{701D6A95-82C9-48C5-B04A-3E4F842E892C}"/>
    <dgm:cxn modelId="{2C91EE9E-86E4-483A-AA53-BE6DCF317D7E}" type="presOf" srcId="{C88AA6EF-3CE5-41DF-B1BE-E66D7BCECE28}" destId="{420125B8-E613-4D5F-A844-C5774DA72C3B}" srcOrd="0" destOrd="0" presId="urn:microsoft.com/office/officeart/2008/layout/HorizontalMultiLevelHierarchy"/>
    <dgm:cxn modelId="{8FBC3AA8-5E49-4193-BC31-81626E7F6414}" srcId="{667920FD-8395-4EED-9FC9-9C00BE38A18E}" destId="{B62C4582-1B47-49A3-B1BA-02D15E0FA8C4}" srcOrd="2" destOrd="0" parTransId="{B7D82E41-6B77-4A15-8C0D-82539200E0A1}" sibTransId="{2139B8E6-F5EB-46FF-BD49-746BE353F4A3}"/>
    <dgm:cxn modelId="{7C995AA8-D294-42CE-83FB-CDB26202CD7F}" type="presOf" srcId="{84790FFF-0BB7-49C5-B365-E8CE069F577E}" destId="{385CDF54-AC42-405B-8B77-B98AD90F34F1}" srcOrd="0" destOrd="0" presId="urn:microsoft.com/office/officeart/2008/layout/HorizontalMultiLevelHierarchy"/>
    <dgm:cxn modelId="{C321FBAB-9B0B-4980-8406-749B72CE3C28}" type="presOf" srcId="{D89DB3EF-0F5E-4006-8234-1BEF17527B8E}" destId="{304850C4-6EDA-4B26-9956-F2D371E2255E}" srcOrd="1" destOrd="0" presId="urn:microsoft.com/office/officeart/2008/layout/HorizontalMultiLevelHierarchy"/>
    <dgm:cxn modelId="{7E3F70AC-A72E-4FB1-BDF0-79A91A774AD4}" type="presOf" srcId="{2F2E90C0-A12E-473D-9081-A2BC8644E370}" destId="{3E753E52-E478-406A-90C4-036AB39C6AE3}" srcOrd="1" destOrd="0" presId="urn:microsoft.com/office/officeart/2008/layout/HorizontalMultiLevelHierarchy"/>
    <dgm:cxn modelId="{0CE8C2B0-C295-400F-8CA3-033F4D03F375}" type="presOf" srcId="{D89DB3EF-0F5E-4006-8234-1BEF17527B8E}" destId="{689646B4-2B28-494C-B0DB-511493D0722D}" srcOrd="0" destOrd="0" presId="urn:microsoft.com/office/officeart/2008/layout/HorizontalMultiLevelHierarchy"/>
    <dgm:cxn modelId="{66BED4B1-B1F0-44D9-98F5-DA557EADF341}" srcId="{7CAFB958-2B40-42DE-9D69-B68FB57A20FD}" destId="{5BAB3883-C242-4688-8448-A80D24DD35C3}" srcOrd="0" destOrd="0" parTransId="{D89DB3EF-0F5E-4006-8234-1BEF17527B8E}" sibTransId="{B0AF9F34-0647-4E5A-9F2B-1CE270088EA8}"/>
    <dgm:cxn modelId="{747D0EB9-5888-436E-94BA-021EAE6E5AC7}" type="presOf" srcId="{F4AF0459-265A-4EED-87EB-EBD75089D025}" destId="{8E8F3966-1709-4424-98BA-787E1E473EDA}" srcOrd="1" destOrd="0" presId="urn:microsoft.com/office/officeart/2008/layout/HorizontalMultiLevelHierarchy"/>
    <dgm:cxn modelId="{A62267BB-ADC6-4687-BB3A-26FD5D44E584}" srcId="{B62C4582-1B47-49A3-B1BA-02D15E0FA8C4}" destId="{84790FFF-0BB7-49C5-B365-E8CE069F577E}" srcOrd="0" destOrd="0" parTransId="{DFAF0ED2-C696-4206-AF72-F0588E56A0D4}" sibTransId="{154D83B6-38E4-4797-BA1F-FD11DDD2CC10}"/>
    <dgm:cxn modelId="{1F034EBF-245E-4269-B73D-EB2CFA894970}" type="presOf" srcId="{28A8C854-4371-460F-B439-34DEEC288791}" destId="{56A35FD9-7BE3-41D6-8F1C-1FFEA9910D31}" srcOrd="1" destOrd="0" presId="urn:microsoft.com/office/officeart/2008/layout/HorizontalMultiLevelHierarchy"/>
    <dgm:cxn modelId="{B86133C6-C9C5-4F28-AAB5-34BE4CB2F6F3}" srcId="{D572156E-051B-41F1-8F44-A4C8E651676F}" destId="{D7BD8E43-E757-4A5E-9C4F-727A2BCBF880}" srcOrd="0" destOrd="0" parTransId="{2F2E90C0-A12E-473D-9081-A2BC8644E370}" sibTransId="{22B65023-33F5-4B88-B695-FA5C5FF8A0A9}"/>
    <dgm:cxn modelId="{AFF318D3-1C05-4B42-9728-8C9BE2F5EE21}" type="presOf" srcId="{D7BD8E43-E757-4A5E-9C4F-727A2BCBF880}" destId="{A066A57B-55AA-49B2-A827-1C04D3541042}" srcOrd="0" destOrd="0" presId="urn:microsoft.com/office/officeart/2008/layout/HorizontalMultiLevelHierarchy"/>
    <dgm:cxn modelId="{EB27D2D3-BC13-4766-8CE4-E17770313EEE}" type="presOf" srcId="{243818CD-25D5-426B-A8A5-B17980663A5E}" destId="{C007F74D-D915-4B1D-9926-26ACF676C91F}" srcOrd="0" destOrd="0" presId="urn:microsoft.com/office/officeart/2008/layout/HorizontalMultiLevelHierarchy"/>
    <dgm:cxn modelId="{3AA54DD5-79E3-42BB-A574-A74D8CC55CCD}" type="presOf" srcId="{233163F6-44BE-422A-8D6A-F8507C8E09CA}" destId="{E1C4CDDB-D717-42C3-87D9-1C008AB44DEA}" srcOrd="1" destOrd="0" presId="urn:microsoft.com/office/officeart/2008/layout/HorizontalMultiLevelHierarchy"/>
    <dgm:cxn modelId="{89096EDC-F72E-4F91-A324-6E0EE2A72A83}" srcId="{DC3406BE-6832-4762-8F23-2756A5FED612}" destId="{667920FD-8395-4EED-9FC9-9C00BE38A18E}" srcOrd="0" destOrd="0" parTransId="{6CE713DB-ADE5-4245-ADA8-172CA766DE87}" sibTransId="{6D363FD0-2620-4722-BBE0-A4487A745882}"/>
    <dgm:cxn modelId="{FAC8D5FB-D99F-481D-986B-F065B458FC7F}" type="presOf" srcId="{667920FD-8395-4EED-9FC9-9C00BE38A18E}" destId="{E7FB635D-8A90-4184-8878-E5B808191C1B}" srcOrd="0" destOrd="0" presId="urn:microsoft.com/office/officeart/2008/layout/HorizontalMultiLevelHierarchy"/>
    <dgm:cxn modelId="{EF5FAB85-01BE-483C-8855-D7A48EBFF11B}" type="presParOf" srcId="{B35597C1-046F-4F0A-91C3-777F7C3CAC4E}" destId="{803560A2-6582-4343-A7C0-2ED1806FD129}" srcOrd="0" destOrd="0" presId="urn:microsoft.com/office/officeart/2008/layout/HorizontalMultiLevelHierarchy"/>
    <dgm:cxn modelId="{8C3C5B95-FED9-4006-894A-E4487340FA44}" type="presParOf" srcId="{803560A2-6582-4343-A7C0-2ED1806FD129}" destId="{E7FB635D-8A90-4184-8878-E5B808191C1B}" srcOrd="0" destOrd="0" presId="urn:microsoft.com/office/officeart/2008/layout/HorizontalMultiLevelHierarchy"/>
    <dgm:cxn modelId="{289E5D41-805E-4C2C-A857-A476507B1C81}" type="presParOf" srcId="{803560A2-6582-4343-A7C0-2ED1806FD129}" destId="{028857F0-8723-4319-A0FD-EA46D3850097}" srcOrd="1" destOrd="0" presId="urn:microsoft.com/office/officeart/2008/layout/HorizontalMultiLevelHierarchy"/>
    <dgm:cxn modelId="{25CB9FD5-64F6-4EA1-9ACC-042912D8EE0C}" type="presParOf" srcId="{028857F0-8723-4319-A0FD-EA46D3850097}" destId="{71C3EB14-BB59-4ECB-B0DB-94D6E6D3D293}" srcOrd="0" destOrd="0" presId="urn:microsoft.com/office/officeart/2008/layout/HorizontalMultiLevelHierarchy"/>
    <dgm:cxn modelId="{66E1A272-1661-43EE-8CEB-6BDD204B1F4C}" type="presParOf" srcId="{71C3EB14-BB59-4ECB-B0DB-94D6E6D3D293}" destId="{8E8F3966-1709-4424-98BA-787E1E473EDA}" srcOrd="0" destOrd="0" presId="urn:microsoft.com/office/officeart/2008/layout/HorizontalMultiLevelHierarchy"/>
    <dgm:cxn modelId="{7183B752-BDEA-46E9-BC88-9AFB444F8E9F}" type="presParOf" srcId="{028857F0-8723-4319-A0FD-EA46D3850097}" destId="{14D725A6-BACD-409C-AC7D-CBF70BEA0D11}" srcOrd="1" destOrd="0" presId="urn:microsoft.com/office/officeart/2008/layout/HorizontalMultiLevelHierarchy"/>
    <dgm:cxn modelId="{DB63CC1E-EDE4-406B-8B19-EBDBBD71F75F}" type="presParOf" srcId="{14D725A6-BACD-409C-AC7D-CBF70BEA0D11}" destId="{29585426-42D9-45DD-9270-52CE683DC2AD}" srcOrd="0" destOrd="0" presId="urn:microsoft.com/office/officeart/2008/layout/HorizontalMultiLevelHierarchy"/>
    <dgm:cxn modelId="{92842086-8A21-49CF-80F9-16B4CBE5AFD7}" type="presParOf" srcId="{14D725A6-BACD-409C-AC7D-CBF70BEA0D11}" destId="{1762AC67-0A0E-481A-B926-C68803388A0E}" srcOrd="1" destOrd="0" presId="urn:microsoft.com/office/officeart/2008/layout/HorizontalMultiLevelHierarchy"/>
    <dgm:cxn modelId="{8282B885-B8A5-44DA-ACB7-EDA3D5FA009A}" type="presParOf" srcId="{1762AC67-0A0E-481A-B926-C68803388A0E}" destId="{6D5211D1-B486-4EA6-9C61-0ABABD207976}" srcOrd="0" destOrd="0" presId="urn:microsoft.com/office/officeart/2008/layout/HorizontalMultiLevelHierarchy"/>
    <dgm:cxn modelId="{CFB11B3C-8E81-4FE6-B046-678E75AE5FB7}" type="presParOf" srcId="{6D5211D1-B486-4EA6-9C61-0ABABD207976}" destId="{3E753E52-E478-406A-90C4-036AB39C6AE3}" srcOrd="0" destOrd="0" presId="urn:microsoft.com/office/officeart/2008/layout/HorizontalMultiLevelHierarchy"/>
    <dgm:cxn modelId="{764D1FD3-2791-423F-BFAE-4A92C9E7A822}" type="presParOf" srcId="{1762AC67-0A0E-481A-B926-C68803388A0E}" destId="{7502342F-7F6B-4F60-92B1-43008C5811FB}" srcOrd="1" destOrd="0" presId="urn:microsoft.com/office/officeart/2008/layout/HorizontalMultiLevelHierarchy"/>
    <dgm:cxn modelId="{482EE883-53A6-4A2A-9449-2BC216003522}" type="presParOf" srcId="{7502342F-7F6B-4F60-92B1-43008C5811FB}" destId="{A066A57B-55AA-49B2-A827-1C04D3541042}" srcOrd="0" destOrd="0" presId="urn:microsoft.com/office/officeart/2008/layout/HorizontalMultiLevelHierarchy"/>
    <dgm:cxn modelId="{2651E713-A16B-4590-929A-01A62877FAF2}" type="presParOf" srcId="{7502342F-7F6B-4F60-92B1-43008C5811FB}" destId="{DD192244-8434-44C9-BBDA-B18883B6054A}" srcOrd="1" destOrd="0" presId="urn:microsoft.com/office/officeart/2008/layout/HorizontalMultiLevelHierarchy"/>
    <dgm:cxn modelId="{6071335C-D0BA-47C9-8847-69A9F5741D69}" type="presParOf" srcId="{DD192244-8434-44C9-BBDA-B18883B6054A}" destId="{8544C45B-167C-4524-894D-DB9BE1E27233}" srcOrd="0" destOrd="0" presId="urn:microsoft.com/office/officeart/2008/layout/HorizontalMultiLevelHierarchy"/>
    <dgm:cxn modelId="{8CA450A4-359A-49F3-9CB0-5C84355A436B}" type="presParOf" srcId="{8544C45B-167C-4524-894D-DB9BE1E27233}" destId="{E1C4CDDB-D717-42C3-87D9-1C008AB44DEA}" srcOrd="0" destOrd="0" presId="urn:microsoft.com/office/officeart/2008/layout/HorizontalMultiLevelHierarchy"/>
    <dgm:cxn modelId="{55574B40-29AD-4010-A105-5B805D52F453}" type="presParOf" srcId="{DD192244-8434-44C9-BBDA-B18883B6054A}" destId="{D35A8F03-F032-420C-BA3B-6971E750D6BD}" srcOrd="1" destOrd="0" presId="urn:microsoft.com/office/officeart/2008/layout/HorizontalMultiLevelHierarchy"/>
    <dgm:cxn modelId="{86CCC9C6-A305-4A68-88CB-74B5F3D6F680}" type="presParOf" srcId="{D35A8F03-F032-420C-BA3B-6971E750D6BD}" destId="{0C9DE918-C12F-45A6-B7CD-3DBC91ABA330}" srcOrd="0" destOrd="0" presId="urn:microsoft.com/office/officeart/2008/layout/HorizontalMultiLevelHierarchy"/>
    <dgm:cxn modelId="{1327CFAF-FDCE-49E2-808C-FBDD26FB23B2}" type="presParOf" srcId="{D35A8F03-F032-420C-BA3B-6971E750D6BD}" destId="{D795AEEF-9467-4B65-A805-973E4776B9FF}" srcOrd="1" destOrd="0" presId="urn:microsoft.com/office/officeart/2008/layout/HorizontalMultiLevelHierarchy"/>
    <dgm:cxn modelId="{1D435E62-9B25-4866-97F4-1B1DBDF1AEAB}" type="presParOf" srcId="{DD192244-8434-44C9-BBDA-B18883B6054A}" destId="{420125B8-E613-4D5F-A844-C5774DA72C3B}" srcOrd="2" destOrd="0" presId="urn:microsoft.com/office/officeart/2008/layout/HorizontalMultiLevelHierarchy"/>
    <dgm:cxn modelId="{A1A1B0FA-246A-4784-9D58-C94F71ED3701}" type="presParOf" srcId="{420125B8-E613-4D5F-A844-C5774DA72C3B}" destId="{3A91213D-A740-4089-9D65-CB95A6A3145B}" srcOrd="0" destOrd="0" presId="urn:microsoft.com/office/officeart/2008/layout/HorizontalMultiLevelHierarchy"/>
    <dgm:cxn modelId="{C446557B-F6D6-41D8-B473-4D373101B9C1}" type="presParOf" srcId="{DD192244-8434-44C9-BBDA-B18883B6054A}" destId="{E7CD9CF4-9C8A-4E94-9F75-B64AE37CE356}" srcOrd="3" destOrd="0" presId="urn:microsoft.com/office/officeart/2008/layout/HorizontalMultiLevelHierarchy"/>
    <dgm:cxn modelId="{7062FDDB-7B3A-49E7-AEF9-6CBAFEA60D2F}" type="presParOf" srcId="{E7CD9CF4-9C8A-4E94-9F75-B64AE37CE356}" destId="{0EF58E61-AA7E-40D2-9EA1-FD10C968E904}" srcOrd="0" destOrd="0" presId="urn:microsoft.com/office/officeart/2008/layout/HorizontalMultiLevelHierarchy"/>
    <dgm:cxn modelId="{6CE2A00C-4C7C-4BFE-9942-3B5F7F340748}" type="presParOf" srcId="{E7CD9CF4-9C8A-4E94-9F75-B64AE37CE356}" destId="{A74FC62E-359B-40F6-A7F5-471C0B15CA75}" srcOrd="1" destOrd="0" presId="urn:microsoft.com/office/officeart/2008/layout/HorizontalMultiLevelHierarchy"/>
    <dgm:cxn modelId="{E34598DB-518A-4158-90BA-1C76B42F2C8D}" type="presParOf" srcId="{028857F0-8723-4319-A0FD-EA46D3850097}" destId="{6A06BAA5-A702-4D5C-A34F-87929BC50D95}" srcOrd="2" destOrd="0" presId="urn:microsoft.com/office/officeart/2008/layout/HorizontalMultiLevelHierarchy"/>
    <dgm:cxn modelId="{129DB9F6-911E-4DE6-8127-46BAA6BC3E8B}" type="presParOf" srcId="{6A06BAA5-A702-4D5C-A34F-87929BC50D95}" destId="{0B33F1A9-1EB5-43AD-9A01-5FAA0F25E6F5}" srcOrd="0" destOrd="0" presId="urn:microsoft.com/office/officeart/2008/layout/HorizontalMultiLevelHierarchy"/>
    <dgm:cxn modelId="{F7B63FCD-9B93-4731-857A-DA18C42C41B3}" type="presParOf" srcId="{028857F0-8723-4319-A0FD-EA46D3850097}" destId="{BEE4A7AC-1CB8-4E23-8F47-F576CBD0956F}" srcOrd="3" destOrd="0" presId="urn:microsoft.com/office/officeart/2008/layout/HorizontalMultiLevelHierarchy"/>
    <dgm:cxn modelId="{F091263D-AF2B-4633-B785-9DC10879E310}" type="presParOf" srcId="{BEE4A7AC-1CB8-4E23-8F47-F576CBD0956F}" destId="{7FE28124-E944-4026-8357-2663DC08B1CF}" srcOrd="0" destOrd="0" presId="urn:microsoft.com/office/officeart/2008/layout/HorizontalMultiLevelHierarchy"/>
    <dgm:cxn modelId="{804766F2-296A-43B7-8714-18BD8F2F1F57}" type="presParOf" srcId="{BEE4A7AC-1CB8-4E23-8F47-F576CBD0956F}" destId="{4AD4AE24-94B3-4222-96EC-12333AB42892}" srcOrd="1" destOrd="0" presId="urn:microsoft.com/office/officeart/2008/layout/HorizontalMultiLevelHierarchy"/>
    <dgm:cxn modelId="{06DDEE60-C504-4B33-83D1-7FA3494E39DA}" type="presParOf" srcId="{4AD4AE24-94B3-4222-96EC-12333AB42892}" destId="{689646B4-2B28-494C-B0DB-511493D0722D}" srcOrd="0" destOrd="0" presId="urn:microsoft.com/office/officeart/2008/layout/HorizontalMultiLevelHierarchy"/>
    <dgm:cxn modelId="{A6C603E3-34D2-4782-935E-F20C36D104E6}" type="presParOf" srcId="{689646B4-2B28-494C-B0DB-511493D0722D}" destId="{304850C4-6EDA-4B26-9956-F2D371E2255E}" srcOrd="0" destOrd="0" presId="urn:microsoft.com/office/officeart/2008/layout/HorizontalMultiLevelHierarchy"/>
    <dgm:cxn modelId="{64676523-5236-4B67-AD67-50B3D695A9EA}" type="presParOf" srcId="{4AD4AE24-94B3-4222-96EC-12333AB42892}" destId="{438A8AB9-74A7-4786-9D1C-CABB0C8D5FBA}" srcOrd="1" destOrd="0" presId="urn:microsoft.com/office/officeart/2008/layout/HorizontalMultiLevelHierarchy"/>
    <dgm:cxn modelId="{E39A83EC-6C4B-4DBF-AC90-4E56A4B1AADC}" type="presParOf" srcId="{438A8AB9-74A7-4786-9D1C-CABB0C8D5FBA}" destId="{F23E05AC-420C-4A0C-80EF-4E5B7B1FB4D6}" srcOrd="0" destOrd="0" presId="urn:microsoft.com/office/officeart/2008/layout/HorizontalMultiLevelHierarchy"/>
    <dgm:cxn modelId="{30F18D40-EC47-4750-879B-F79D71A95DA1}" type="presParOf" srcId="{438A8AB9-74A7-4786-9D1C-CABB0C8D5FBA}" destId="{AA41E3F2-F9D9-4569-A211-F608EF766582}" srcOrd="1" destOrd="0" presId="urn:microsoft.com/office/officeart/2008/layout/HorizontalMultiLevelHierarchy"/>
    <dgm:cxn modelId="{8EABA0D5-74D6-448F-9D23-C2CA22BA407E}" type="presParOf" srcId="{028857F0-8723-4319-A0FD-EA46D3850097}" destId="{530C3156-009D-4CE6-9AC0-CE0D599EA16D}" srcOrd="4" destOrd="0" presId="urn:microsoft.com/office/officeart/2008/layout/HorizontalMultiLevelHierarchy"/>
    <dgm:cxn modelId="{85E9749A-E839-4EE5-A22D-C99B73490375}" type="presParOf" srcId="{530C3156-009D-4CE6-9AC0-CE0D599EA16D}" destId="{7FD92EFF-DC6D-43A8-9A04-B6349048CEC3}" srcOrd="0" destOrd="0" presId="urn:microsoft.com/office/officeart/2008/layout/HorizontalMultiLevelHierarchy"/>
    <dgm:cxn modelId="{92E8F73E-9CAA-4F9D-ACBD-F9691CBC4057}" type="presParOf" srcId="{028857F0-8723-4319-A0FD-EA46D3850097}" destId="{7469C073-4755-4582-9601-EF73D8A6169B}" srcOrd="5" destOrd="0" presId="urn:microsoft.com/office/officeart/2008/layout/HorizontalMultiLevelHierarchy"/>
    <dgm:cxn modelId="{5F2C5879-D7B8-4083-BAD5-CA7CFA36C9BF}" type="presParOf" srcId="{7469C073-4755-4582-9601-EF73D8A6169B}" destId="{70B46348-E2A0-428A-B325-5705AA8028B3}" srcOrd="0" destOrd="0" presId="urn:microsoft.com/office/officeart/2008/layout/HorizontalMultiLevelHierarchy"/>
    <dgm:cxn modelId="{2C81D62F-4B8C-4092-BFAA-C8B72A42309B}" type="presParOf" srcId="{7469C073-4755-4582-9601-EF73D8A6169B}" destId="{41957373-FA3D-4D2B-A2AD-9DB2AAC55C3B}" srcOrd="1" destOrd="0" presId="urn:microsoft.com/office/officeart/2008/layout/HorizontalMultiLevelHierarchy"/>
    <dgm:cxn modelId="{D9A4D5F1-7BDF-485C-8A24-C986C3CC44AE}" type="presParOf" srcId="{41957373-FA3D-4D2B-A2AD-9DB2AAC55C3B}" destId="{66E88A14-BAB7-413C-8DAC-E4A2B6934F45}" srcOrd="0" destOrd="0" presId="urn:microsoft.com/office/officeart/2008/layout/HorizontalMultiLevelHierarchy"/>
    <dgm:cxn modelId="{11AA0C54-27D3-40C2-AFAA-1F05DF44CB12}" type="presParOf" srcId="{66E88A14-BAB7-413C-8DAC-E4A2B6934F45}" destId="{0C2AA6F1-3858-4712-9FA7-3E239E518B92}" srcOrd="0" destOrd="0" presId="urn:microsoft.com/office/officeart/2008/layout/HorizontalMultiLevelHierarchy"/>
    <dgm:cxn modelId="{48281453-DF82-4EC5-8666-9AB55C4478B6}" type="presParOf" srcId="{41957373-FA3D-4D2B-A2AD-9DB2AAC55C3B}" destId="{790054D1-F6FA-4783-92AC-10677F3520E3}" srcOrd="1" destOrd="0" presId="urn:microsoft.com/office/officeart/2008/layout/HorizontalMultiLevelHierarchy"/>
    <dgm:cxn modelId="{0DC2EEC7-F502-4D98-BF89-C3239C58A35B}" type="presParOf" srcId="{790054D1-F6FA-4783-92AC-10677F3520E3}" destId="{385CDF54-AC42-405B-8B77-B98AD90F34F1}" srcOrd="0" destOrd="0" presId="urn:microsoft.com/office/officeart/2008/layout/HorizontalMultiLevelHierarchy"/>
    <dgm:cxn modelId="{191110ED-D1C3-4B99-B9D3-7AB8DB23F496}" type="presParOf" srcId="{790054D1-F6FA-4783-92AC-10677F3520E3}" destId="{502A8601-632E-4891-9F95-06F310D65287}" srcOrd="1" destOrd="0" presId="urn:microsoft.com/office/officeart/2008/layout/HorizontalMultiLevelHierarchy"/>
    <dgm:cxn modelId="{B01AAA3C-BD90-4704-B2A9-CBE60457C1DB}" type="presParOf" srcId="{502A8601-632E-4891-9F95-06F310D65287}" destId="{34FE3DBE-D76C-46DD-A6A1-AACE07CED360}" srcOrd="0" destOrd="0" presId="urn:microsoft.com/office/officeart/2008/layout/HorizontalMultiLevelHierarchy"/>
    <dgm:cxn modelId="{A8CD6009-1291-4FF5-BB57-131FB6900ED9}" type="presParOf" srcId="{34FE3DBE-D76C-46DD-A6A1-AACE07CED360}" destId="{56A35FD9-7BE3-41D6-8F1C-1FFEA9910D31}" srcOrd="0" destOrd="0" presId="urn:microsoft.com/office/officeart/2008/layout/HorizontalMultiLevelHierarchy"/>
    <dgm:cxn modelId="{087F6449-ECAE-4BA8-B6FE-6B8E73736977}" type="presParOf" srcId="{502A8601-632E-4891-9F95-06F310D65287}" destId="{6FE882EE-B4ED-48BD-814F-85218F42881F}" srcOrd="1" destOrd="0" presId="urn:microsoft.com/office/officeart/2008/layout/HorizontalMultiLevelHierarchy"/>
    <dgm:cxn modelId="{A81B6E33-35CD-4263-8446-3DD1B915F5E4}" type="presParOf" srcId="{6FE882EE-B4ED-48BD-814F-85218F42881F}" destId="{C007F74D-D915-4B1D-9926-26ACF676C91F}" srcOrd="0" destOrd="0" presId="urn:microsoft.com/office/officeart/2008/layout/HorizontalMultiLevelHierarchy"/>
    <dgm:cxn modelId="{23A98129-8ADB-483B-BD13-3B23467D810A}" type="presParOf" srcId="{6FE882EE-B4ED-48BD-814F-85218F42881F}" destId="{31DE6F68-7D8C-4ED6-A532-D9EAD1E4466A}" srcOrd="1" destOrd="0" presId="urn:microsoft.com/office/officeart/2008/layout/HorizontalMultiLevelHierarchy"/>
  </dgm:cxnLst>
  <dgm:bg/>
  <dgm:whole/>
  <dgm:extLst>
    <a:ext uri="http://schemas.microsoft.com/office/drawing/2008/diagram">
      <dsp:dataModelExt xmlns:dsp="http://schemas.microsoft.com/office/drawing/2008/diagram" relId="rId4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FAA8A2-2A72-4BFD-88EF-D896DD6EFA8C}">
      <dsp:nvSpPr>
        <dsp:cNvPr id="0" name=""/>
        <dsp:cNvSpPr/>
      </dsp:nvSpPr>
      <dsp:spPr>
        <a:xfrm>
          <a:off x="0" y="517068"/>
          <a:ext cx="6124575" cy="156224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312420" rIns="475335" bIns="71120" numCol="1" spcCol="1270" anchor="t" anchorCtr="0">
          <a:noAutofit/>
        </a:bodyPr>
        <a:lstStyle/>
        <a:p>
          <a:pPr marL="57150" lvl="1" indent="-57150" algn="just" defTabSz="444500">
            <a:lnSpc>
              <a:spcPct val="100000"/>
            </a:lnSpc>
            <a:spcBef>
              <a:spcPct val="0"/>
            </a:spcBef>
            <a:spcAft>
              <a:spcPct val="15000"/>
            </a:spcAft>
            <a:buChar char="•"/>
          </a:pPr>
          <a:r>
            <a:rPr lang="es-CO" sz="1000" kern="1200">
              <a:latin typeface="Arial" panose="020B0604020202020204" pitchFamily="34" charset="0"/>
              <a:cs typeface="Arial" panose="020B0604020202020204" pitchFamily="34" charset="0"/>
            </a:rPr>
            <a:t>Verificar el cumplimiento razonable de la normatividad y las politicas, en el marco del plan de austeridad y eficiencia en el gasto público determinado por el Gobierno Nacional. Así mismo, analizar el comportamiento del gasto público y las medidas de austeridad aplicadas por este Ministerio y como resultado, exponer situaciones y hechos, que puedan servir como base para la toma de decisiones y efectuar las respectivas recomendaciones a que haya lugar. Lo anterior, en cumplimiento de lo establecido en el artículo 2.8.4.8.2 del Decreto 1068 de 2015. </a:t>
          </a:r>
          <a:endParaRPr lang="es-ES" sz="1000" kern="1200">
            <a:latin typeface="Arial" panose="020B0604020202020204" pitchFamily="34" charset="0"/>
            <a:cs typeface="Arial" panose="020B0604020202020204" pitchFamily="34" charset="0"/>
          </a:endParaRPr>
        </a:p>
      </dsp:txBody>
      <dsp:txXfrm>
        <a:off x="0" y="517068"/>
        <a:ext cx="6124575" cy="1562240"/>
      </dsp:txXfrm>
    </dsp:sp>
    <dsp:sp modelId="{7BDE95F1-2793-42D8-8480-0CF47F35DC0B}">
      <dsp:nvSpPr>
        <dsp:cNvPr id="0" name=""/>
        <dsp:cNvSpPr/>
      </dsp:nvSpPr>
      <dsp:spPr>
        <a:xfrm>
          <a:off x="306228" y="78001"/>
          <a:ext cx="4287202" cy="66046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ES" sz="1100" b="1" kern="1200">
              <a:latin typeface="Arial" panose="020B0604020202020204" pitchFamily="34" charset="0"/>
              <a:cs typeface="Arial" panose="020B0604020202020204" pitchFamily="34" charset="0"/>
            </a:rPr>
            <a:t>Objetivo</a:t>
          </a:r>
        </a:p>
      </dsp:txBody>
      <dsp:txXfrm>
        <a:off x="338469" y="110242"/>
        <a:ext cx="4222720" cy="595985"/>
      </dsp:txXfrm>
    </dsp:sp>
    <dsp:sp modelId="{19E00E56-1286-4DC6-968E-BFFB17A991FB}">
      <dsp:nvSpPr>
        <dsp:cNvPr id="0" name=""/>
        <dsp:cNvSpPr/>
      </dsp:nvSpPr>
      <dsp:spPr>
        <a:xfrm>
          <a:off x="0" y="2381709"/>
          <a:ext cx="6124575" cy="841816"/>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312420" rIns="475335" bIns="71120" numCol="1" spcCol="1270" anchor="t" anchorCtr="0">
          <a:noAutofit/>
        </a:bodyPr>
        <a:lstStyle/>
        <a:p>
          <a:pPr marL="57150" lvl="1" indent="-57150" algn="just" defTabSz="444500">
            <a:lnSpc>
              <a:spcPct val="100000"/>
            </a:lnSpc>
            <a:spcBef>
              <a:spcPct val="0"/>
            </a:spcBef>
            <a:spcAft>
              <a:spcPts val="600"/>
            </a:spcAft>
            <a:buChar char="•"/>
          </a:pPr>
          <a:r>
            <a:rPr lang="es-ES_tradnl" sz="1000" kern="1200">
              <a:latin typeface="Arial" panose="020B0604020202020204" pitchFamily="34" charset="0"/>
              <a:cs typeface="Arial" panose="020B0604020202020204" pitchFamily="34" charset="0"/>
            </a:rPr>
            <a:t>El presente informe tendrá como alcance el análisis y comparación de las medidas de austeridad del gasto señaladas en la Directiva 09 de 2018, correspondiente al primer trimestre de 2020 comparado con el primer trimestre de 2019. </a:t>
          </a:r>
          <a:endParaRPr lang="es-ES" sz="1000" kern="1200">
            <a:latin typeface="Arial" panose="020B0604020202020204" pitchFamily="34" charset="0"/>
            <a:cs typeface="Arial" panose="020B0604020202020204" pitchFamily="34" charset="0"/>
          </a:endParaRPr>
        </a:p>
      </dsp:txBody>
      <dsp:txXfrm>
        <a:off x="0" y="2381709"/>
        <a:ext cx="6124575" cy="841816"/>
      </dsp:txXfrm>
    </dsp:sp>
    <dsp:sp modelId="{609FE20C-90A0-4B87-A9D3-6A4812801F4A}">
      <dsp:nvSpPr>
        <dsp:cNvPr id="0" name=""/>
        <dsp:cNvSpPr/>
      </dsp:nvSpPr>
      <dsp:spPr>
        <a:xfrm>
          <a:off x="306228" y="2160309"/>
          <a:ext cx="4287202" cy="44280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ES" sz="1100" b="1" kern="1200">
              <a:latin typeface="Arial" panose="020B0604020202020204" pitchFamily="34" charset="0"/>
              <a:cs typeface="Arial" panose="020B0604020202020204" pitchFamily="34" charset="0"/>
            </a:rPr>
            <a:t>Alcance </a:t>
          </a:r>
        </a:p>
      </dsp:txBody>
      <dsp:txXfrm>
        <a:off x="327844" y="2181925"/>
        <a:ext cx="4243970" cy="399568"/>
      </dsp:txXfrm>
    </dsp:sp>
    <dsp:sp modelId="{FED6C63D-9A41-4ACF-AD95-9ED1A8C07B5A}">
      <dsp:nvSpPr>
        <dsp:cNvPr id="0" name=""/>
        <dsp:cNvSpPr/>
      </dsp:nvSpPr>
      <dsp:spPr>
        <a:xfrm>
          <a:off x="0" y="3502723"/>
          <a:ext cx="6124575" cy="2315250"/>
        </a:xfrm>
        <a:prstGeom prst="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75335" tIns="312420" rIns="475335" bIns="71120" numCol="1" spcCol="1270" anchor="t" anchorCtr="0">
          <a:noAutofit/>
        </a:bodyPr>
        <a:lstStyle/>
        <a:p>
          <a:pPr marL="57150" lvl="1" indent="-57150" algn="just" defTabSz="444500">
            <a:lnSpc>
              <a:spcPct val="100000"/>
            </a:lnSpc>
            <a:spcBef>
              <a:spcPct val="0"/>
            </a:spcBef>
            <a:spcAft>
              <a:spcPts val="600"/>
            </a:spcAft>
            <a:buChar char="•"/>
          </a:pPr>
          <a:r>
            <a:rPr lang="es-CO" sz="1000" kern="1200">
              <a:latin typeface="Arial" panose="020B0604020202020204" pitchFamily="34" charset="0"/>
              <a:cs typeface="Arial" panose="020B0604020202020204" pitchFamily="34" charset="0"/>
            </a:rPr>
            <a:t>Decreto 1068 de 2015, </a:t>
          </a:r>
          <a:r>
            <a:rPr lang="es-CO" sz="1000" i="1" kern="1200">
              <a:latin typeface="Arial" panose="020B0604020202020204" pitchFamily="34" charset="0"/>
              <a:cs typeface="Arial" panose="020B0604020202020204" pitchFamily="34" charset="0"/>
            </a:rPr>
            <a:t>«Por medio del cual se expide el Decreto Único Reglamentario del Sector Hacienda y Crédito Público, que compiló los Decretos 26, 1737, 1738 y 2209 de 1998 y 984 de 2012, artículo 2.8.4.8.2 y Parte 8, Título 4».</a:t>
          </a:r>
          <a:r>
            <a:rPr lang="es-CO" sz="1000" kern="1200">
              <a:latin typeface="Arial" panose="020B0604020202020204" pitchFamily="34" charset="0"/>
              <a:cs typeface="Arial" panose="020B0604020202020204" pitchFamily="34" charset="0"/>
            </a:rPr>
            <a:t> </a:t>
          </a:r>
          <a:endParaRPr lang="es-ES" sz="1000" b="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1016 de 2019, </a:t>
          </a:r>
          <a:r>
            <a:rPr lang="es-CO" sz="1000" i="1" kern="1200">
              <a:latin typeface="Arial" panose="020B0604020202020204" pitchFamily="34" charset="0"/>
              <a:cs typeface="Arial" panose="020B0604020202020204" pitchFamily="34" charset="0"/>
            </a:rPr>
            <a:t>«Por la cual se modifica la Resolución 2509 de 30 de julio de 2013».</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Resolución Interna 4264 de 2014</a:t>
          </a:r>
          <a:r>
            <a:rPr lang="es-CO" sz="1000" i="1" kern="1200">
              <a:latin typeface="Arial" panose="020B0604020202020204" pitchFamily="34" charset="0"/>
              <a:cs typeface="Arial" panose="020B0604020202020204" pitchFamily="34" charset="0"/>
            </a:rPr>
            <a:t>, «Por la cual se recopila y modifican las normas que regulan algunas situaciones administrativas y se dictan otras disposiciones».</a:t>
          </a:r>
          <a:endParaRPr lang="es-CO" sz="1000" kern="1200">
            <a:latin typeface="Arial" panose="020B0604020202020204" pitchFamily="34" charset="0"/>
            <a:cs typeface="Arial" panose="020B0604020202020204" pitchFamily="34" charset="0"/>
          </a:endParaRPr>
        </a:p>
        <a:p>
          <a:pPr marL="57150" lvl="1" indent="-57150" algn="just" defTabSz="444500">
            <a:lnSpc>
              <a:spcPct val="90000"/>
            </a:lnSpc>
            <a:spcBef>
              <a:spcPct val="0"/>
            </a:spcBef>
            <a:spcAft>
              <a:spcPts val="600"/>
            </a:spcAft>
            <a:buChar char="•"/>
          </a:pPr>
          <a:r>
            <a:rPr lang="es-CO" sz="1000" kern="1200">
              <a:latin typeface="Arial" panose="020B0604020202020204" pitchFamily="34" charset="0"/>
              <a:cs typeface="Arial" panose="020B0604020202020204" pitchFamily="34" charset="0"/>
            </a:rPr>
            <a:t>Directiva Presidencial No. 09 de 2018. </a:t>
          </a:r>
          <a:r>
            <a:rPr lang="es-CO" sz="1000" i="1" kern="1200">
              <a:latin typeface="Arial" panose="020B0604020202020204" pitchFamily="34" charset="0"/>
              <a:cs typeface="Arial" panose="020B0604020202020204" pitchFamily="34" charset="0"/>
            </a:rPr>
            <a:t>«Por la cual se imparten instrucciones </a:t>
          </a:r>
          <a:r>
            <a:rPr lang="es-CO" sz="1000" kern="1200">
              <a:latin typeface="Arial" panose="020B0604020202020204" pitchFamily="34" charset="0"/>
              <a:cs typeface="Arial" panose="020B0604020202020204" pitchFamily="34" charset="0"/>
            </a:rPr>
            <a:t>en el marco del Plan de Austeridad iniciado por el Gobierno Nacional y deroga la Directiva No. 01 del 10 febrero de 2016</a:t>
          </a:r>
          <a:r>
            <a:rPr lang="es-CO" sz="1000" i="1" kern="1200">
              <a:latin typeface="Arial" panose="020B0604020202020204" pitchFamily="34" charset="0"/>
              <a:cs typeface="Arial" panose="020B0604020202020204" pitchFamily="34" charset="0"/>
            </a:rPr>
            <a:t>»</a:t>
          </a:r>
          <a:r>
            <a:rPr lang="es-CO" sz="1000" kern="1200">
              <a:latin typeface="Arial" panose="020B0604020202020204" pitchFamily="34" charset="0"/>
              <a:cs typeface="Arial" panose="020B0604020202020204" pitchFamily="34" charset="0"/>
            </a:rPr>
            <a:t>. </a:t>
          </a:r>
        </a:p>
        <a:p>
          <a:pPr marL="57150" lvl="1" indent="-57150" algn="just" defTabSz="444500">
            <a:lnSpc>
              <a:spcPct val="90000"/>
            </a:lnSpc>
            <a:spcBef>
              <a:spcPct val="0"/>
            </a:spcBef>
            <a:spcAft>
              <a:spcPct val="15000"/>
            </a:spcAft>
            <a:buChar char="•"/>
          </a:pPr>
          <a:r>
            <a:rPr lang="es-CO" sz="1000" kern="1200">
              <a:latin typeface="Arial" panose="020B0604020202020204" pitchFamily="34" charset="0"/>
              <a:cs typeface="Arial" panose="020B0604020202020204" pitchFamily="34" charset="0"/>
            </a:rPr>
            <a:t>Circular Interna 005 de 2019, </a:t>
          </a:r>
          <a:r>
            <a:rPr lang="es-CO" sz="1000" i="1" kern="1200">
              <a:latin typeface="Arial" panose="020B0604020202020204" pitchFamily="34" charset="0"/>
              <a:cs typeface="Arial" panose="020B0604020202020204" pitchFamily="34" charset="0"/>
            </a:rPr>
            <a:t>«Medida de austeridad para las comisiones de servicio, tiquetes aéreos y viáticos».</a:t>
          </a:r>
          <a:endParaRPr lang="es-CO" sz="1000" kern="1200">
            <a:latin typeface="Arial" panose="020B0604020202020204" pitchFamily="34" charset="0"/>
            <a:cs typeface="Arial" panose="020B0604020202020204" pitchFamily="34" charset="0"/>
          </a:endParaRPr>
        </a:p>
      </dsp:txBody>
      <dsp:txXfrm>
        <a:off x="0" y="3502723"/>
        <a:ext cx="6124575" cy="2315250"/>
      </dsp:txXfrm>
    </dsp:sp>
    <dsp:sp modelId="{6C58514C-B343-4914-A3B9-51F653E11B2F}">
      <dsp:nvSpPr>
        <dsp:cNvPr id="0" name=""/>
        <dsp:cNvSpPr/>
      </dsp:nvSpPr>
      <dsp:spPr>
        <a:xfrm>
          <a:off x="306228" y="3304526"/>
          <a:ext cx="4287202" cy="419597"/>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62046" tIns="0" rIns="162046" bIns="0" numCol="1" spcCol="1270" anchor="ctr" anchorCtr="0">
          <a:noAutofit/>
        </a:bodyPr>
        <a:lstStyle/>
        <a:p>
          <a:pPr marL="0" lvl="0" indent="0" algn="l" defTabSz="488950">
            <a:lnSpc>
              <a:spcPct val="100000"/>
            </a:lnSpc>
            <a:spcBef>
              <a:spcPct val="0"/>
            </a:spcBef>
            <a:spcAft>
              <a:spcPct val="35000"/>
            </a:spcAft>
            <a:buNone/>
          </a:pPr>
          <a:r>
            <a:rPr lang="es-MX" sz="1100" b="1" i="0" kern="1200">
              <a:latin typeface="Arial" panose="020B0604020202020204" pitchFamily="34" charset="0"/>
              <a:cs typeface="Arial" panose="020B0604020202020204" pitchFamily="34" charset="0"/>
            </a:rPr>
            <a:t>Fuente Normativa </a:t>
          </a:r>
          <a:endParaRPr lang="es-ES" sz="1100" b="1" kern="1200">
            <a:latin typeface="Arial" panose="020B0604020202020204" pitchFamily="34" charset="0"/>
            <a:cs typeface="Arial" panose="020B0604020202020204" pitchFamily="34" charset="0"/>
          </a:endParaRPr>
        </a:p>
      </dsp:txBody>
      <dsp:txXfrm>
        <a:off x="326711" y="3325009"/>
        <a:ext cx="4246236" cy="37863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B0A057-404D-44ED-B8C8-0EC73FECC1CA}">
      <dsp:nvSpPr>
        <dsp:cNvPr id="0" name=""/>
        <dsp:cNvSpPr/>
      </dsp:nvSpPr>
      <dsp:spPr>
        <a:xfrm>
          <a:off x="179235" y="1895922"/>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Vehículos del MHCP - 2020</a:t>
          </a:r>
        </a:p>
      </dsp:txBody>
      <dsp:txXfrm>
        <a:off x="194285" y="1910972"/>
        <a:ext cx="997604" cy="483752"/>
      </dsp:txXfrm>
    </dsp:sp>
    <dsp:sp modelId="{7F7C6921-2333-4E1F-9ADF-F520619CD866}">
      <dsp:nvSpPr>
        <dsp:cNvPr id="0" name=""/>
        <dsp:cNvSpPr/>
      </dsp:nvSpPr>
      <dsp:spPr>
        <a:xfrm rot="17066319">
          <a:off x="588151" y="1343184"/>
          <a:ext cx="1648659" cy="22741"/>
        </a:xfrm>
        <a:custGeom>
          <a:avLst/>
          <a:gdLst/>
          <a:ahLst/>
          <a:cxnLst/>
          <a:rect l="0" t="0" r="0" b="0"/>
          <a:pathLst>
            <a:path>
              <a:moveTo>
                <a:pt x="0" y="11370"/>
              </a:moveTo>
              <a:lnTo>
                <a:pt x="1648659"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371264" y="1313338"/>
        <a:ext cx="82432" cy="82432"/>
      </dsp:txXfrm>
    </dsp:sp>
    <dsp:sp modelId="{67E437F3-6EB8-4120-A49A-103E89594324}">
      <dsp:nvSpPr>
        <dsp:cNvPr id="0" name=""/>
        <dsp:cNvSpPr/>
      </dsp:nvSpPr>
      <dsp:spPr>
        <a:xfrm>
          <a:off x="1618022" y="242393"/>
          <a:ext cx="1027704" cy="627737"/>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Esquema de Seguridad -Despacho de Ministro </a:t>
          </a:r>
        </a:p>
      </dsp:txBody>
      <dsp:txXfrm>
        <a:off x="1636408" y="260779"/>
        <a:ext cx="990932" cy="590965"/>
      </dsp:txXfrm>
    </dsp:sp>
    <dsp:sp modelId="{94A3A7FB-26D9-4514-8966-2D0A235C42B4}">
      <dsp:nvSpPr>
        <dsp:cNvPr id="0" name=""/>
        <dsp:cNvSpPr/>
      </dsp:nvSpPr>
      <dsp:spPr>
        <a:xfrm>
          <a:off x="2645727" y="544891"/>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840991" y="545984"/>
        <a:ext cx="20554" cy="20554"/>
      </dsp:txXfrm>
    </dsp:sp>
    <dsp:sp modelId="{55A53353-9C56-4E3E-8512-B6480EDB275C}">
      <dsp:nvSpPr>
        <dsp:cNvPr id="0" name=""/>
        <dsp:cNvSpPr/>
      </dsp:nvSpPr>
      <dsp:spPr>
        <a:xfrm>
          <a:off x="3056808" y="299335"/>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5</a:t>
          </a:r>
        </a:p>
      </dsp:txBody>
      <dsp:txXfrm>
        <a:off x="3071858" y="314385"/>
        <a:ext cx="997604" cy="483752"/>
      </dsp:txXfrm>
    </dsp:sp>
    <dsp:sp modelId="{8F17284B-5CF5-4426-AC99-C403B0E8C522}">
      <dsp:nvSpPr>
        <dsp:cNvPr id="0" name=""/>
        <dsp:cNvSpPr/>
      </dsp:nvSpPr>
      <dsp:spPr>
        <a:xfrm rot="19457599">
          <a:off x="4036930" y="397158"/>
          <a:ext cx="506248" cy="22741"/>
        </a:xfrm>
        <a:custGeom>
          <a:avLst/>
          <a:gdLst/>
          <a:ahLst/>
          <a:cxnLst/>
          <a:rect l="0" t="0" r="0" b="0"/>
          <a:pathLst>
            <a:path>
              <a:moveTo>
                <a:pt x="0" y="11370"/>
              </a:moveTo>
              <a:lnTo>
                <a:pt x="50624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277398" y="395873"/>
        <a:ext cx="25312" cy="25312"/>
      </dsp:txXfrm>
    </dsp:sp>
    <dsp:sp modelId="{F6BC9A5B-8617-48AE-B0EB-F9DE0357207E}">
      <dsp:nvSpPr>
        <dsp:cNvPr id="0" name=""/>
        <dsp:cNvSpPr/>
      </dsp:nvSpPr>
      <dsp:spPr>
        <a:xfrm>
          <a:off x="4495595" y="3870"/>
          <a:ext cx="117683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3 Camionetas Toyota Prado (UNP)</a:t>
          </a:r>
        </a:p>
      </dsp:txBody>
      <dsp:txXfrm>
        <a:off x="4510645" y="18920"/>
        <a:ext cx="1146734" cy="483752"/>
      </dsp:txXfrm>
    </dsp:sp>
    <dsp:sp modelId="{3EA715A4-0E26-431C-B3EE-42DA336EF2A2}">
      <dsp:nvSpPr>
        <dsp:cNvPr id="0" name=""/>
        <dsp:cNvSpPr/>
      </dsp:nvSpPr>
      <dsp:spPr>
        <a:xfrm rot="2142401">
          <a:off x="4036930" y="692623"/>
          <a:ext cx="506248" cy="22741"/>
        </a:xfrm>
        <a:custGeom>
          <a:avLst/>
          <a:gdLst/>
          <a:ahLst/>
          <a:cxnLst/>
          <a:rect l="0" t="0" r="0" b="0"/>
          <a:pathLst>
            <a:path>
              <a:moveTo>
                <a:pt x="0" y="11370"/>
              </a:moveTo>
              <a:lnTo>
                <a:pt x="50624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277398" y="691338"/>
        <a:ext cx="25312" cy="25312"/>
      </dsp:txXfrm>
    </dsp:sp>
    <dsp:sp modelId="{785F8D0E-17D2-4770-860A-A9649FEC25FC}">
      <dsp:nvSpPr>
        <dsp:cNvPr id="0" name=""/>
        <dsp:cNvSpPr/>
      </dsp:nvSpPr>
      <dsp:spPr>
        <a:xfrm>
          <a:off x="4495595" y="594800"/>
          <a:ext cx="1225548"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 Motocicletas Suzuki</a:t>
          </a:r>
        </a:p>
      </dsp:txBody>
      <dsp:txXfrm>
        <a:off x="4510645" y="609850"/>
        <a:ext cx="1195448" cy="483752"/>
      </dsp:txXfrm>
    </dsp:sp>
    <dsp:sp modelId="{00B325D3-3E7D-436B-A949-3678DA96E419}">
      <dsp:nvSpPr>
        <dsp:cNvPr id="0" name=""/>
        <dsp:cNvSpPr/>
      </dsp:nvSpPr>
      <dsp:spPr>
        <a:xfrm rot="18003819">
          <a:off x="1002188" y="1786382"/>
          <a:ext cx="820585" cy="22741"/>
        </a:xfrm>
        <a:custGeom>
          <a:avLst/>
          <a:gdLst/>
          <a:ahLst/>
          <a:cxnLst/>
          <a:rect l="0" t="0" r="0" b="0"/>
          <a:pathLst>
            <a:path>
              <a:moveTo>
                <a:pt x="0" y="11370"/>
              </a:moveTo>
              <a:lnTo>
                <a:pt x="820585"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1391966" y="1777238"/>
        <a:ext cx="41029" cy="41029"/>
      </dsp:txXfrm>
    </dsp:sp>
    <dsp:sp modelId="{2E175CAE-F292-42BE-B328-92CA0A91ABEA}">
      <dsp:nvSpPr>
        <dsp:cNvPr id="0" name=""/>
        <dsp:cNvSpPr/>
      </dsp:nvSpPr>
      <dsp:spPr>
        <a:xfrm>
          <a:off x="1618022" y="1085802"/>
          <a:ext cx="1027704" cy="713710"/>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Esquema de Seguridad - Viceministro General </a:t>
          </a:r>
        </a:p>
      </dsp:txBody>
      <dsp:txXfrm>
        <a:off x="1638926" y="1106706"/>
        <a:ext cx="985896" cy="671902"/>
      </dsp:txXfrm>
    </dsp:sp>
    <dsp:sp modelId="{1093B310-4400-4C48-B632-6C663843789F}">
      <dsp:nvSpPr>
        <dsp:cNvPr id="0" name=""/>
        <dsp:cNvSpPr/>
      </dsp:nvSpPr>
      <dsp:spPr>
        <a:xfrm>
          <a:off x="2645727" y="1431286"/>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2840991" y="1432380"/>
        <a:ext cx="20554" cy="20554"/>
      </dsp:txXfrm>
    </dsp:sp>
    <dsp:sp modelId="{1810A46D-A79F-45C9-918C-5562D2BA19C2}">
      <dsp:nvSpPr>
        <dsp:cNvPr id="0" name=""/>
        <dsp:cNvSpPr/>
      </dsp:nvSpPr>
      <dsp:spPr>
        <a:xfrm>
          <a:off x="3056808" y="1185731"/>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a:t>
          </a:r>
        </a:p>
      </dsp:txBody>
      <dsp:txXfrm>
        <a:off x="3071858" y="1200781"/>
        <a:ext cx="997604" cy="483752"/>
      </dsp:txXfrm>
    </dsp:sp>
    <dsp:sp modelId="{0D3D2A59-812F-4598-ADE9-4D2B381E7BB1}">
      <dsp:nvSpPr>
        <dsp:cNvPr id="0" name=""/>
        <dsp:cNvSpPr/>
      </dsp:nvSpPr>
      <dsp:spPr>
        <a:xfrm>
          <a:off x="4084513" y="1431286"/>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ES" sz="500" kern="1200"/>
        </a:p>
      </dsp:txBody>
      <dsp:txXfrm>
        <a:off x="4279777" y="1432380"/>
        <a:ext cx="20554" cy="20554"/>
      </dsp:txXfrm>
    </dsp:sp>
    <dsp:sp modelId="{54D74AC1-0620-4DEA-A7FE-48761637FDB0}">
      <dsp:nvSpPr>
        <dsp:cNvPr id="0" name=""/>
        <dsp:cNvSpPr/>
      </dsp:nvSpPr>
      <dsp:spPr>
        <a:xfrm>
          <a:off x="4495595" y="1185731"/>
          <a:ext cx="1254169"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 Camionetas Toyota Prado (UNP)</a:t>
          </a:r>
        </a:p>
      </dsp:txBody>
      <dsp:txXfrm>
        <a:off x="4510645" y="1200781"/>
        <a:ext cx="1224069" cy="483752"/>
      </dsp:txXfrm>
    </dsp:sp>
    <dsp:sp modelId="{DEAB8D37-D80E-45EF-833C-A3DE0CB240B0}">
      <dsp:nvSpPr>
        <dsp:cNvPr id="0" name=""/>
        <dsp:cNvSpPr/>
      </dsp:nvSpPr>
      <dsp:spPr>
        <a:xfrm rot="1392098">
          <a:off x="1188854" y="2229579"/>
          <a:ext cx="447253" cy="22741"/>
        </a:xfrm>
        <a:custGeom>
          <a:avLst/>
          <a:gdLst/>
          <a:ahLst/>
          <a:cxnLst/>
          <a:rect l="0" t="0" r="0" b="0"/>
          <a:pathLst>
            <a:path>
              <a:moveTo>
                <a:pt x="0" y="11370"/>
              </a:moveTo>
              <a:lnTo>
                <a:pt x="447253"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401300" y="2229769"/>
        <a:ext cx="22362" cy="22362"/>
      </dsp:txXfrm>
    </dsp:sp>
    <dsp:sp modelId="{D5C09ED1-F908-4820-AA62-040CA830879B}">
      <dsp:nvSpPr>
        <dsp:cNvPr id="0" name=""/>
        <dsp:cNvSpPr/>
      </dsp:nvSpPr>
      <dsp:spPr>
        <a:xfrm>
          <a:off x="1618022" y="2072126"/>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Directivos </a:t>
          </a:r>
        </a:p>
      </dsp:txBody>
      <dsp:txXfrm>
        <a:off x="1633072" y="2087176"/>
        <a:ext cx="997604" cy="483752"/>
      </dsp:txXfrm>
    </dsp:sp>
    <dsp:sp modelId="{D1A1E587-5E9F-48EE-9C96-D467C78451FE}">
      <dsp:nvSpPr>
        <dsp:cNvPr id="0" name=""/>
        <dsp:cNvSpPr/>
      </dsp:nvSpPr>
      <dsp:spPr>
        <a:xfrm>
          <a:off x="2645727" y="2317681"/>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840991" y="2318775"/>
        <a:ext cx="20554" cy="20554"/>
      </dsp:txXfrm>
    </dsp:sp>
    <dsp:sp modelId="{B386E95A-447C-4842-B774-A7BCEF7208DA}">
      <dsp:nvSpPr>
        <dsp:cNvPr id="0" name=""/>
        <dsp:cNvSpPr/>
      </dsp:nvSpPr>
      <dsp:spPr>
        <a:xfrm>
          <a:off x="3056808" y="2072126"/>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14 </a:t>
          </a:r>
        </a:p>
      </dsp:txBody>
      <dsp:txXfrm>
        <a:off x="3071858" y="2087176"/>
        <a:ext cx="997604" cy="483752"/>
      </dsp:txXfrm>
    </dsp:sp>
    <dsp:sp modelId="{E0A30095-5083-4223-AF1E-06B1C0F54E61}">
      <dsp:nvSpPr>
        <dsp:cNvPr id="0" name=""/>
        <dsp:cNvSpPr/>
      </dsp:nvSpPr>
      <dsp:spPr>
        <a:xfrm rot="19457599">
          <a:off x="4036930" y="2169949"/>
          <a:ext cx="506248" cy="22741"/>
        </a:xfrm>
        <a:custGeom>
          <a:avLst/>
          <a:gdLst/>
          <a:ahLst/>
          <a:cxnLst/>
          <a:rect l="0" t="0" r="0" b="0"/>
          <a:pathLst>
            <a:path>
              <a:moveTo>
                <a:pt x="0" y="11370"/>
              </a:moveTo>
              <a:lnTo>
                <a:pt x="50624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277398" y="2168663"/>
        <a:ext cx="25312" cy="25312"/>
      </dsp:txXfrm>
    </dsp:sp>
    <dsp:sp modelId="{5AC33E18-1E9F-47B8-A687-F54A84A23A6A}">
      <dsp:nvSpPr>
        <dsp:cNvPr id="0" name=""/>
        <dsp:cNvSpPr/>
      </dsp:nvSpPr>
      <dsp:spPr>
        <a:xfrm>
          <a:off x="4495595" y="1776661"/>
          <a:ext cx="1242628"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12 Camionetas Renault Koleos</a:t>
          </a:r>
        </a:p>
      </dsp:txBody>
      <dsp:txXfrm>
        <a:off x="4510645" y="1791711"/>
        <a:ext cx="1212528" cy="483752"/>
      </dsp:txXfrm>
    </dsp:sp>
    <dsp:sp modelId="{4C684555-4E89-492E-91B9-5E8EAB7F4237}">
      <dsp:nvSpPr>
        <dsp:cNvPr id="0" name=""/>
        <dsp:cNvSpPr/>
      </dsp:nvSpPr>
      <dsp:spPr>
        <a:xfrm rot="2142401">
          <a:off x="4036930" y="2465414"/>
          <a:ext cx="506248" cy="22741"/>
        </a:xfrm>
        <a:custGeom>
          <a:avLst/>
          <a:gdLst/>
          <a:ahLst/>
          <a:cxnLst/>
          <a:rect l="0" t="0" r="0" b="0"/>
          <a:pathLst>
            <a:path>
              <a:moveTo>
                <a:pt x="0" y="11370"/>
              </a:moveTo>
              <a:lnTo>
                <a:pt x="506248"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s-CO" sz="500" kern="1200"/>
        </a:p>
      </dsp:txBody>
      <dsp:txXfrm>
        <a:off x="4277398" y="2464128"/>
        <a:ext cx="25312" cy="25312"/>
      </dsp:txXfrm>
    </dsp:sp>
    <dsp:sp modelId="{4C015738-E6CE-4A86-9349-2D727CF0E5EC}">
      <dsp:nvSpPr>
        <dsp:cNvPr id="0" name=""/>
        <dsp:cNvSpPr/>
      </dsp:nvSpPr>
      <dsp:spPr>
        <a:xfrm>
          <a:off x="4495595" y="2367591"/>
          <a:ext cx="1242628"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2 Camionetas SAE - Destinación provisional.</a:t>
          </a:r>
        </a:p>
      </dsp:txBody>
      <dsp:txXfrm>
        <a:off x="4510645" y="2382641"/>
        <a:ext cx="1212528" cy="483752"/>
      </dsp:txXfrm>
    </dsp:sp>
    <dsp:sp modelId="{E57F0BDB-C6D5-49D0-A919-AC71D6602E45}">
      <dsp:nvSpPr>
        <dsp:cNvPr id="0" name=""/>
        <dsp:cNvSpPr/>
      </dsp:nvSpPr>
      <dsp:spPr>
        <a:xfrm rot="4131019">
          <a:off x="842809" y="2672777"/>
          <a:ext cx="1139344" cy="22741"/>
        </a:xfrm>
        <a:custGeom>
          <a:avLst/>
          <a:gdLst/>
          <a:ahLst/>
          <a:cxnLst/>
          <a:rect l="0" t="0" r="0" b="0"/>
          <a:pathLst>
            <a:path>
              <a:moveTo>
                <a:pt x="0" y="11370"/>
              </a:moveTo>
              <a:lnTo>
                <a:pt x="1139344"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383997" y="2655664"/>
        <a:ext cx="56967" cy="56967"/>
      </dsp:txXfrm>
    </dsp:sp>
    <dsp:sp modelId="{81BBB8D0-5CA6-4BB6-9C3A-095C339BAE1A}">
      <dsp:nvSpPr>
        <dsp:cNvPr id="0" name=""/>
        <dsp:cNvSpPr/>
      </dsp:nvSpPr>
      <dsp:spPr>
        <a:xfrm>
          <a:off x="1618022" y="2958521"/>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Operativos</a:t>
          </a:r>
        </a:p>
      </dsp:txBody>
      <dsp:txXfrm>
        <a:off x="1633072" y="2973571"/>
        <a:ext cx="997604" cy="483752"/>
      </dsp:txXfrm>
    </dsp:sp>
    <dsp:sp modelId="{3E5040E0-9747-4129-8223-E49134094E90}">
      <dsp:nvSpPr>
        <dsp:cNvPr id="0" name=""/>
        <dsp:cNvSpPr/>
      </dsp:nvSpPr>
      <dsp:spPr>
        <a:xfrm>
          <a:off x="2645727" y="3204077"/>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2840991" y="3205170"/>
        <a:ext cx="20554" cy="20554"/>
      </dsp:txXfrm>
    </dsp:sp>
    <dsp:sp modelId="{AF145D7B-9680-4015-8967-73C6EDC35738}">
      <dsp:nvSpPr>
        <dsp:cNvPr id="0" name=""/>
        <dsp:cNvSpPr/>
      </dsp:nvSpPr>
      <dsp:spPr>
        <a:xfrm>
          <a:off x="3056808" y="2958521"/>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6</a:t>
          </a:r>
        </a:p>
      </dsp:txBody>
      <dsp:txXfrm>
        <a:off x="3071858" y="2973571"/>
        <a:ext cx="997604" cy="483752"/>
      </dsp:txXfrm>
    </dsp:sp>
    <dsp:sp modelId="{6C93AE69-C967-48BA-9C04-7007F4E5832A}">
      <dsp:nvSpPr>
        <dsp:cNvPr id="0" name=""/>
        <dsp:cNvSpPr/>
      </dsp:nvSpPr>
      <dsp:spPr>
        <a:xfrm>
          <a:off x="4084513" y="3204077"/>
          <a:ext cx="411081" cy="22741"/>
        </a:xfrm>
        <a:custGeom>
          <a:avLst/>
          <a:gdLst/>
          <a:ahLst/>
          <a:cxnLst/>
          <a:rect l="0" t="0" r="0" b="0"/>
          <a:pathLst>
            <a:path>
              <a:moveTo>
                <a:pt x="0" y="11370"/>
              </a:moveTo>
              <a:lnTo>
                <a:pt x="411081" y="1137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4279777" y="3205170"/>
        <a:ext cx="20554" cy="20554"/>
      </dsp:txXfrm>
    </dsp:sp>
    <dsp:sp modelId="{E7C092F8-ABE2-47FE-BA52-C817121FEF25}">
      <dsp:nvSpPr>
        <dsp:cNvPr id="0" name=""/>
        <dsp:cNvSpPr/>
      </dsp:nvSpPr>
      <dsp:spPr>
        <a:xfrm>
          <a:off x="4495595" y="2958521"/>
          <a:ext cx="1297343"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ts val="0"/>
            </a:spcAft>
            <a:buNone/>
          </a:pPr>
          <a:r>
            <a:rPr lang="es-CO" sz="1000" kern="1200">
              <a:latin typeface="Arial" panose="020B0604020202020204" pitchFamily="34" charset="0"/>
              <a:cs typeface="Arial" panose="020B0604020202020204" pitchFamily="34" charset="0"/>
            </a:rPr>
            <a:t>  Automovil Renault Fluence</a:t>
          </a:r>
        </a:p>
      </dsp:txBody>
      <dsp:txXfrm>
        <a:off x="4510645" y="2973571"/>
        <a:ext cx="1267243" cy="483752"/>
      </dsp:txXfrm>
    </dsp:sp>
    <dsp:sp modelId="{FEDBD534-22A4-465F-80D2-1F5AB1900591}">
      <dsp:nvSpPr>
        <dsp:cNvPr id="0" name=""/>
        <dsp:cNvSpPr/>
      </dsp:nvSpPr>
      <dsp:spPr>
        <a:xfrm rot="4562328">
          <a:off x="560550" y="2968242"/>
          <a:ext cx="1703862" cy="22741"/>
        </a:xfrm>
        <a:custGeom>
          <a:avLst/>
          <a:gdLst/>
          <a:ahLst/>
          <a:cxnLst/>
          <a:rect l="0" t="0" r="0" b="0"/>
          <a:pathLst>
            <a:path>
              <a:moveTo>
                <a:pt x="0" y="11370"/>
              </a:moveTo>
              <a:lnTo>
                <a:pt x="1703862" y="1137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ts val="0"/>
            </a:spcAft>
            <a:buNone/>
          </a:pPr>
          <a:endParaRPr lang="es-CO" sz="1000" kern="1200">
            <a:solidFill>
              <a:schemeClr val="tx1"/>
            </a:solidFill>
            <a:latin typeface="Arial" panose="020B0604020202020204" pitchFamily="34" charset="0"/>
            <a:cs typeface="Arial" panose="020B0604020202020204" pitchFamily="34" charset="0"/>
          </a:endParaRPr>
        </a:p>
      </dsp:txBody>
      <dsp:txXfrm>
        <a:off x="1369884" y="2937016"/>
        <a:ext cx="85193" cy="85193"/>
      </dsp:txXfrm>
    </dsp:sp>
    <dsp:sp modelId="{6CF0A02E-E0AE-4EB4-9155-408A1944215F}">
      <dsp:nvSpPr>
        <dsp:cNvPr id="0" name=""/>
        <dsp:cNvSpPr/>
      </dsp:nvSpPr>
      <dsp:spPr>
        <a:xfrm>
          <a:off x="1618022" y="3549451"/>
          <a:ext cx="1027704" cy="513852"/>
        </a:xfrm>
        <a:prstGeom prst="roundRect">
          <a:avLst>
            <a:gd name="adj" fmla="val 10000"/>
          </a:avLst>
        </a:prstGeom>
        <a:solidFill>
          <a:schemeClr val="accent1">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ts val="0"/>
            </a:spcAft>
            <a:buNone/>
          </a:pPr>
          <a:r>
            <a:rPr lang="es-CO" sz="1050" kern="1200">
              <a:latin typeface="Arial" panose="020B0604020202020204" pitchFamily="34" charset="0"/>
              <a:cs typeface="Arial" panose="020B0604020202020204" pitchFamily="34" charset="0"/>
            </a:rPr>
            <a:t>Total: 27</a:t>
          </a:r>
        </a:p>
      </dsp:txBody>
      <dsp:txXfrm>
        <a:off x="1633072" y="3564501"/>
        <a:ext cx="997604" cy="48375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4FE3DBE-D76C-46DD-A6A1-AACE07CED360}">
      <dsp:nvSpPr>
        <dsp:cNvPr id="0" name=""/>
        <dsp:cNvSpPr/>
      </dsp:nvSpPr>
      <dsp:spPr>
        <a:xfrm>
          <a:off x="4047599" y="1548884"/>
          <a:ext cx="269493" cy="91440"/>
        </a:xfrm>
        <a:custGeom>
          <a:avLst/>
          <a:gdLst/>
          <a:ahLst/>
          <a:cxnLst/>
          <a:rect l="0" t="0" r="0" b="0"/>
          <a:pathLst>
            <a:path>
              <a:moveTo>
                <a:pt x="0" y="45720"/>
              </a:moveTo>
              <a:lnTo>
                <a:pt x="269493"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75609" y="1587866"/>
        <a:ext cx="13474" cy="13474"/>
      </dsp:txXfrm>
    </dsp:sp>
    <dsp:sp modelId="{66E88A14-BAB7-413C-8DAC-E4A2B6934F45}">
      <dsp:nvSpPr>
        <dsp:cNvPr id="0" name=""/>
        <dsp:cNvSpPr/>
      </dsp:nvSpPr>
      <dsp:spPr>
        <a:xfrm>
          <a:off x="2430638" y="1548884"/>
          <a:ext cx="269493" cy="91440"/>
        </a:xfrm>
        <a:custGeom>
          <a:avLst/>
          <a:gdLst/>
          <a:ahLst/>
          <a:cxnLst/>
          <a:rect l="0" t="0" r="0" b="0"/>
          <a:pathLst>
            <a:path>
              <a:moveTo>
                <a:pt x="0" y="45720"/>
              </a:moveTo>
              <a:lnTo>
                <a:pt x="269493"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558648" y="1587866"/>
        <a:ext cx="13474" cy="13474"/>
      </dsp:txXfrm>
    </dsp:sp>
    <dsp:sp modelId="{530C3156-009D-4CE6-9AC0-CE0D599EA16D}">
      <dsp:nvSpPr>
        <dsp:cNvPr id="0" name=""/>
        <dsp:cNvSpPr/>
      </dsp:nvSpPr>
      <dsp:spPr>
        <a:xfrm>
          <a:off x="813677" y="1081087"/>
          <a:ext cx="269493" cy="513516"/>
        </a:xfrm>
        <a:custGeom>
          <a:avLst/>
          <a:gdLst/>
          <a:ahLst/>
          <a:cxnLst/>
          <a:rect l="0" t="0" r="0" b="0"/>
          <a:pathLst>
            <a:path>
              <a:moveTo>
                <a:pt x="0" y="0"/>
              </a:moveTo>
              <a:lnTo>
                <a:pt x="134746" y="0"/>
              </a:lnTo>
              <a:lnTo>
                <a:pt x="134746" y="513516"/>
              </a:lnTo>
              <a:lnTo>
                <a:pt x="269493" y="513516"/>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33926" y="1323347"/>
        <a:ext cx="28996" cy="28996"/>
      </dsp:txXfrm>
    </dsp:sp>
    <dsp:sp modelId="{689646B4-2B28-494C-B0DB-511493D0722D}">
      <dsp:nvSpPr>
        <dsp:cNvPr id="0" name=""/>
        <dsp:cNvSpPr/>
      </dsp:nvSpPr>
      <dsp:spPr>
        <a:xfrm>
          <a:off x="2430638" y="1035367"/>
          <a:ext cx="269493" cy="91440"/>
        </a:xfrm>
        <a:custGeom>
          <a:avLst/>
          <a:gdLst/>
          <a:ahLst/>
          <a:cxnLst/>
          <a:rect l="0" t="0" r="0" b="0"/>
          <a:pathLst>
            <a:path>
              <a:moveTo>
                <a:pt x="0" y="45720"/>
              </a:moveTo>
              <a:lnTo>
                <a:pt x="269493"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558648" y="1074350"/>
        <a:ext cx="13474" cy="13474"/>
      </dsp:txXfrm>
    </dsp:sp>
    <dsp:sp modelId="{6A06BAA5-A702-4D5C-A34F-87929BC50D95}">
      <dsp:nvSpPr>
        <dsp:cNvPr id="0" name=""/>
        <dsp:cNvSpPr/>
      </dsp:nvSpPr>
      <dsp:spPr>
        <a:xfrm>
          <a:off x="813677" y="1035367"/>
          <a:ext cx="269493" cy="91440"/>
        </a:xfrm>
        <a:custGeom>
          <a:avLst/>
          <a:gdLst/>
          <a:ahLst/>
          <a:cxnLst/>
          <a:rect l="0" t="0" r="0" b="0"/>
          <a:pathLst>
            <a:path>
              <a:moveTo>
                <a:pt x="0" y="45720"/>
              </a:moveTo>
              <a:lnTo>
                <a:pt x="269493" y="4572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41687" y="1074350"/>
        <a:ext cx="13474" cy="13474"/>
      </dsp:txXfrm>
    </dsp:sp>
    <dsp:sp modelId="{420125B8-E613-4D5F-A844-C5774DA72C3B}">
      <dsp:nvSpPr>
        <dsp:cNvPr id="0" name=""/>
        <dsp:cNvSpPr/>
      </dsp:nvSpPr>
      <dsp:spPr>
        <a:xfrm>
          <a:off x="4047599" y="567570"/>
          <a:ext cx="269493" cy="256758"/>
        </a:xfrm>
        <a:custGeom>
          <a:avLst/>
          <a:gdLst/>
          <a:ahLst/>
          <a:cxnLst/>
          <a:rect l="0" t="0" r="0" b="0"/>
          <a:pathLst>
            <a:path>
              <a:moveTo>
                <a:pt x="0" y="0"/>
              </a:moveTo>
              <a:lnTo>
                <a:pt x="134746" y="0"/>
              </a:lnTo>
              <a:lnTo>
                <a:pt x="134746" y="256758"/>
              </a:lnTo>
              <a:lnTo>
                <a:pt x="269493" y="256758"/>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73040" y="686644"/>
        <a:ext cx="18611" cy="18611"/>
      </dsp:txXfrm>
    </dsp:sp>
    <dsp:sp modelId="{8544C45B-167C-4524-894D-DB9BE1E27233}">
      <dsp:nvSpPr>
        <dsp:cNvPr id="0" name=""/>
        <dsp:cNvSpPr/>
      </dsp:nvSpPr>
      <dsp:spPr>
        <a:xfrm>
          <a:off x="4047599" y="310812"/>
          <a:ext cx="269493" cy="256758"/>
        </a:xfrm>
        <a:custGeom>
          <a:avLst/>
          <a:gdLst/>
          <a:ahLst/>
          <a:cxnLst/>
          <a:rect l="0" t="0" r="0" b="0"/>
          <a:pathLst>
            <a:path>
              <a:moveTo>
                <a:pt x="0" y="256758"/>
              </a:moveTo>
              <a:lnTo>
                <a:pt x="134746" y="256758"/>
              </a:lnTo>
              <a:lnTo>
                <a:pt x="134746" y="0"/>
              </a:lnTo>
              <a:lnTo>
                <a:pt x="269493" y="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4173040" y="429886"/>
        <a:ext cx="18611" cy="18611"/>
      </dsp:txXfrm>
    </dsp:sp>
    <dsp:sp modelId="{6D5211D1-B486-4EA6-9C61-0ABABD207976}">
      <dsp:nvSpPr>
        <dsp:cNvPr id="0" name=""/>
        <dsp:cNvSpPr/>
      </dsp:nvSpPr>
      <dsp:spPr>
        <a:xfrm>
          <a:off x="2430638" y="521850"/>
          <a:ext cx="269493" cy="91440"/>
        </a:xfrm>
        <a:custGeom>
          <a:avLst/>
          <a:gdLst/>
          <a:ahLst/>
          <a:cxnLst/>
          <a:rect l="0" t="0" r="0" b="0"/>
          <a:pathLst>
            <a:path>
              <a:moveTo>
                <a:pt x="0" y="45720"/>
              </a:moveTo>
              <a:lnTo>
                <a:pt x="269493" y="45720"/>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2558648" y="560833"/>
        <a:ext cx="13474" cy="13474"/>
      </dsp:txXfrm>
    </dsp:sp>
    <dsp:sp modelId="{71C3EB14-BB59-4ECB-B0DB-94D6E6D3D293}">
      <dsp:nvSpPr>
        <dsp:cNvPr id="0" name=""/>
        <dsp:cNvSpPr/>
      </dsp:nvSpPr>
      <dsp:spPr>
        <a:xfrm>
          <a:off x="813677" y="567570"/>
          <a:ext cx="269493" cy="513516"/>
        </a:xfrm>
        <a:custGeom>
          <a:avLst/>
          <a:gdLst/>
          <a:ahLst/>
          <a:cxnLst/>
          <a:rect l="0" t="0" r="0" b="0"/>
          <a:pathLst>
            <a:path>
              <a:moveTo>
                <a:pt x="0" y="513516"/>
              </a:moveTo>
              <a:lnTo>
                <a:pt x="134746" y="513516"/>
              </a:lnTo>
              <a:lnTo>
                <a:pt x="134746" y="0"/>
              </a:lnTo>
              <a:lnTo>
                <a:pt x="269493" y="0"/>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es-ES" sz="1000" kern="1200">
            <a:solidFill>
              <a:schemeClr val="tx2">
                <a:lumMod val="50000"/>
              </a:schemeClr>
            </a:solidFill>
            <a:latin typeface="Arial" panose="020B0604020202020204" pitchFamily="34" charset="0"/>
            <a:cs typeface="Arial" panose="020B0604020202020204" pitchFamily="34" charset="0"/>
          </a:endParaRPr>
        </a:p>
      </dsp:txBody>
      <dsp:txXfrm>
        <a:off x="933926" y="809830"/>
        <a:ext cx="28996" cy="28996"/>
      </dsp:txXfrm>
    </dsp:sp>
    <dsp:sp modelId="{E7FB635D-8A90-4184-8878-E5B808191C1B}">
      <dsp:nvSpPr>
        <dsp:cNvPr id="0" name=""/>
        <dsp:cNvSpPr/>
      </dsp:nvSpPr>
      <dsp:spPr>
        <a:xfrm rot="16200000">
          <a:off x="-472816" y="875680"/>
          <a:ext cx="2162175"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Líneas de Celular  </a:t>
          </a:r>
        </a:p>
      </dsp:txBody>
      <dsp:txXfrm>
        <a:off x="-472816" y="875680"/>
        <a:ext cx="2162175" cy="410813"/>
      </dsp:txXfrm>
    </dsp:sp>
    <dsp:sp modelId="{29585426-42D9-45DD-9270-52CE683DC2AD}">
      <dsp:nvSpPr>
        <dsp:cNvPr id="0" name=""/>
        <dsp:cNvSpPr/>
      </dsp:nvSpPr>
      <dsp:spPr>
        <a:xfrm>
          <a:off x="1083171" y="362164"/>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Colombia Telecomunicaciones S.A. E.S.P.</a:t>
          </a:r>
        </a:p>
      </dsp:txBody>
      <dsp:txXfrm>
        <a:off x="1083171" y="362164"/>
        <a:ext cx="1347467" cy="410813"/>
      </dsp:txXfrm>
    </dsp:sp>
    <dsp:sp modelId="{A066A57B-55AA-49B2-A827-1C04D3541042}">
      <dsp:nvSpPr>
        <dsp:cNvPr id="0" name=""/>
        <dsp:cNvSpPr/>
      </dsp:nvSpPr>
      <dsp:spPr>
        <a:xfrm>
          <a:off x="2700132" y="362164"/>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22 Líneas </a:t>
          </a:r>
        </a:p>
      </dsp:txBody>
      <dsp:txXfrm>
        <a:off x="2700132" y="362164"/>
        <a:ext cx="1347467" cy="410813"/>
      </dsp:txXfrm>
    </dsp:sp>
    <dsp:sp modelId="{0C9DE918-C12F-45A6-B7CD-3DBC91ABA330}">
      <dsp:nvSpPr>
        <dsp:cNvPr id="0" name=""/>
        <dsp:cNvSpPr/>
      </dsp:nvSpPr>
      <dsp:spPr>
        <a:xfrm>
          <a:off x="4317093" y="105406"/>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16 Asignadas a Directivos </a:t>
          </a:r>
        </a:p>
      </dsp:txBody>
      <dsp:txXfrm>
        <a:off x="4317093" y="105406"/>
        <a:ext cx="1347467" cy="410813"/>
      </dsp:txXfrm>
    </dsp:sp>
    <dsp:sp modelId="{0EF58E61-AA7E-40D2-9EA1-FD10C968E904}">
      <dsp:nvSpPr>
        <dsp:cNvPr id="0" name=""/>
        <dsp:cNvSpPr/>
      </dsp:nvSpPr>
      <dsp:spPr>
        <a:xfrm>
          <a:off x="4317093" y="618922"/>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6 Asignadas a Planta Telefónica</a:t>
          </a:r>
        </a:p>
      </dsp:txBody>
      <dsp:txXfrm>
        <a:off x="4317093" y="618922"/>
        <a:ext cx="1347467" cy="410813"/>
      </dsp:txXfrm>
    </dsp:sp>
    <dsp:sp modelId="{7FE28124-E944-4026-8357-2663DC08B1CF}">
      <dsp:nvSpPr>
        <dsp:cNvPr id="0" name=""/>
        <dsp:cNvSpPr/>
      </dsp:nvSpPr>
      <dsp:spPr>
        <a:xfrm>
          <a:off x="1083171" y="875680"/>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Avantel S A S</a:t>
          </a:r>
        </a:p>
      </dsp:txBody>
      <dsp:txXfrm>
        <a:off x="1083171" y="875680"/>
        <a:ext cx="1347467" cy="410813"/>
      </dsp:txXfrm>
    </dsp:sp>
    <dsp:sp modelId="{F23E05AC-420C-4A0C-80EF-4E5B7B1FB4D6}">
      <dsp:nvSpPr>
        <dsp:cNvPr id="0" name=""/>
        <dsp:cNvSpPr/>
      </dsp:nvSpPr>
      <dsp:spPr>
        <a:xfrm>
          <a:off x="2700132" y="875680"/>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Esquema de seguridad </a:t>
          </a:r>
        </a:p>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3 Líneas</a:t>
          </a:r>
        </a:p>
      </dsp:txBody>
      <dsp:txXfrm>
        <a:off x="2700132" y="875680"/>
        <a:ext cx="1347467" cy="410813"/>
      </dsp:txXfrm>
    </dsp:sp>
    <dsp:sp modelId="{70B46348-E2A0-428A-B325-5705AA8028B3}">
      <dsp:nvSpPr>
        <dsp:cNvPr id="0" name=""/>
        <dsp:cNvSpPr/>
      </dsp:nvSpPr>
      <dsp:spPr>
        <a:xfrm>
          <a:off x="1083171" y="1389197"/>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Comunicación Celular S A Comcel S A</a:t>
          </a:r>
        </a:p>
      </dsp:txBody>
      <dsp:txXfrm>
        <a:off x="1083171" y="1389197"/>
        <a:ext cx="1347467" cy="410813"/>
      </dsp:txXfrm>
    </dsp:sp>
    <dsp:sp modelId="{385CDF54-AC42-405B-8B77-B98AD90F34F1}">
      <dsp:nvSpPr>
        <dsp:cNvPr id="0" name=""/>
        <dsp:cNvSpPr/>
      </dsp:nvSpPr>
      <dsp:spPr>
        <a:xfrm>
          <a:off x="2700132" y="1389197"/>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7 Líneas </a:t>
          </a:r>
        </a:p>
      </dsp:txBody>
      <dsp:txXfrm>
        <a:off x="2700132" y="1389197"/>
        <a:ext cx="1347467" cy="410813"/>
      </dsp:txXfrm>
    </dsp:sp>
    <dsp:sp modelId="{C007F74D-D915-4B1D-9926-26ACF676C91F}">
      <dsp:nvSpPr>
        <dsp:cNvPr id="0" name=""/>
        <dsp:cNvSpPr/>
      </dsp:nvSpPr>
      <dsp:spPr>
        <a:xfrm>
          <a:off x="4317093" y="1389197"/>
          <a:ext cx="1347467" cy="410813"/>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s-ES" sz="1000" kern="1200">
              <a:latin typeface="Arial" panose="020B0604020202020204" pitchFamily="34" charset="0"/>
              <a:cs typeface="Arial" panose="020B0604020202020204" pitchFamily="34" charset="0"/>
            </a:rPr>
            <a:t>7 Asignadas a Planta Telefónica   </a:t>
          </a:r>
        </a:p>
      </dsp:txBody>
      <dsp:txXfrm>
        <a:off x="4317093" y="1389197"/>
        <a:ext cx="1347467" cy="410813"/>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9DCDB-ADD9-468F-A8B2-9884D1A0A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15031</TotalTime>
  <Pages>57</Pages>
  <Words>19699</Words>
  <Characters>108345</Characters>
  <Application>Microsoft Office Word</Application>
  <DocSecurity>0</DocSecurity>
  <Lines>902</Lines>
  <Paragraphs>255</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127789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Milena Sanchez Sanchez</dc:creator>
  <cp:keywords/>
  <dc:description/>
  <cp:lastModifiedBy>Juan Carlos Salazar Gualdron</cp:lastModifiedBy>
  <cp:revision>590</cp:revision>
  <cp:lastPrinted>2020-07-15T22:44:00Z</cp:lastPrinted>
  <dcterms:created xsi:type="dcterms:W3CDTF">2020-03-13T13:10:00Z</dcterms:created>
  <dcterms:modified xsi:type="dcterms:W3CDTF">2020-07-15T22:48:00Z</dcterms:modified>
</cp:coreProperties>
</file>